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3549" w14:textId="407D9E43" w:rsidR="00242BB6" w:rsidRPr="006A6332" w:rsidRDefault="00117F54" w:rsidP="00FE5C85">
      <w:pPr>
        <w:spacing w:after="120" w:line="240" w:lineRule="auto"/>
        <w:jc w:val="center"/>
        <w:rPr>
          <w:rFonts w:ascii="Arial" w:hAnsi="Arial" w:cs="Arial"/>
          <w:b/>
          <w:color w:val="005B38"/>
          <w:sz w:val="32"/>
        </w:rPr>
      </w:pPr>
      <w:r w:rsidRPr="006A6332">
        <w:rPr>
          <w:rFonts w:ascii="Arial" w:hAnsi="Arial" w:cs="Arial"/>
          <w:b/>
          <w:color w:val="005B38"/>
          <w:sz w:val="32"/>
        </w:rPr>
        <w:t>Recognising and Responding to Acute Deterioration Policy Review</w:t>
      </w:r>
    </w:p>
    <w:p w14:paraId="69A3B6CF" w14:textId="6A877C41" w:rsidR="00E549F2" w:rsidRDefault="00242BB6" w:rsidP="00B57F03">
      <w:pPr>
        <w:spacing w:after="120" w:line="240" w:lineRule="auto"/>
        <w:jc w:val="center"/>
        <w:rPr>
          <w:rFonts w:ascii="Arial" w:hAnsi="Arial" w:cs="Arial"/>
          <w:b/>
          <w:color w:val="005B38"/>
          <w:sz w:val="32"/>
        </w:rPr>
      </w:pPr>
      <w:r w:rsidRPr="006A6332">
        <w:rPr>
          <w:rFonts w:ascii="Arial" w:hAnsi="Arial" w:cs="Arial"/>
          <w:b/>
          <w:color w:val="005B38"/>
          <w:sz w:val="32"/>
        </w:rPr>
        <w:t>Discussion paper</w:t>
      </w:r>
    </w:p>
    <w:p w14:paraId="2AA445E5" w14:textId="77777777" w:rsidR="00F840C1" w:rsidRDefault="00F840C1" w:rsidP="000B29E3">
      <w:pPr>
        <w:spacing w:after="120" w:line="240" w:lineRule="auto"/>
        <w:rPr>
          <w:rFonts w:ascii="Arial" w:hAnsi="Arial" w:cs="Arial"/>
          <w:b/>
          <w:color w:val="005B38"/>
          <w:sz w:val="24"/>
        </w:rPr>
      </w:pPr>
    </w:p>
    <w:p w14:paraId="05B8AEC6" w14:textId="5F005406" w:rsidR="000B29E3" w:rsidRPr="009B1E7E" w:rsidRDefault="000B29E3" w:rsidP="000B29E3">
      <w:pPr>
        <w:spacing w:after="120" w:line="240" w:lineRule="auto"/>
        <w:rPr>
          <w:rFonts w:ascii="Arial" w:hAnsi="Arial" w:cs="Arial"/>
          <w:b/>
          <w:color w:val="005B38"/>
          <w:sz w:val="24"/>
        </w:rPr>
      </w:pPr>
      <w:r w:rsidRPr="009B1E7E">
        <w:rPr>
          <w:rFonts w:ascii="Arial" w:hAnsi="Arial" w:cs="Arial"/>
          <w:b/>
          <w:color w:val="005B38"/>
          <w:sz w:val="24"/>
        </w:rPr>
        <w:t>Why are we consulting?</w:t>
      </w:r>
    </w:p>
    <w:p w14:paraId="32012CFF" w14:textId="50A83385" w:rsidR="00903176" w:rsidRDefault="00903176" w:rsidP="00903176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current MP86 ‘Recognising and Responding to Acute Deterioration Policy’ </w:t>
      </w:r>
      <w:r w:rsidR="00F00787">
        <w:rPr>
          <w:rFonts w:ascii="Arial" w:hAnsi="Arial" w:cs="Arial"/>
        </w:rPr>
        <w:t>is being reviewed by the Patient Safety and Clinical Quality Directorate, and a r</w:t>
      </w:r>
      <w:r w:rsidR="007373D2">
        <w:rPr>
          <w:rFonts w:ascii="Arial" w:hAnsi="Arial" w:cs="Arial"/>
        </w:rPr>
        <w:t>evised draft</w:t>
      </w:r>
      <w:r>
        <w:rPr>
          <w:rFonts w:ascii="Arial" w:hAnsi="Arial" w:cs="Arial"/>
        </w:rPr>
        <w:t xml:space="preserve"> policy (RRAD Policy)</w:t>
      </w:r>
      <w:r w:rsidRPr="006A63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Pr="006A63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available for</w:t>
      </w:r>
      <w:r w:rsidRPr="006A6332">
        <w:rPr>
          <w:rFonts w:ascii="Arial" w:hAnsi="Arial" w:cs="Arial"/>
        </w:rPr>
        <w:t xml:space="preserve"> </w:t>
      </w:r>
      <w:r w:rsidR="000252E1">
        <w:rPr>
          <w:rFonts w:ascii="Arial" w:hAnsi="Arial" w:cs="Arial"/>
        </w:rPr>
        <w:t>consideration</w:t>
      </w:r>
      <w:r w:rsidRPr="006A6332">
        <w:rPr>
          <w:rFonts w:ascii="Arial" w:hAnsi="Arial" w:cs="Arial"/>
        </w:rPr>
        <w:t xml:space="preserve">. </w:t>
      </w:r>
    </w:p>
    <w:p w14:paraId="6DC674CB" w14:textId="01421E9F" w:rsidR="000B29E3" w:rsidRDefault="000B29E3" w:rsidP="000B29E3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t xml:space="preserve">The Department of Health is seeking the perspectives of clinical and non-clinical WA Health staff to understand how the Department can responsively </w:t>
      </w:r>
      <w:r>
        <w:rPr>
          <w:rFonts w:ascii="Arial" w:hAnsi="Arial" w:cs="Arial"/>
        </w:rPr>
        <w:t xml:space="preserve">assist </w:t>
      </w:r>
      <w:r w:rsidRPr="006A633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ealth Service Providers (HSPs) </w:t>
      </w:r>
      <w:r w:rsidRPr="006A6332">
        <w:rPr>
          <w:rFonts w:ascii="Arial" w:hAnsi="Arial" w:cs="Arial"/>
        </w:rPr>
        <w:t>to meet patient safety and clinical quality obligations</w:t>
      </w:r>
      <w:r w:rsidR="00BC6394" w:rsidRPr="00BC6394">
        <w:t xml:space="preserve"> </w:t>
      </w:r>
      <w:r w:rsidR="00BC6394" w:rsidRPr="00BC6394">
        <w:rPr>
          <w:rFonts w:ascii="Arial" w:hAnsi="Arial" w:cs="Arial"/>
        </w:rPr>
        <w:t>and NSQHS accreditation requirements</w:t>
      </w:r>
      <w:r>
        <w:rPr>
          <w:rFonts w:ascii="Arial" w:hAnsi="Arial" w:cs="Arial"/>
        </w:rPr>
        <w:t xml:space="preserve"> through the </w:t>
      </w:r>
      <w:r w:rsidRPr="006A6332">
        <w:rPr>
          <w:rFonts w:ascii="Arial" w:hAnsi="Arial" w:cs="Arial"/>
        </w:rPr>
        <w:t>RRAD</w:t>
      </w:r>
      <w:r>
        <w:rPr>
          <w:rFonts w:ascii="Arial" w:hAnsi="Arial" w:cs="Arial"/>
        </w:rPr>
        <w:t xml:space="preserve"> Policy</w:t>
      </w:r>
      <w:r w:rsidRPr="006A6332">
        <w:rPr>
          <w:rFonts w:ascii="Arial" w:hAnsi="Arial" w:cs="Arial"/>
        </w:rPr>
        <w:t>.</w:t>
      </w:r>
    </w:p>
    <w:p w14:paraId="717B82E8" w14:textId="77777777" w:rsidR="000B29E3" w:rsidRDefault="000B29E3" w:rsidP="000B29E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 p</w:t>
      </w:r>
      <w:r w:rsidRPr="0067269C">
        <w:rPr>
          <w:rFonts w:ascii="Arial" w:hAnsi="Arial" w:cs="Arial"/>
        </w:rPr>
        <w:t xml:space="preserve">articipation in the policy review </w:t>
      </w:r>
      <w:r>
        <w:rPr>
          <w:rFonts w:ascii="Arial" w:hAnsi="Arial" w:cs="Arial"/>
        </w:rPr>
        <w:t>may inform:</w:t>
      </w:r>
    </w:p>
    <w:p w14:paraId="2A5A0587" w14:textId="65958F94" w:rsidR="000B29E3" w:rsidRPr="00160028" w:rsidRDefault="000B29E3" w:rsidP="000B29E3">
      <w:pPr>
        <w:pStyle w:val="ListParagraph"/>
        <w:numPr>
          <w:ilvl w:val="0"/>
          <w:numId w:val="28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60028">
        <w:rPr>
          <w:rFonts w:ascii="Arial" w:hAnsi="Arial" w:cs="Arial"/>
        </w:rPr>
        <w:t>eview</w:t>
      </w:r>
      <w:r>
        <w:rPr>
          <w:rFonts w:ascii="Arial" w:hAnsi="Arial" w:cs="Arial"/>
        </w:rPr>
        <w:t xml:space="preserve"> of</w:t>
      </w:r>
      <w:r w:rsidRPr="00160028">
        <w:rPr>
          <w:rFonts w:ascii="Arial" w:hAnsi="Arial" w:cs="Arial"/>
        </w:rPr>
        <w:t xml:space="preserve"> the RRAD policy </w:t>
      </w:r>
      <w:r>
        <w:rPr>
          <w:rFonts w:ascii="Arial" w:hAnsi="Arial" w:cs="Arial"/>
        </w:rPr>
        <w:t xml:space="preserve">to ensure </w:t>
      </w:r>
      <w:r w:rsidRPr="00160028">
        <w:rPr>
          <w:rFonts w:ascii="Arial" w:hAnsi="Arial" w:cs="Arial"/>
        </w:rPr>
        <w:t>consistent state-wide clinical guidance</w:t>
      </w:r>
      <w:r>
        <w:rPr>
          <w:rFonts w:ascii="Arial" w:hAnsi="Arial" w:cs="Arial"/>
        </w:rPr>
        <w:t>;</w:t>
      </w:r>
      <w:r w:rsidRPr="00160028">
        <w:rPr>
          <w:rFonts w:ascii="Arial" w:hAnsi="Arial" w:cs="Arial"/>
        </w:rPr>
        <w:t xml:space="preserve"> with consideration given to additional mandatory </w:t>
      </w:r>
      <w:r w:rsidR="0028608E">
        <w:rPr>
          <w:rFonts w:ascii="Arial" w:hAnsi="Arial" w:cs="Arial"/>
        </w:rPr>
        <w:t>requirements</w:t>
      </w:r>
      <w:r w:rsidRPr="00160028">
        <w:rPr>
          <w:rFonts w:ascii="Arial" w:hAnsi="Arial" w:cs="Arial"/>
        </w:rPr>
        <w:t xml:space="preserve"> for certain</w:t>
      </w:r>
      <w:r>
        <w:rPr>
          <w:rFonts w:ascii="Arial" w:hAnsi="Arial" w:cs="Arial"/>
        </w:rPr>
        <w:t xml:space="preserve"> </w:t>
      </w:r>
      <w:r w:rsidRPr="00160028">
        <w:rPr>
          <w:rFonts w:ascii="Arial" w:hAnsi="Arial" w:cs="Arial"/>
        </w:rPr>
        <w:t xml:space="preserve">issues </w:t>
      </w:r>
    </w:p>
    <w:p w14:paraId="3E3D1C4B" w14:textId="523337C4" w:rsidR="00242BB6" w:rsidRPr="00BD158F" w:rsidRDefault="000B29E3" w:rsidP="00BD158F">
      <w:pPr>
        <w:pStyle w:val="ListParagraph"/>
        <w:numPr>
          <w:ilvl w:val="0"/>
          <w:numId w:val="28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FE5C85">
        <w:rPr>
          <w:rFonts w:ascii="Arial" w:hAnsi="Arial" w:cs="Arial"/>
        </w:rPr>
        <w:t xml:space="preserve">Exploration of potential supporting programs to promote patient safety and reduce unwarranted clinical variation for both acute deterioration and </w:t>
      </w:r>
      <w:r w:rsidR="00CC1EDD">
        <w:rPr>
          <w:rFonts w:ascii="Arial" w:hAnsi="Arial" w:cs="Arial"/>
        </w:rPr>
        <w:t xml:space="preserve">related areas of </w:t>
      </w:r>
      <w:r w:rsidRPr="00FE5C85">
        <w:rPr>
          <w:rFonts w:ascii="Arial" w:hAnsi="Arial" w:cs="Arial"/>
        </w:rPr>
        <w:t>comprehensive care.</w:t>
      </w:r>
      <w:r w:rsidR="00543604" w:rsidRPr="00BD158F">
        <w:rPr>
          <w:rFonts w:ascii="Arial" w:hAnsi="Arial" w:cs="Arial"/>
          <w:b/>
          <w:color w:val="005B38"/>
          <w:sz w:val="32"/>
        </w:rPr>
        <w:br/>
      </w:r>
    </w:p>
    <w:p w14:paraId="49733CF1" w14:textId="4C51A986" w:rsidR="00592A0A" w:rsidRPr="009B1E7E" w:rsidRDefault="00592A0A" w:rsidP="00FE5C85">
      <w:pPr>
        <w:spacing w:after="120" w:line="240" w:lineRule="auto"/>
        <w:rPr>
          <w:rFonts w:ascii="Arial" w:hAnsi="Arial" w:cs="Arial"/>
          <w:b/>
          <w:color w:val="005B38"/>
          <w:sz w:val="24"/>
        </w:rPr>
      </w:pPr>
      <w:r w:rsidRPr="009B1E7E">
        <w:rPr>
          <w:rFonts w:ascii="Arial" w:hAnsi="Arial" w:cs="Arial"/>
          <w:b/>
          <w:color w:val="005B38"/>
          <w:sz w:val="24"/>
        </w:rPr>
        <w:t xml:space="preserve">What </w:t>
      </w:r>
      <w:r w:rsidR="003F0C94">
        <w:rPr>
          <w:rFonts w:ascii="Arial" w:hAnsi="Arial" w:cs="Arial"/>
          <w:b/>
          <w:color w:val="005B38"/>
          <w:sz w:val="24"/>
        </w:rPr>
        <w:t>is</w:t>
      </w:r>
      <w:r w:rsidR="00452DCD">
        <w:rPr>
          <w:rFonts w:ascii="Arial" w:hAnsi="Arial" w:cs="Arial"/>
          <w:b/>
          <w:color w:val="005B38"/>
          <w:sz w:val="24"/>
        </w:rPr>
        <w:t xml:space="preserve"> the</w:t>
      </w:r>
      <w:r w:rsidRPr="009B1E7E">
        <w:rPr>
          <w:rFonts w:ascii="Arial" w:hAnsi="Arial" w:cs="Arial"/>
          <w:b/>
          <w:color w:val="005B38"/>
          <w:sz w:val="24"/>
        </w:rPr>
        <w:t xml:space="preserve"> Recognising and Responding to Acute Deterioration (RRAD) policy?</w:t>
      </w:r>
    </w:p>
    <w:p w14:paraId="64F5BF44" w14:textId="1AC2FE89" w:rsidR="00543604" w:rsidRDefault="00543604" w:rsidP="00FE5C85">
      <w:pPr>
        <w:spacing w:after="120" w:line="240" w:lineRule="auto"/>
        <w:rPr>
          <w:rFonts w:ascii="Arial" w:hAnsi="Arial" w:cs="Arial"/>
        </w:rPr>
      </w:pPr>
      <w:r w:rsidRPr="6115D217">
        <w:rPr>
          <w:rFonts w:ascii="Arial" w:hAnsi="Arial" w:cs="Arial"/>
        </w:rPr>
        <w:t xml:space="preserve">The </w:t>
      </w:r>
      <w:r w:rsidR="0038149F">
        <w:rPr>
          <w:rFonts w:ascii="Arial" w:hAnsi="Arial" w:cs="Arial"/>
        </w:rPr>
        <w:t>revised draft</w:t>
      </w:r>
      <w:r w:rsidR="00BE14F7">
        <w:rPr>
          <w:rFonts w:ascii="Arial" w:hAnsi="Arial" w:cs="Arial"/>
        </w:rPr>
        <w:t xml:space="preserve"> </w:t>
      </w:r>
      <w:r w:rsidR="51B6FE54" w:rsidRPr="6115D217">
        <w:rPr>
          <w:rFonts w:ascii="Arial" w:hAnsi="Arial" w:cs="Arial"/>
        </w:rPr>
        <w:t xml:space="preserve">WA </w:t>
      </w:r>
      <w:r w:rsidRPr="6115D217">
        <w:rPr>
          <w:rFonts w:ascii="Arial" w:hAnsi="Arial" w:cs="Arial"/>
        </w:rPr>
        <w:t>Health Recognising and Responding to Acute Deterioration Policy</w:t>
      </w:r>
      <w:r w:rsidR="00BE14F7">
        <w:rPr>
          <w:rFonts w:ascii="Arial" w:hAnsi="Arial" w:cs="Arial"/>
        </w:rPr>
        <w:t xml:space="preserve"> (RRAD Policy) </w:t>
      </w:r>
      <w:r w:rsidRPr="6115D217">
        <w:rPr>
          <w:rFonts w:ascii="Arial" w:hAnsi="Arial" w:cs="Arial"/>
        </w:rPr>
        <w:t>sets the minimum requirements to be implemented by HSPs through the development of local evidence-based policies</w:t>
      </w:r>
      <w:r w:rsidR="0067269C" w:rsidRPr="6115D217">
        <w:rPr>
          <w:rFonts w:ascii="Arial" w:hAnsi="Arial" w:cs="Arial"/>
        </w:rPr>
        <w:t xml:space="preserve"> and systems</w:t>
      </w:r>
      <w:r w:rsidRPr="6115D217">
        <w:rPr>
          <w:rFonts w:ascii="Arial" w:hAnsi="Arial" w:cs="Arial"/>
        </w:rPr>
        <w:t xml:space="preserve">, to facilitate early recognition and response to acute deterioration in WA </w:t>
      </w:r>
      <w:r w:rsidR="0067269C" w:rsidRPr="6115D217">
        <w:rPr>
          <w:rFonts w:ascii="Arial" w:hAnsi="Arial" w:cs="Arial"/>
        </w:rPr>
        <w:t>H</w:t>
      </w:r>
      <w:r w:rsidRPr="6115D217">
        <w:rPr>
          <w:rFonts w:ascii="Arial" w:hAnsi="Arial" w:cs="Arial"/>
        </w:rPr>
        <w:t xml:space="preserve">ealth. </w:t>
      </w:r>
    </w:p>
    <w:p w14:paraId="7A8FC685" w14:textId="609D5808" w:rsidR="00185C16" w:rsidRPr="00543604" w:rsidRDefault="00185C16" w:rsidP="00FE5C85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t>Th</w:t>
      </w:r>
      <w:r>
        <w:rPr>
          <w:rFonts w:ascii="Arial" w:hAnsi="Arial" w:cs="Arial"/>
        </w:rPr>
        <w:t>e</w:t>
      </w:r>
      <w:r w:rsidRPr="006A6332">
        <w:rPr>
          <w:rFonts w:ascii="Arial" w:hAnsi="Arial" w:cs="Arial"/>
        </w:rPr>
        <w:t xml:space="preserve"> policy enforces the </w:t>
      </w:r>
      <w:r w:rsidRPr="006A6332">
        <w:rPr>
          <w:rFonts w:ascii="Arial" w:hAnsi="Arial" w:cs="Arial"/>
          <w:i/>
        </w:rPr>
        <w:t xml:space="preserve">National Safety and Quality Health Service Standards </w:t>
      </w:r>
      <w:r w:rsidRPr="006A6332">
        <w:rPr>
          <w:rFonts w:ascii="Arial" w:hAnsi="Arial" w:cs="Arial"/>
        </w:rPr>
        <w:t>(Standard 8: Recognising and Responding to Acute Deterioration), mandated in WA through the National Safety and Quality Health Service Standards Accreditation Policy - MP 0134/20.</w:t>
      </w:r>
    </w:p>
    <w:p w14:paraId="787A7CD8" w14:textId="2C426C34" w:rsidR="00EE6DE6" w:rsidRDefault="00592A0A" w:rsidP="007442FA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t>The RRAD policy supports the use of clinician, patient, and carer judgement in addition to mandatory elements to escalate care; and stipulates that acute deterioration includes physiological and mental state deterioration.</w:t>
      </w:r>
      <w:r w:rsidR="008B5EEF" w:rsidRPr="006A6332">
        <w:rPr>
          <w:rFonts w:ascii="Arial" w:hAnsi="Arial" w:cs="Arial"/>
        </w:rPr>
        <w:t xml:space="preserve"> </w:t>
      </w:r>
      <w:r w:rsidR="00E36981">
        <w:rPr>
          <w:rFonts w:ascii="Arial" w:hAnsi="Arial" w:cs="Arial"/>
        </w:rPr>
        <w:br/>
      </w:r>
    </w:p>
    <w:p w14:paraId="1F65ED44" w14:textId="0E14637B" w:rsidR="00117F54" w:rsidRPr="00CC1EDD" w:rsidRDefault="00117F54" w:rsidP="00CC1EDD">
      <w:pPr>
        <w:spacing w:after="120" w:line="240" w:lineRule="auto"/>
        <w:rPr>
          <w:rFonts w:ascii="Arial" w:hAnsi="Arial" w:cs="Arial"/>
        </w:rPr>
      </w:pPr>
      <w:r w:rsidRPr="00CC1EDD">
        <w:rPr>
          <w:rFonts w:ascii="Arial" w:hAnsi="Arial" w:cs="Arial"/>
          <w:b/>
          <w:color w:val="005B38"/>
          <w:sz w:val="24"/>
        </w:rPr>
        <w:t xml:space="preserve">What are the issues being considered and why </w:t>
      </w:r>
      <w:r w:rsidR="00404718" w:rsidRPr="00CC1EDD">
        <w:rPr>
          <w:rFonts w:ascii="Arial" w:hAnsi="Arial" w:cs="Arial"/>
          <w:b/>
          <w:color w:val="005B38"/>
          <w:sz w:val="24"/>
        </w:rPr>
        <w:t>are</w:t>
      </w:r>
      <w:r w:rsidRPr="00CC1EDD">
        <w:rPr>
          <w:rFonts w:ascii="Arial" w:hAnsi="Arial" w:cs="Arial"/>
          <w:b/>
          <w:color w:val="005B38"/>
          <w:sz w:val="24"/>
        </w:rPr>
        <w:t xml:space="preserve"> review</w:t>
      </w:r>
      <w:r w:rsidR="00404718" w:rsidRPr="00CC1EDD">
        <w:rPr>
          <w:rFonts w:ascii="Arial" w:hAnsi="Arial" w:cs="Arial"/>
          <w:b/>
          <w:color w:val="005B38"/>
          <w:sz w:val="24"/>
        </w:rPr>
        <w:t>ing</w:t>
      </w:r>
      <w:r w:rsidRPr="00CC1EDD">
        <w:rPr>
          <w:rFonts w:ascii="Arial" w:hAnsi="Arial" w:cs="Arial"/>
          <w:b/>
          <w:color w:val="005B38"/>
          <w:sz w:val="24"/>
        </w:rPr>
        <w:t xml:space="preserve"> these?</w:t>
      </w:r>
    </w:p>
    <w:p w14:paraId="3A2BD06E" w14:textId="15403072" w:rsidR="003F0C94" w:rsidRDefault="003F0C94" w:rsidP="003F0C9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Acute deterioration accounted for</w:t>
      </w:r>
      <w:r w:rsidRPr="00EE7715">
        <w:rPr>
          <w:rFonts w:ascii="Arial" w:hAnsi="Arial" w:cs="Arial"/>
        </w:rPr>
        <w:t xml:space="preserve"> the highest number of incidents </w:t>
      </w:r>
      <w:r>
        <w:rPr>
          <w:rFonts w:ascii="Arial" w:hAnsi="Arial" w:cs="Arial"/>
        </w:rPr>
        <w:t xml:space="preserve">which </w:t>
      </w:r>
      <w:r w:rsidRPr="00EE7715">
        <w:rPr>
          <w:rFonts w:ascii="Arial" w:hAnsi="Arial" w:cs="Arial"/>
        </w:rPr>
        <w:t>reported a patient outcome of death (n=47</w:t>
      </w:r>
      <w:r w:rsidR="00DA3C87">
        <w:rPr>
          <w:rFonts w:ascii="Arial" w:hAnsi="Arial" w:cs="Arial"/>
        </w:rPr>
        <w:t>)</w:t>
      </w:r>
      <w:r w:rsidRPr="00EE7715"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</w:rPr>
        <w:footnoteReference w:id="2"/>
      </w:r>
      <w:r w:rsidRPr="00B02A63">
        <w:rPr>
          <w:rFonts w:ascii="Arial" w:hAnsi="Arial" w:cs="Arial"/>
        </w:rPr>
        <w:t xml:space="preserve"> </w:t>
      </w:r>
      <w:r w:rsidR="00320F69">
        <w:rPr>
          <w:rFonts w:ascii="Arial" w:hAnsi="Arial" w:cs="Arial"/>
        </w:rPr>
        <w:t>The RRAD Policy provides state</w:t>
      </w:r>
      <w:r w:rsidR="00D54B8A">
        <w:rPr>
          <w:rFonts w:ascii="Arial" w:hAnsi="Arial" w:cs="Arial"/>
        </w:rPr>
        <w:t>-</w:t>
      </w:r>
      <w:r w:rsidR="00320F69">
        <w:rPr>
          <w:rFonts w:ascii="Arial" w:hAnsi="Arial" w:cs="Arial"/>
        </w:rPr>
        <w:t xml:space="preserve">wide </w:t>
      </w:r>
      <w:r w:rsidR="00D54B8A">
        <w:rPr>
          <w:rFonts w:ascii="Arial" w:hAnsi="Arial" w:cs="Arial"/>
        </w:rPr>
        <w:t>mandatory guidance</w:t>
      </w:r>
      <w:r w:rsidR="00DA3C87">
        <w:rPr>
          <w:rFonts w:ascii="Arial" w:hAnsi="Arial" w:cs="Arial"/>
        </w:rPr>
        <w:t xml:space="preserve"> to HSPs</w:t>
      </w:r>
      <w:r w:rsidR="00D54B8A">
        <w:rPr>
          <w:rFonts w:ascii="Arial" w:hAnsi="Arial" w:cs="Arial"/>
        </w:rPr>
        <w:t xml:space="preserve"> to support</w:t>
      </w:r>
      <w:r w:rsidR="00320F69">
        <w:rPr>
          <w:rFonts w:ascii="Arial" w:hAnsi="Arial" w:cs="Arial"/>
        </w:rPr>
        <w:t xml:space="preserve"> e</w:t>
      </w:r>
      <w:r w:rsidRPr="00543604">
        <w:rPr>
          <w:rFonts w:ascii="Arial" w:hAnsi="Arial" w:cs="Arial"/>
        </w:rPr>
        <w:t>arly recognition and timely response</w:t>
      </w:r>
      <w:r w:rsidR="002365C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worsening</w:t>
      </w:r>
      <w:r w:rsidRPr="00543604">
        <w:rPr>
          <w:rFonts w:ascii="Arial" w:hAnsi="Arial" w:cs="Arial"/>
        </w:rPr>
        <w:t xml:space="preserve"> clinical condition</w:t>
      </w:r>
      <w:r>
        <w:rPr>
          <w:rFonts w:ascii="Arial" w:hAnsi="Arial" w:cs="Arial"/>
        </w:rPr>
        <w:t>s</w:t>
      </w:r>
      <w:r w:rsidR="004D0E7A">
        <w:rPr>
          <w:rFonts w:ascii="Arial" w:hAnsi="Arial" w:cs="Arial"/>
        </w:rPr>
        <w:t>,</w:t>
      </w:r>
      <w:r w:rsidRPr="00543604">
        <w:rPr>
          <w:rFonts w:ascii="Arial" w:hAnsi="Arial" w:cs="Arial"/>
        </w:rPr>
        <w:t xml:space="preserve"> </w:t>
      </w:r>
      <w:r w:rsidR="00E74222">
        <w:rPr>
          <w:rFonts w:ascii="Arial" w:hAnsi="Arial" w:cs="Arial"/>
        </w:rPr>
        <w:t>which</w:t>
      </w:r>
      <w:r w:rsidRPr="00543604">
        <w:rPr>
          <w:rFonts w:ascii="Arial" w:hAnsi="Arial" w:cs="Arial"/>
        </w:rPr>
        <w:t xml:space="preserve"> minimise</w:t>
      </w:r>
      <w:r w:rsidR="00203F56">
        <w:rPr>
          <w:rFonts w:ascii="Arial" w:hAnsi="Arial" w:cs="Arial"/>
        </w:rPr>
        <w:t xml:space="preserve"> the</w:t>
      </w:r>
      <w:r w:rsidR="00DA3C87">
        <w:rPr>
          <w:rFonts w:ascii="Arial" w:hAnsi="Arial" w:cs="Arial"/>
        </w:rPr>
        <w:t xml:space="preserve"> </w:t>
      </w:r>
      <w:r w:rsidRPr="00543604">
        <w:rPr>
          <w:rFonts w:ascii="Arial" w:hAnsi="Arial" w:cs="Arial"/>
        </w:rPr>
        <w:t xml:space="preserve">need for </w:t>
      </w:r>
      <w:r w:rsidR="004D0E7A">
        <w:rPr>
          <w:rFonts w:ascii="Arial" w:hAnsi="Arial" w:cs="Arial"/>
        </w:rPr>
        <w:t xml:space="preserve">more </w:t>
      </w:r>
      <w:r>
        <w:rPr>
          <w:rFonts w:ascii="Arial" w:hAnsi="Arial" w:cs="Arial"/>
        </w:rPr>
        <w:t>intensive and complex</w:t>
      </w:r>
      <w:r w:rsidRPr="00543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stabilising </w:t>
      </w:r>
      <w:r w:rsidRPr="00543604">
        <w:rPr>
          <w:rFonts w:ascii="Arial" w:hAnsi="Arial" w:cs="Arial"/>
        </w:rPr>
        <w:t>interventions</w:t>
      </w:r>
      <w:r w:rsidR="00E810A2">
        <w:rPr>
          <w:rFonts w:ascii="Arial" w:hAnsi="Arial" w:cs="Arial"/>
        </w:rPr>
        <w:t xml:space="preserve"> in </w:t>
      </w:r>
      <w:r w:rsidR="004322AF">
        <w:rPr>
          <w:rFonts w:ascii="Arial" w:hAnsi="Arial" w:cs="Arial"/>
        </w:rPr>
        <w:t>healthcare</w:t>
      </w:r>
      <w:r w:rsidR="00E810A2">
        <w:rPr>
          <w:rFonts w:ascii="Arial" w:hAnsi="Arial" w:cs="Arial"/>
        </w:rPr>
        <w:t>.</w:t>
      </w:r>
    </w:p>
    <w:p w14:paraId="244BFA42" w14:textId="77777777" w:rsidR="00160028" w:rsidRPr="006A6332" w:rsidRDefault="00160028" w:rsidP="00FE5C85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t>Since the existing RRAD policy was last rev</w:t>
      </w:r>
      <w:r w:rsidR="00B15F18">
        <w:rPr>
          <w:rFonts w:ascii="Arial" w:hAnsi="Arial" w:cs="Arial"/>
        </w:rPr>
        <w:t>ised</w:t>
      </w:r>
      <w:r w:rsidRPr="006A6332">
        <w:rPr>
          <w:rFonts w:ascii="Arial" w:hAnsi="Arial" w:cs="Arial"/>
        </w:rPr>
        <w:t xml:space="preserve">, developments in the </w:t>
      </w:r>
      <w:r>
        <w:rPr>
          <w:rFonts w:ascii="Arial" w:hAnsi="Arial" w:cs="Arial"/>
        </w:rPr>
        <w:t xml:space="preserve">clinical </w:t>
      </w:r>
      <w:r w:rsidRPr="006A6332">
        <w:rPr>
          <w:rFonts w:ascii="Arial" w:hAnsi="Arial" w:cs="Arial"/>
        </w:rPr>
        <w:t>governance and legislative landscape for RRAD include:</w:t>
      </w:r>
    </w:p>
    <w:p w14:paraId="11CC846E" w14:textId="77777777" w:rsidR="00160028" w:rsidRPr="006A6332" w:rsidRDefault="00160028" w:rsidP="00FE5C8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</w:rPr>
      </w:pPr>
      <w:r w:rsidRPr="006A6332">
        <w:rPr>
          <w:rFonts w:ascii="Arial" w:hAnsi="Arial" w:cs="Arial"/>
        </w:rPr>
        <w:t xml:space="preserve">The introduction of </w:t>
      </w:r>
      <w:r w:rsidRPr="00B15F18">
        <w:rPr>
          <w:rFonts w:ascii="Arial" w:hAnsi="Arial" w:cs="Arial"/>
          <w:i/>
        </w:rPr>
        <w:t>National Safety and Quality Health Service Standards</w:t>
      </w:r>
      <w:r w:rsidRPr="006A6332">
        <w:rPr>
          <w:rFonts w:ascii="Arial" w:hAnsi="Arial" w:cs="Arial"/>
        </w:rPr>
        <w:t xml:space="preserve"> </w:t>
      </w:r>
      <w:r w:rsidR="00B15F18">
        <w:rPr>
          <w:rFonts w:ascii="Arial" w:hAnsi="Arial" w:cs="Arial"/>
        </w:rPr>
        <w:t>v</w:t>
      </w:r>
      <w:r w:rsidRPr="006A6332">
        <w:rPr>
          <w:rFonts w:ascii="Arial" w:hAnsi="Arial" w:cs="Arial"/>
        </w:rPr>
        <w:t xml:space="preserve">ersion 2 and NSQHSS </w:t>
      </w:r>
      <w:r w:rsidRPr="00160028">
        <w:rPr>
          <w:rFonts w:ascii="Arial" w:hAnsi="Arial" w:cs="Arial"/>
          <w:i/>
        </w:rPr>
        <w:t>Advisory AS 19/01</w:t>
      </w:r>
      <w:r w:rsidRPr="006A6332">
        <w:rPr>
          <w:rFonts w:ascii="Arial" w:hAnsi="Arial" w:cs="Arial"/>
        </w:rPr>
        <w:t xml:space="preserve"> ‘Recognising and Responding to Acute Deterioration Standard: Recognising deterioration in a person's mental state’</w:t>
      </w:r>
    </w:p>
    <w:p w14:paraId="033BEBC7" w14:textId="0EE3D88A" w:rsidR="00AF1562" w:rsidRPr="00654429" w:rsidRDefault="00B15F18" w:rsidP="00AF156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60028" w:rsidRPr="006A6332">
        <w:rPr>
          <w:rFonts w:ascii="Arial" w:hAnsi="Arial" w:cs="Arial"/>
        </w:rPr>
        <w:t>igh-profile clinical incidents relating to acute deterioration</w:t>
      </w:r>
      <w:r>
        <w:rPr>
          <w:rFonts w:ascii="Arial" w:hAnsi="Arial" w:cs="Arial"/>
        </w:rPr>
        <w:t xml:space="preserve">; and reported </w:t>
      </w:r>
      <w:r w:rsidRPr="00ED668C">
        <w:rPr>
          <w:rFonts w:ascii="Arial" w:hAnsi="Arial" w:cs="Arial"/>
        </w:rPr>
        <w:t>variation</w:t>
      </w:r>
      <w:r>
        <w:rPr>
          <w:rFonts w:ascii="Arial" w:hAnsi="Arial" w:cs="Arial"/>
        </w:rPr>
        <w:t xml:space="preserve"> in</w:t>
      </w:r>
      <w:r w:rsidRPr="00B15F18">
        <w:rPr>
          <w:rFonts w:ascii="Arial" w:hAnsi="Arial" w:cs="Arial"/>
        </w:rPr>
        <w:t xml:space="preserve"> HSP compliance with NSQHS Standard 8</w:t>
      </w:r>
      <w:r w:rsidRPr="00ED6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during accreditation</w:t>
      </w:r>
      <w:r w:rsidR="005D1BF5">
        <w:rPr>
          <w:rFonts w:ascii="Arial" w:hAnsi="Arial" w:cs="Arial"/>
        </w:rPr>
        <w:t xml:space="preserve"> </w:t>
      </w:r>
    </w:p>
    <w:p w14:paraId="4C219442" w14:textId="5AFA4BB1" w:rsidR="003D05E3" w:rsidRDefault="00160028" w:rsidP="00741F0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</w:rPr>
      </w:pPr>
      <w:r w:rsidRPr="00ED668C">
        <w:rPr>
          <w:rFonts w:ascii="Arial" w:hAnsi="Arial" w:cs="Arial"/>
        </w:rPr>
        <w:t>Updates to clinical best-practice: definitions and terminology</w:t>
      </w:r>
      <w:r w:rsidR="00B15F18">
        <w:rPr>
          <w:rFonts w:ascii="Arial" w:hAnsi="Arial" w:cs="Arial"/>
        </w:rPr>
        <w:t>, the inclusion of new clinical areas</w:t>
      </w:r>
      <w:r w:rsidR="00772F0B">
        <w:rPr>
          <w:rFonts w:ascii="Arial" w:hAnsi="Arial" w:cs="Arial"/>
        </w:rPr>
        <w:t xml:space="preserve"> (including sepsis and mental state deterioration)</w:t>
      </w:r>
      <w:r w:rsidR="00B15F18">
        <w:rPr>
          <w:rFonts w:ascii="Arial" w:hAnsi="Arial" w:cs="Arial"/>
        </w:rPr>
        <w:t>,</w:t>
      </w:r>
      <w:r w:rsidR="00B15F18" w:rsidRPr="00B15F18">
        <w:rPr>
          <w:rFonts w:ascii="Arial" w:hAnsi="Arial" w:cs="Arial"/>
        </w:rPr>
        <w:t xml:space="preserve"> </w:t>
      </w:r>
      <w:r w:rsidR="00B15F18">
        <w:rPr>
          <w:rFonts w:ascii="Arial" w:hAnsi="Arial" w:cs="Arial"/>
        </w:rPr>
        <w:t>and</w:t>
      </w:r>
      <w:r w:rsidR="00B15F18" w:rsidRPr="00ED668C">
        <w:rPr>
          <w:rFonts w:ascii="Arial" w:hAnsi="Arial" w:cs="Arial"/>
        </w:rPr>
        <w:t xml:space="preserve"> emerging technological advancements</w:t>
      </w:r>
      <w:r w:rsidR="00C50C3D">
        <w:rPr>
          <w:rFonts w:ascii="Arial" w:hAnsi="Arial" w:cs="Arial"/>
        </w:rPr>
        <w:t xml:space="preserve"> to support RRAD</w:t>
      </w:r>
      <w:r w:rsidR="00F01AF4">
        <w:rPr>
          <w:rFonts w:ascii="Arial" w:hAnsi="Arial" w:cs="Arial"/>
        </w:rPr>
        <w:t>).</w:t>
      </w:r>
    </w:p>
    <w:p w14:paraId="4F36A1B9" w14:textId="1C8EE6D8" w:rsidR="00E1243E" w:rsidRDefault="00E1243E" w:rsidP="00E1243E">
      <w:pPr>
        <w:spacing w:after="120" w:line="240" w:lineRule="auto"/>
        <w:rPr>
          <w:rFonts w:ascii="Arial" w:hAnsi="Arial" w:cs="Arial"/>
        </w:rPr>
      </w:pPr>
    </w:p>
    <w:p w14:paraId="313A9C80" w14:textId="77777777" w:rsidR="00E1243E" w:rsidRPr="00E1243E" w:rsidRDefault="00E1243E" w:rsidP="00E1243E">
      <w:pPr>
        <w:spacing w:after="120" w:line="240" w:lineRule="auto"/>
        <w:rPr>
          <w:rFonts w:ascii="Arial" w:hAnsi="Arial" w:cs="Arial"/>
        </w:rPr>
      </w:pPr>
    </w:p>
    <w:p w14:paraId="0155CF1D" w14:textId="09411037" w:rsidR="00B15F18" w:rsidRPr="003A4CDF" w:rsidRDefault="006758E8" w:rsidP="00FE5C85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There are several iss</w:t>
      </w:r>
      <w:r w:rsidR="00E75B41" w:rsidRPr="003A4CDF">
        <w:rPr>
          <w:rFonts w:ascii="Arial" w:hAnsi="Arial" w:cs="Arial"/>
          <w:b/>
        </w:rPr>
        <w:t>ues</w:t>
      </w:r>
      <w:r w:rsidR="00A13A0A" w:rsidRPr="003A4CDF">
        <w:rPr>
          <w:rFonts w:ascii="Arial" w:hAnsi="Arial" w:cs="Arial"/>
          <w:b/>
        </w:rPr>
        <w:t xml:space="preserve"> </w:t>
      </w:r>
      <w:r w:rsidR="003A4CDF" w:rsidRPr="003A4CDF">
        <w:rPr>
          <w:rFonts w:ascii="Arial" w:hAnsi="Arial" w:cs="Arial"/>
          <w:b/>
        </w:rPr>
        <w:t>for consideration as part of review of the proposed</w:t>
      </w:r>
      <w:r w:rsidR="00B15F18" w:rsidRPr="003A4CDF">
        <w:rPr>
          <w:rFonts w:ascii="Arial" w:hAnsi="Arial" w:cs="Arial"/>
          <w:b/>
        </w:rPr>
        <w:t xml:space="preserve"> RRAD </w:t>
      </w:r>
      <w:r w:rsidR="003A4CDF" w:rsidRPr="003A4CDF">
        <w:rPr>
          <w:rFonts w:ascii="Arial" w:hAnsi="Arial" w:cs="Arial"/>
          <w:b/>
        </w:rPr>
        <w:t>P</w:t>
      </w:r>
      <w:r w:rsidR="00B15F18" w:rsidRPr="003A4CDF">
        <w:rPr>
          <w:rFonts w:ascii="Arial" w:hAnsi="Arial" w:cs="Arial"/>
          <w:b/>
        </w:rPr>
        <w:t>olicy</w:t>
      </w:r>
      <w:r w:rsidR="00FE5C85" w:rsidRPr="003A4CDF">
        <w:rPr>
          <w:rFonts w:ascii="Arial" w:hAnsi="Arial" w:cs="Arial"/>
          <w:b/>
        </w:rPr>
        <w:t>:</w:t>
      </w:r>
    </w:p>
    <w:p w14:paraId="53F7459B" w14:textId="77777777" w:rsidR="00117F54" w:rsidRPr="006A6332" w:rsidRDefault="00117F54" w:rsidP="00FE5C85">
      <w:pPr>
        <w:spacing w:after="120" w:line="240" w:lineRule="auto"/>
        <w:rPr>
          <w:rFonts w:ascii="Arial" w:hAnsi="Arial" w:cs="Arial"/>
          <w:b/>
          <w:color w:val="005B38"/>
        </w:rPr>
      </w:pPr>
      <w:r w:rsidRPr="006A6332">
        <w:rPr>
          <w:rFonts w:ascii="Arial" w:hAnsi="Arial" w:cs="Arial"/>
          <w:b/>
          <w:color w:val="005B38"/>
        </w:rPr>
        <w:t>Mental state</w:t>
      </w:r>
      <w:r w:rsidR="00EB0F4C" w:rsidRPr="006A6332">
        <w:rPr>
          <w:rFonts w:ascii="Arial" w:hAnsi="Arial" w:cs="Arial"/>
          <w:b/>
          <w:color w:val="005B38"/>
        </w:rPr>
        <w:t xml:space="preserve"> deterioration</w:t>
      </w:r>
    </w:p>
    <w:p w14:paraId="50361C62" w14:textId="78C6D8ED" w:rsidR="0018446A" w:rsidRPr="006A6332" w:rsidRDefault="00613F4E" w:rsidP="00FE5C85">
      <w:pPr>
        <w:spacing w:after="120" w:line="240" w:lineRule="auto"/>
        <w:rPr>
          <w:rFonts w:ascii="Arial" w:eastAsia="Calibri" w:hAnsi="Arial" w:cs="Arial"/>
        </w:rPr>
      </w:pPr>
      <w:r w:rsidRPr="006A6332">
        <w:rPr>
          <w:rFonts w:ascii="Arial" w:eastAsia="Calibri" w:hAnsi="Arial" w:cs="Arial"/>
        </w:rPr>
        <w:t xml:space="preserve">The inclusion of mental state </w:t>
      </w:r>
      <w:r w:rsidR="00DF3CB9" w:rsidRPr="006A6332">
        <w:rPr>
          <w:rFonts w:ascii="Arial" w:eastAsia="Calibri" w:hAnsi="Arial" w:cs="Arial"/>
        </w:rPr>
        <w:t>deterioration within</w:t>
      </w:r>
      <w:r w:rsidRPr="006A6332">
        <w:rPr>
          <w:rFonts w:ascii="Arial" w:eastAsia="Calibri" w:hAnsi="Arial" w:cs="Arial"/>
        </w:rPr>
        <w:t xml:space="preserve"> RRAD systems</w:t>
      </w:r>
      <w:r w:rsidR="0018446A" w:rsidRPr="006A6332">
        <w:rPr>
          <w:rFonts w:ascii="Arial" w:eastAsia="Calibri" w:hAnsi="Arial" w:cs="Arial"/>
        </w:rPr>
        <w:t xml:space="preserve"> is</w:t>
      </w:r>
      <w:r w:rsidRPr="006A6332">
        <w:rPr>
          <w:rFonts w:ascii="Arial" w:eastAsia="Calibri" w:hAnsi="Arial" w:cs="Arial"/>
        </w:rPr>
        <w:t xml:space="preserve"> </w:t>
      </w:r>
      <w:r w:rsidR="00EB0F4C" w:rsidRPr="006A6332">
        <w:rPr>
          <w:rFonts w:ascii="Arial" w:eastAsia="Calibri" w:hAnsi="Arial" w:cs="Arial"/>
        </w:rPr>
        <w:t>mandated</w:t>
      </w:r>
      <w:r w:rsidRPr="006A6332">
        <w:rPr>
          <w:rFonts w:ascii="Arial" w:eastAsia="Calibri" w:hAnsi="Arial" w:cs="Arial"/>
        </w:rPr>
        <w:t xml:space="preserve"> by the A</w:t>
      </w:r>
      <w:r w:rsidR="0018446A" w:rsidRPr="006A6332">
        <w:rPr>
          <w:rFonts w:ascii="Arial" w:eastAsia="Calibri" w:hAnsi="Arial" w:cs="Arial"/>
        </w:rPr>
        <w:t xml:space="preserve">ustralian </w:t>
      </w:r>
      <w:r w:rsidRPr="006A6332">
        <w:rPr>
          <w:rFonts w:ascii="Arial" w:eastAsia="Calibri" w:hAnsi="Arial" w:cs="Arial"/>
        </w:rPr>
        <w:t>C</w:t>
      </w:r>
      <w:r w:rsidR="0018446A" w:rsidRPr="006A6332">
        <w:rPr>
          <w:rFonts w:ascii="Arial" w:eastAsia="Calibri" w:hAnsi="Arial" w:cs="Arial"/>
        </w:rPr>
        <w:t xml:space="preserve">ommission on </w:t>
      </w:r>
      <w:r w:rsidRPr="006A6332">
        <w:rPr>
          <w:rFonts w:ascii="Arial" w:eastAsia="Calibri" w:hAnsi="Arial" w:cs="Arial"/>
        </w:rPr>
        <w:t>S</w:t>
      </w:r>
      <w:r w:rsidR="0018446A" w:rsidRPr="006A6332">
        <w:rPr>
          <w:rFonts w:ascii="Arial" w:eastAsia="Calibri" w:hAnsi="Arial" w:cs="Arial"/>
        </w:rPr>
        <w:t xml:space="preserve">afety and </w:t>
      </w:r>
      <w:r w:rsidRPr="006A6332">
        <w:rPr>
          <w:rFonts w:ascii="Arial" w:eastAsia="Calibri" w:hAnsi="Arial" w:cs="Arial"/>
        </w:rPr>
        <w:t>Q</w:t>
      </w:r>
      <w:r w:rsidR="0018446A" w:rsidRPr="006A6332">
        <w:rPr>
          <w:rFonts w:ascii="Arial" w:eastAsia="Calibri" w:hAnsi="Arial" w:cs="Arial"/>
        </w:rPr>
        <w:t xml:space="preserve">uality in </w:t>
      </w:r>
      <w:r w:rsidRPr="006A6332">
        <w:rPr>
          <w:rFonts w:ascii="Arial" w:eastAsia="Calibri" w:hAnsi="Arial" w:cs="Arial"/>
        </w:rPr>
        <w:t>H</w:t>
      </w:r>
      <w:r w:rsidR="0018446A" w:rsidRPr="006A6332">
        <w:rPr>
          <w:rFonts w:ascii="Arial" w:eastAsia="Calibri" w:hAnsi="Arial" w:cs="Arial"/>
        </w:rPr>
        <w:t xml:space="preserve">ealth </w:t>
      </w:r>
      <w:r w:rsidRPr="006A6332">
        <w:rPr>
          <w:rFonts w:ascii="Arial" w:eastAsia="Calibri" w:hAnsi="Arial" w:cs="Arial"/>
        </w:rPr>
        <w:t>C</w:t>
      </w:r>
      <w:r w:rsidR="0018446A" w:rsidRPr="006A6332">
        <w:rPr>
          <w:rFonts w:ascii="Arial" w:eastAsia="Calibri" w:hAnsi="Arial" w:cs="Arial"/>
        </w:rPr>
        <w:t>are</w:t>
      </w:r>
      <w:r w:rsidR="00132BEC">
        <w:rPr>
          <w:rFonts w:ascii="Arial" w:eastAsia="Calibri" w:hAnsi="Arial" w:cs="Arial"/>
        </w:rPr>
        <w:t xml:space="preserve"> (ACSQHC)</w:t>
      </w:r>
      <w:r w:rsidR="00DF3CB9" w:rsidRPr="006A6332">
        <w:rPr>
          <w:rFonts w:ascii="Arial" w:eastAsia="Calibri" w:hAnsi="Arial" w:cs="Arial"/>
        </w:rPr>
        <w:t xml:space="preserve"> in </w:t>
      </w:r>
      <w:r w:rsidR="00DF3CB9" w:rsidRPr="005F5F57">
        <w:rPr>
          <w:rFonts w:ascii="Arial" w:eastAsia="Calibri" w:hAnsi="Arial" w:cs="Arial"/>
          <w:i/>
        </w:rPr>
        <w:t>NSQHS v.2</w:t>
      </w:r>
      <w:r w:rsidR="00872BEF" w:rsidRPr="006A6332">
        <w:rPr>
          <w:rFonts w:ascii="Arial" w:eastAsia="Calibri" w:hAnsi="Arial" w:cs="Arial"/>
        </w:rPr>
        <w:t xml:space="preserve"> </w:t>
      </w:r>
      <w:r w:rsidR="0018446A" w:rsidRPr="006A6332">
        <w:rPr>
          <w:rFonts w:ascii="Arial" w:eastAsia="Calibri" w:hAnsi="Arial" w:cs="Arial"/>
        </w:rPr>
        <w:t>‘</w:t>
      </w:r>
      <w:r w:rsidR="00872BEF" w:rsidRPr="006A6332">
        <w:rPr>
          <w:rFonts w:ascii="Arial" w:eastAsia="Calibri" w:hAnsi="Arial" w:cs="Arial"/>
        </w:rPr>
        <w:t>Standard 8</w:t>
      </w:r>
      <w:r w:rsidR="0018446A" w:rsidRPr="006A6332">
        <w:rPr>
          <w:rFonts w:ascii="Arial" w:eastAsia="Calibri" w:hAnsi="Arial" w:cs="Arial"/>
        </w:rPr>
        <w:t>: Recognising and Responding to Acute Deterioration’</w:t>
      </w:r>
      <w:r w:rsidR="00DF3CB9" w:rsidRPr="006A6332">
        <w:rPr>
          <w:rFonts w:ascii="Arial" w:eastAsia="Calibri" w:hAnsi="Arial" w:cs="Arial"/>
        </w:rPr>
        <w:t xml:space="preserve"> and </w:t>
      </w:r>
      <w:r w:rsidR="00DF3CB9" w:rsidRPr="006A6332">
        <w:rPr>
          <w:rFonts w:ascii="Arial" w:eastAsia="Calibri" w:hAnsi="Arial" w:cs="Arial"/>
          <w:i/>
        </w:rPr>
        <w:t>Advisory AS 19/01</w:t>
      </w:r>
      <w:r w:rsidR="00DF3CB9" w:rsidRPr="006A6332">
        <w:rPr>
          <w:rFonts w:ascii="Arial" w:eastAsia="Calibri" w:hAnsi="Arial" w:cs="Arial"/>
        </w:rPr>
        <w:t xml:space="preserve"> </w:t>
      </w:r>
      <w:r w:rsidR="0018446A" w:rsidRPr="006A6332">
        <w:rPr>
          <w:rFonts w:ascii="Arial" w:eastAsia="Calibri" w:hAnsi="Arial" w:cs="Arial"/>
        </w:rPr>
        <w:t>‘</w:t>
      </w:r>
      <w:r w:rsidR="00DF3CB9" w:rsidRPr="006A6332">
        <w:rPr>
          <w:rFonts w:ascii="Arial" w:eastAsia="Calibri" w:hAnsi="Arial" w:cs="Arial"/>
        </w:rPr>
        <w:t>Recognising and Responding to Acute Deterioration Standard: Recognising deterioration in a person’s mental state</w:t>
      </w:r>
      <w:r w:rsidR="00872BEF" w:rsidRPr="006A6332">
        <w:rPr>
          <w:rFonts w:ascii="Arial" w:eastAsia="Calibri" w:hAnsi="Arial" w:cs="Arial"/>
        </w:rPr>
        <w:t>’</w:t>
      </w:r>
      <w:r w:rsidR="00A923B0" w:rsidRPr="006A6332">
        <w:rPr>
          <w:rFonts w:ascii="Arial" w:eastAsia="Calibri" w:hAnsi="Arial" w:cs="Arial"/>
        </w:rPr>
        <w:t>, with a timeframe for service-wide implementation by December 2021.</w:t>
      </w:r>
    </w:p>
    <w:p w14:paraId="46EBAF12" w14:textId="2C391CD0" w:rsidR="00613F4E" w:rsidRPr="006A6332" w:rsidRDefault="0018446A" w:rsidP="00FE5C85">
      <w:pPr>
        <w:spacing w:after="120" w:line="240" w:lineRule="auto"/>
        <w:rPr>
          <w:rFonts w:ascii="Arial" w:eastAsia="Calibri" w:hAnsi="Arial" w:cs="Arial"/>
        </w:rPr>
      </w:pPr>
      <w:r w:rsidRPr="006A6332">
        <w:rPr>
          <w:rFonts w:ascii="Arial" w:eastAsia="Calibri" w:hAnsi="Arial" w:cs="Arial"/>
        </w:rPr>
        <w:t>This</w:t>
      </w:r>
      <w:r w:rsidR="00613F4E" w:rsidRPr="006A6332">
        <w:rPr>
          <w:rFonts w:ascii="Arial" w:eastAsia="Calibri" w:hAnsi="Arial" w:cs="Arial"/>
        </w:rPr>
        <w:t xml:space="preserve"> </w:t>
      </w:r>
      <w:r w:rsidRPr="006A6332">
        <w:rPr>
          <w:rFonts w:ascii="Arial" w:eastAsia="Calibri" w:hAnsi="Arial" w:cs="Arial"/>
        </w:rPr>
        <w:t xml:space="preserve">directive is </w:t>
      </w:r>
      <w:r w:rsidR="00613F4E" w:rsidRPr="006A6332">
        <w:rPr>
          <w:rFonts w:ascii="Arial" w:eastAsia="Calibri" w:hAnsi="Arial" w:cs="Arial"/>
        </w:rPr>
        <w:t>unique to the Australian context</w:t>
      </w:r>
      <w:r w:rsidR="007A7353">
        <w:rPr>
          <w:rFonts w:ascii="Arial" w:eastAsia="Calibri" w:hAnsi="Arial" w:cs="Arial"/>
        </w:rPr>
        <w:t>. I</w:t>
      </w:r>
      <w:r w:rsidR="00613F4E" w:rsidRPr="006A6332">
        <w:rPr>
          <w:rFonts w:ascii="Arial" w:eastAsia="Calibri" w:hAnsi="Arial" w:cs="Arial"/>
        </w:rPr>
        <w:t xml:space="preserve">n 2017, the ACSQHC </w:t>
      </w:r>
      <w:r w:rsidR="00EB0F4C" w:rsidRPr="006A6332">
        <w:rPr>
          <w:rFonts w:ascii="Arial" w:eastAsia="Calibri" w:hAnsi="Arial" w:cs="Arial"/>
        </w:rPr>
        <w:t>consult</w:t>
      </w:r>
      <w:r w:rsidR="00543604">
        <w:rPr>
          <w:rFonts w:ascii="Arial" w:eastAsia="Calibri" w:hAnsi="Arial" w:cs="Arial"/>
        </w:rPr>
        <w:t>ed with</w:t>
      </w:r>
      <w:r w:rsidR="00EB0F4C" w:rsidRPr="006A6332">
        <w:rPr>
          <w:rFonts w:ascii="Arial" w:eastAsia="Calibri" w:hAnsi="Arial" w:cs="Arial"/>
        </w:rPr>
        <w:t xml:space="preserve"> each Australian jurisdiction </w:t>
      </w:r>
      <w:r w:rsidR="00543604">
        <w:rPr>
          <w:rFonts w:ascii="Arial" w:eastAsia="Calibri" w:hAnsi="Arial" w:cs="Arial"/>
        </w:rPr>
        <w:t>to</w:t>
      </w:r>
      <w:r w:rsidR="00EB0F4C" w:rsidRPr="006A6332">
        <w:rPr>
          <w:rFonts w:ascii="Arial" w:eastAsia="Calibri" w:hAnsi="Arial" w:cs="Arial"/>
        </w:rPr>
        <w:t xml:space="preserve"> develop a national consensus statement</w:t>
      </w:r>
      <w:r w:rsidR="00613F4E" w:rsidRPr="006A6332">
        <w:rPr>
          <w:rFonts w:ascii="Arial" w:eastAsia="Calibri" w:hAnsi="Arial" w:cs="Arial"/>
        </w:rPr>
        <w:t xml:space="preserve"> for </w:t>
      </w:r>
      <w:r w:rsidR="00EB0F4C" w:rsidRPr="006A6332">
        <w:rPr>
          <w:rFonts w:ascii="Arial" w:eastAsia="Calibri" w:hAnsi="Arial" w:cs="Arial"/>
        </w:rPr>
        <w:t xml:space="preserve">acute deterioration of </w:t>
      </w:r>
      <w:r w:rsidR="00613F4E" w:rsidRPr="006A6332">
        <w:rPr>
          <w:rFonts w:ascii="Arial" w:eastAsia="Calibri" w:hAnsi="Arial" w:cs="Arial"/>
        </w:rPr>
        <w:t xml:space="preserve">mental </w:t>
      </w:r>
      <w:r w:rsidR="00EB0F4C" w:rsidRPr="006A6332">
        <w:rPr>
          <w:rFonts w:ascii="Arial" w:eastAsia="Calibri" w:hAnsi="Arial" w:cs="Arial"/>
        </w:rPr>
        <w:t>state</w:t>
      </w:r>
      <w:r w:rsidR="00613F4E" w:rsidRPr="006A6332">
        <w:rPr>
          <w:rFonts w:ascii="Arial" w:eastAsia="Calibri" w:hAnsi="Arial" w:cs="Arial"/>
        </w:rPr>
        <w:t>.</w:t>
      </w:r>
      <w:r w:rsidR="00613F4E" w:rsidRPr="006A6332">
        <w:rPr>
          <w:rFonts w:ascii="Arial" w:eastAsia="Calibri" w:hAnsi="Arial" w:cs="Arial"/>
          <w:vertAlign w:val="superscript"/>
        </w:rPr>
        <w:footnoteReference w:id="3"/>
      </w:r>
      <w:r w:rsidR="004E7B4C" w:rsidRPr="006A6332">
        <w:rPr>
          <w:rFonts w:ascii="Arial" w:eastAsia="Calibri" w:hAnsi="Arial" w:cs="Arial"/>
        </w:rPr>
        <w:t xml:space="preserve"> </w:t>
      </w:r>
      <w:r w:rsidR="00EB65CD" w:rsidRPr="006A6332">
        <w:rPr>
          <w:rFonts w:ascii="Arial" w:eastAsia="Calibri" w:hAnsi="Arial" w:cs="Arial"/>
        </w:rPr>
        <w:t>A</w:t>
      </w:r>
      <w:r w:rsidR="00613F4E" w:rsidRPr="006A6332">
        <w:rPr>
          <w:rFonts w:ascii="Arial" w:eastAsia="Calibri" w:hAnsi="Arial" w:cs="Arial"/>
        </w:rPr>
        <w:t xml:space="preserve"> 2018 review commissioned by the ACSQHC identif</w:t>
      </w:r>
      <w:r w:rsidR="00EB65CD" w:rsidRPr="006A6332">
        <w:rPr>
          <w:rFonts w:ascii="Arial" w:eastAsia="Calibri" w:hAnsi="Arial" w:cs="Arial"/>
        </w:rPr>
        <w:t>ied</w:t>
      </w:r>
      <w:r w:rsidR="00613F4E" w:rsidRPr="006A6332">
        <w:rPr>
          <w:rFonts w:ascii="Arial" w:eastAsia="Calibri" w:hAnsi="Arial" w:cs="Arial"/>
        </w:rPr>
        <w:t xml:space="preserve"> 28 clusters of signs arranged into five indicators of deterioration in a person’s mental state</w:t>
      </w:r>
      <w:r w:rsidR="00B22427">
        <w:rPr>
          <w:rFonts w:ascii="Arial" w:eastAsia="Calibri" w:hAnsi="Arial" w:cs="Arial"/>
        </w:rPr>
        <w:t>.</w:t>
      </w:r>
    </w:p>
    <w:p w14:paraId="5AA82CB7" w14:textId="77777777" w:rsidR="00613F4E" w:rsidRPr="006A6332" w:rsidRDefault="00613F4E" w:rsidP="00992EC9">
      <w:pPr>
        <w:numPr>
          <w:ilvl w:val="0"/>
          <w:numId w:val="10"/>
        </w:numPr>
        <w:spacing w:after="0" w:line="240" w:lineRule="auto"/>
        <w:ind w:left="714" w:hanging="357"/>
        <w:rPr>
          <w:rFonts w:ascii="Arial" w:eastAsia="Calibri" w:hAnsi="Arial" w:cs="Arial"/>
        </w:rPr>
      </w:pPr>
      <w:r w:rsidRPr="006A6332">
        <w:rPr>
          <w:rFonts w:ascii="Arial" w:eastAsia="Calibri" w:hAnsi="Arial" w:cs="Arial"/>
        </w:rPr>
        <w:t>Reported change</w:t>
      </w:r>
    </w:p>
    <w:p w14:paraId="00C846E5" w14:textId="77777777" w:rsidR="00613F4E" w:rsidRPr="006A6332" w:rsidRDefault="00613F4E" w:rsidP="00992EC9">
      <w:pPr>
        <w:numPr>
          <w:ilvl w:val="0"/>
          <w:numId w:val="10"/>
        </w:numPr>
        <w:spacing w:after="0" w:line="240" w:lineRule="auto"/>
        <w:ind w:left="714" w:hanging="357"/>
        <w:rPr>
          <w:rFonts w:ascii="Arial" w:eastAsia="Calibri" w:hAnsi="Arial" w:cs="Arial"/>
        </w:rPr>
      </w:pPr>
      <w:r w:rsidRPr="006A6332">
        <w:rPr>
          <w:rFonts w:ascii="Arial" w:eastAsia="Calibri" w:hAnsi="Arial" w:cs="Arial"/>
        </w:rPr>
        <w:t>Distress</w:t>
      </w:r>
    </w:p>
    <w:p w14:paraId="1E546D93" w14:textId="77777777" w:rsidR="00613F4E" w:rsidRPr="006A6332" w:rsidRDefault="00613F4E" w:rsidP="00992EC9">
      <w:pPr>
        <w:numPr>
          <w:ilvl w:val="0"/>
          <w:numId w:val="10"/>
        </w:numPr>
        <w:spacing w:after="0" w:line="240" w:lineRule="auto"/>
        <w:ind w:left="714" w:hanging="357"/>
        <w:rPr>
          <w:rFonts w:ascii="Arial" w:eastAsia="Calibri" w:hAnsi="Arial" w:cs="Arial"/>
        </w:rPr>
      </w:pPr>
      <w:r w:rsidRPr="006A6332">
        <w:rPr>
          <w:rFonts w:ascii="Arial" w:eastAsia="Calibri" w:hAnsi="Arial" w:cs="Arial"/>
        </w:rPr>
        <w:t>Loss of touch with reality of consequence of behaviours</w:t>
      </w:r>
    </w:p>
    <w:p w14:paraId="27FC6497" w14:textId="77777777" w:rsidR="00613F4E" w:rsidRPr="006A6332" w:rsidRDefault="00613F4E" w:rsidP="00992EC9">
      <w:pPr>
        <w:numPr>
          <w:ilvl w:val="0"/>
          <w:numId w:val="10"/>
        </w:numPr>
        <w:spacing w:after="0" w:line="240" w:lineRule="auto"/>
        <w:ind w:left="714" w:hanging="357"/>
        <w:rPr>
          <w:rFonts w:ascii="Arial" w:eastAsia="Calibri" w:hAnsi="Arial" w:cs="Arial"/>
        </w:rPr>
      </w:pPr>
      <w:r w:rsidRPr="006A6332">
        <w:rPr>
          <w:rFonts w:ascii="Arial" w:eastAsia="Calibri" w:hAnsi="Arial" w:cs="Arial"/>
        </w:rPr>
        <w:t>Loss of function</w:t>
      </w:r>
    </w:p>
    <w:p w14:paraId="18ABBF13" w14:textId="77777777" w:rsidR="005C4062" w:rsidRPr="006A6332" w:rsidRDefault="00613F4E" w:rsidP="00FE5C85">
      <w:pPr>
        <w:numPr>
          <w:ilvl w:val="0"/>
          <w:numId w:val="10"/>
        </w:numPr>
        <w:spacing w:after="120" w:line="240" w:lineRule="auto"/>
        <w:ind w:left="714" w:hanging="357"/>
        <w:rPr>
          <w:rFonts w:ascii="Arial" w:eastAsia="Calibri" w:hAnsi="Arial" w:cs="Arial"/>
        </w:rPr>
      </w:pPr>
      <w:r w:rsidRPr="006A6332">
        <w:rPr>
          <w:rFonts w:ascii="Arial" w:eastAsia="Calibri" w:hAnsi="Arial" w:cs="Arial"/>
        </w:rPr>
        <w:t>Elevated risk to self, others, or property</w:t>
      </w:r>
      <w:r w:rsidR="00EB65CD" w:rsidRPr="006A6332">
        <w:rPr>
          <w:rFonts w:ascii="Arial" w:eastAsia="Calibri" w:hAnsi="Arial" w:cs="Arial"/>
          <w:vertAlign w:val="superscript"/>
        </w:rPr>
        <w:footnoteReference w:id="4"/>
      </w:r>
    </w:p>
    <w:p w14:paraId="0FCDFF4E" w14:textId="77777777" w:rsidR="004E7B4C" w:rsidRPr="006A6332" w:rsidRDefault="004E7B4C" w:rsidP="00FE5C85">
      <w:pPr>
        <w:spacing w:after="120" w:line="240" w:lineRule="auto"/>
        <w:rPr>
          <w:rFonts w:ascii="Arial" w:eastAsia="Calibri" w:hAnsi="Arial" w:cs="Arial"/>
        </w:rPr>
      </w:pPr>
      <w:r w:rsidRPr="006A6332">
        <w:rPr>
          <w:rFonts w:ascii="Arial" w:eastAsia="Calibri" w:hAnsi="Arial" w:cs="Arial"/>
        </w:rPr>
        <w:t>T</w:t>
      </w:r>
      <w:r w:rsidR="00DF3CB9" w:rsidRPr="006A6332">
        <w:rPr>
          <w:rFonts w:ascii="Arial" w:eastAsia="Calibri" w:hAnsi="Arial" w:cs="Arial"/>
        </w:rPr>
        <w:t>h</w:t>
      </w:r>
      <w:r w:rsidR="00EB65CD" w:rsidRPr="006A6332">
        <w:rPr>
          <w:rFonts w:ascii="Arial" w:eastAsia="Calibri" w:hAnsi="Arial" w:cs="Arial"/>
        </w:rPr>
        <w:t>is</w:t>
      </w:r>
      <w:r w:rsidR="00DF3CB9" w:rsidRPr="006A6332">
        <w:rPr>
          <w:rFonts w:ascii="Arial" w:eastAsia="Calibri" w:hAnsi="Arial" w:cs="Arial"/>
        </w:rPr>
        <w:t xml:space="preserve"> </w:t>
      </w:r>
      <w:r w:rsidR="00872BEF" w:rsidRPr="006A6332">
        <w:rPr>
          <w:rFonts w:ascii="Arial" w:eastAsia="Calibri" w:hAnsi="Arial" w:cs="Arial"/>
        </w:rPr>
        <w:t>r</w:t>
      </w:r>
      <w:r w:rsidR="00DF3CB9" w:rsidRPr="006A6332">
        <w:rPr>
          <w:rFonts w:ascii="Arial" w:eastAsia="Calibri" w:hAnsi="Arial" w:cs="Arial"/>
        </w:rPr>
        <w:t>eview found that a</w:t>
      </w:r>
      <w:r w:rsidR="00613F4E" w:rsidRPr="006A6332">
        <w:rPr>
          <w:rFonts w:ascii="Arial" w:eastAsia="Calibri" w:hAnsi="Arial" w:cs="Arial"/>
        </w:rPr>
        <w:t>n ideal assessment tool</w:t>
      </w:r>
      <w:r w:rsidR="00424365" w:rsidRPr="006A6332">
        <w:rPr>
          <w:rFonts w:ascii="Arial" w:eastAsia="Calibri" w:hAnsi="Arial" w:cs="Arial"/>
        </w:rPr>
        <w:t xml:space="preserve"> for mental state deterioration</w:t>
      </w:r>
      <w:r w:rsidR="00613F4E" w:rsidRPr="006A6332">
        <w:rPr>
          <w:rFonts w:ascii="Arial" w:eastAsia="Calibri" w:hAnsi="Arial" w:cs="Arial"/>
        </w:rPr>
        <w:t xml:space="preserve"> would facilitate individualised assessments, incorporate a broad set of behaviours, enable repeat assessment over time and draw on multiple sources of information (clinical observations, reports of people experiencing deterioration and those who know them well); with observations relating to any one of the five indicators proposed being enough or enough to prompt an escalation of care.</w:t>
      </w:r>
      <w:r w:rsidR="00A43052" w:rsidRPr="006A6332">
        <w:rPr>
          <w:rStyle w:val="FootnoteReference"/>
          <w:rFonts w:ascii="Arial" w:eastAsia="Calibri" w:hAnsi="Arial" w:cs="Arial"/>
        </w:rPr>
        <w:footnoteReference w:id="5"/>
      </w:r>
    </w:p>
    <w:p w14:paraId="6CC8026D" w14:textId="63A680DE" w:rsidR="00DF3CB9" w:rsidRDefault="00783DCF" w:rsidP="00FE5C85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While t</w:t>
      </w:r>
      <w:r w:rsidR="008322C7">
        <w:rPr>
          <w:rFonts w:ascii="Arial" w:eastAsia="Calibri" w:hAnsi="Arial" w:cs="Arial"/>
        </w:rPr>
        <w:t xml:space="preserve">he previous </w:t>
      </w:r>
      <w:r w:rsidR="008322C7" w:rsidRPr="008322C7">
        <w:rPr>
          <w:rFonts w:ascii="Arial" w:eastAsia="Calibri" w:hAnsi="Arial" w:cs="Arial"/>
        </w:rPr>
        <w:t>RRAD Policy</w:t>
      </w:r>
      <w:r>
        <w:rPr>
          <w:rFonts w:ascii="Arial" w:eastAsia="Calibri" w:hAnsi="Arial" w:cs="Arial"/>
        </w:rPr>
        <w:t xml:space="preserve"> refers to </w:t>
      </w:r>
      <w:r w:rsidR="007F7A7B">
        <w:rPr>
          <w:rFonts w:ascii="Arial" w:eastAsia="Calibri" w:hAnsi="Arial" w:cs="Arial"/>
        </w:rPr>
        <w:t>mental state deterioration, n</w:t>
      </w:r>
      <w:r w:rsidR="004E7B4C" w:rsidRPr="006A6332">
        <w:rPr>
          <w:rFonts w:ascii="Arial" w:eastAsia="Calibri" w:hAnsi="Arial" w:cs="Arial"/>
        </w:rPr>
        <w:t>o Australian jurisdiction</w:t>
      </w:r>
      <w:r w:rsidR="00543604">
        <w:rPr>
          <w:rFonts w:ascii="Arial" w:eastAsia="Calibri" w:hAnsi="Arial" w:cs="Arial"/>
        </w:rPr>
        <w:t xml:space="preserve"> currently</w:t>
      </w:r>
      <w:r w:rsidR="004E7B4C" w:rsidRPr="006A6332">
        <w:rPr>
          <w:rFonts w:ascii="Arial" w:eastAsia="Calibri" w:hAnsi="Arial" w:cs="Arial"/>
        </w:rPr>
        <w:t xml:space="preserve"> </w:t>
      </w:r>
      <w:r w:rsidR="00EB65CD" w:rsidRPr="006A6332">
        <w:rPr>
          <w:rFonts w:ascii="Arial" w:eastAsia="Calibri" w:hAnsi="Arial" w:cs="Arial"/>
        </w:rPr>
        <w:t>mandates</w:t>
      </w:r>
      <w:r w:rsidR="00DD14FA">
        <w:rPr>
          <w:rFonts w:ascii="Arial" w:eastAsia="Calibri" w:hAnsi="Arial" w:cs="Arial"/>
        </w:rPr>
        <w:t xml:space="preserve"> the use of specific</w:t>
      </w:r>
      <w:r w:rsidR="004E7B4C" w:rsidRPr="006A6332">
        <w:rPr>
          <w:rFonts w:ascii="Arial" w:eastAsia="Calibri" w:hAnsi="Arial" w:cs="Arial"/>
        </w:rPr>
        <w:t xml:space="preserve"> mental </w:t>
      </w:r>
      <w:r>
        <w:rPr>
          <w:rFonts w:ascii="Arial" w:eastAsia="Calibri" w:hAnsi="Arial" w:cs="Arial"/>
        </w:rPr>
        <w:t>state indicators</w:t>
      </w:r>
      <w:r w:rsidR="004E7B4C" w:rsidRPr="006A6332">
        <w:rPr>
          <w:rFonts w:ascii="Arial" w:eastAsia="Calibri" w:hAnsi="Arial" w:cs="Arial"/>
        </w:rPr>
        <w:t xml:space="preserve"> as part of standard state-wide RRAD systems and tools.</w:t>
      </w:r>
      <w:r w:rsidR="004E7B4C" w:rsidRPr="006A6332">
        <w:rPr>
          <w:rFonts w:ascii="Arial" w:eastAsia="Calibri" w:hAnsi="Arial" w:cs="Arial"/>
          <w:vertAlign w:val="superscript"/>
        </w:rPr>
        <w:footnoteReference w:id="6"/>
      </w:r>
      <w:r w:rsidR="00EB65CD" w:rsidRPr="006A6332">
        <w:rPr>
          <w:rFonts w:ascii="Arial" w:eastAsia="Calibri" w:hAnsi="Arial" w:cs="Arial"/>
        </w:rPr>
        <w:t xml:space="preserve"> </w:t>
      </w:r>
      <w:r w:rsidR="00872BEF" w:rsidRPr="006A6332">
        <w:rPr>
          <w:rFonts w:ascii="Arial" w:eastAsia="Calibri" w:hAnsi="Arial" w:cs="Arial"/>
        </w:rPr>
        <w:t>A validation study of the</w:t>
      </w:r>
      <w:r w:rsidR="0018446A" w:rsidRPr="006A6332">
        <w:rPr>
          <w:rFonts w:ascii="Arial" w:eastAsia="Calibri" w:hAnsi="Arial" w:cs="Arial"/>
        </w:rPr>
        <w:t xml:space="preserve"> mental state deterioration</w:t>
      </w:r>
      <w:r w:rsidR="00872BEF" w:rsidRPr="006A6332">
        <w:rPr>
          <w:rFonts w:ascii="Arial" w:eastAsia="Calibri" w:hAnsi="Arial" w:cs="Arial"/>
        </w:rPr>
        <w:t xml:space="preserve"> criteria outlined in the Gaskin and </w:t>
      </w:r>
      <w:proofErr w:type="spellStart"/>
      <w:r w:rsidR="00872BEF" w:rsidRPr="006A6332">
        <w:rPr>
          <w:rFonts w:ascii="Arial" w:eastAsia="Calibri" w:hAnsi="Arial" w:cs="Arial"/>
        </w:rPr>
        <w:t>Dagley</w:t>
      </w:r>
      <w:proofErr w:type="spellEnd"/>
      <w:r w:rsidR="00872BEF" w:rsidRPr="006A6332">
        <w:rPr>
          <w:rFonts w:ascii="Arial" w:eastAsia="Calibri" w:hAnsi="Arial" w:cs="Arial"/>
        </w:rPr>
        <w:t xml:space="preserve"> review is underway at St Vincent’s, Melbourne</w:t>
      </w:r>
      <w:r w:rsidR="0018446A" w:rsidRPr="006A6332">
        <w:rPr>
          <w:rFonts w:ascii="Arial" w:eastAsia="Calibri" w:hAnsi="Arial" w:cs="Arial"/>
        </w:rPr>
        <w:t>;</w:t>
      </w:r>
      <w:r w:rsidR="00872BEF" w:rsidRPr="006A6332">
        <w:rPr>
          <w:rFonts w:ascii="Arial" w:eastAsia="Calibri" w:hAnsi="Arial" w:cs="Arial"/>
        </w:rPr>
        <w:t xml:space="preserve"> and </w:t>
      </w:r>
      <w:r w:rsidR="007F7A7B">
        <w:rPr>
          <w:rFonts w:ascii="Arial" w:eastAsia="Calibri" w:hAnsi="Arial" w:cs="Arial"/>
        </w:rPr>
        <w:t xml:space="preserve">one </w:t>
      </w:r>
      <w:r w:rsidR="00872BEF" w:rsidRPr="006A6332">
        <w:rPr>
          <w:rFonts w:ascii="Arial" w:eastAsia="Calibri" w:hAnsi="Arial" w:cs="Arial"/>
        </w:rPr>
        <w:t xml:space="preserve">WA health service </w:t>
      </w:r>
      <w:r w:rsidR="0018446A" w:rsidRPr="006A6332">
        <w:rPr>
          <w:rFonts w:ascii="Arial" w:eastAsia="Calibri" w:hAnsi="Arial" w:cs="Arial"/>
        </w:rPr>
        <w:t xml:space="preserve">already </w:t>
      </w:r>
      <w:r w:rsidR="00872BEF" w:rsidRPr="006A6332">
        <w:rPr>
          <w:rFonts w:ascii="Arial" w:eastAsia="Calibri" w:hAnsi="Arial" w:cs="Arial"/>
        </w:rPr>
        <w:t>refer</w:t>
      </w:r>
      <w:r w:rsidR="007F7A7B">
        <w:rPr>
          <w:rFonts w:ascii="Arial" w:eastAsia="Calibri" w:hAnsi="Arial" w:cs="Arial"/>
        </w:rPr>
        <w:t xml:space="preserve">s </w:t>
      </w:r>
      <w:r w:rsidR="00872BEF" w:rsidRPr="006A6332">
        <w:rPr>
          <w:rFonts w:ascii="Arial" w:eastAsia="Calibri" w:hAnsi="Arial" w:cs="Arial"/>
        </w:rPr>
        <w:t>to mental state indicators and response pathways in their current RRAD p</w:t>
      </w:r>
      <w:r w:rsidR="006F0CD3">
        <w:rPr>
          <w:rFonts w:ascii="Arial" w:eastAsia="Calibri" w:hAnsi="Arial" w:cs="Arial"/>
        </w:rPr>
        <w:t>rocedure</w:t>
      </w:r>
      <w:r w:rsidR="0018446A" w:rsidRPr="006A6332">
        <w:rPr>
          <w:rFonts w:ascii="Arial" w:eastAsia="Calibri" w:hAnsi="Arial" w:cs="Arial"/>
        </w:rPr>
        <w:t xml:space="preserve">. </w:t>
      </w:r>
      <w:r w:rsidR="007A7353">
        <w:rPr>
          <w:rFonts w:ascii="Arial" w:eastAsia="Calibri" w:hAnsi="Arial" w:cs="Arial"/>
        </w:rPr>
        <w:t xml:space="preserve">This policy review provides an opportunity to explore the mandatory inclusion of mental state deterioration in all WA RRAD systems. </w:t>
      </w:r>
    </w:p>
    <w:p w14:paraId="501202CD" w14:textId="6F4CA0A4" w:rsidR="00EB65CD" w:rsidRPr="006A6332" w:rsidRDefault="001B5286" w:rsidP="00FE5C85">
      <w:pPr>
        <w:spacing w:after="120" w:line="240" w:lineRule="auto"/>
        <w:rPr>
          <w:rFonts w:ascii="Arial" w:hAnsi="Arial" w:cs="Arial"/>
          <w:b/>
          <w:color w:val="005B38"/>
        </w:rPr>
      </w:pPr>
      <w:r>
        <w:rPr>
          <w:rFonts w:ascii="Arial" w:hAnsi="Arial" w:cs="Arial"/>
          <w:b/>
          <w:color w:val="005B38"/>
        </w:rPr>
        <w:t xml:space="preserve">Universal applicability: </w:t>
      </w:r>
      <w:r w:rsidR="00EB65CD" w:rsidRPr="006A6332">
        <w:rPr>
          <w:rFonts w:ascii="Arial" w:hAnsi="Arial" w:cs="Arial"/>
          <w:b/>
          <w:color w:val="005B38"/>
        </w:rPr>
        <w:t>Emergency settings</w:t>
      </w:r>
    </w:p>
    <w:p w14:paraId="5E02439E" w14:textId="552ED49B" w:rsidR="00EB65CD" w:rsidRPr="006A6332" w:rsidRDefault="00142185" w:rsidP="00FE5C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B65CD" w:rsidRPr="006A6332">
        <w:rPr>
          <w:rFonts w:ascii="Arial" w:hAnsi="Arial" w:cs="Arial"/>
        </w:rPr>
        <w:t xml:space="preserve">linical incidents involving acute deterioration in emergency departments create an imperative to </w:t>
      </w:r>
      <w:r w:rsidR="004B589C" w:rsidRPr="004B589C">
        <w:rPr>
          <w:rFonts w:ascii="Arial" w:hAnsi="Arial" w:cs="Arial"/>
        </w:rPr>
        <w:t>examine existing policies and systems to ensure they are comprehensive, relevant</w:t>
      </w:r>
      <w:r w:rsidR="002D5FD2">
        <w:rPr>
          <w:rFonts w:ascii="Arial" w:hAnsi="Arial" w:cs="Arial"/>
        </w:rPr>
        <w:t>,</w:t>
      </w:r>
      <w:r w:rsidR="004B589C" w:rsidRPr="004B589C">
        <w:rPr>
          <w:rFonts w:ascii="Arial" w:hAnsi="Arial" w:cs="Arial"/>
        </w:rPr>
        <w:t xml:space="preserve"> and current</w:t>
      </w:r>
      <w:r w:rsidR="002D5FD2">
        <w:rPr>
          <w:rFonts w:ascii="Arial" w:hAnsi="Arial" w:cs="Arial"/>
        </w:rPr>
        <w:t xml:space="preserve"> for </w:t>
      </w:r>
      <w:r w:rsidR="00EB65CD" w:rsidRPr="006A6332">
        <w:rPr>
          <w:rFonts w:ascii="Arial" w:hAnsi="Arial" w:cs="Arial"/>
        </w:rPr>
        <w:t>WA Health</w:t>
      </w:r>
      <w:r w:rsidR="00770058">
        <w:rPr>
          <w:rFonts w:ascii="Arial" w:hAnsi="Arial" w:cs="Arial"/>
        </w:rPr>
        <w:t>, with a focus on</w:t>
      </w:r>
      <w:r w:rsidR="0089343E">
        <w:rPr>
          <w:rFonts w:ascii="Arial" w:hAnsi="Arial" w:cs="Arial"/>
        </w:rPr>
        <w:t xml:space="preserve"> enhancing</w:t>
      </w:r>
      <w:r w:rsidR="00770058">
        <w:rPr>
          <w:rFonts w:ascii="Arial" w:hAnsi="Arial" w:cs="Arial"/>
        </w:rPr>
        <w:t xml:space="preserve"> family/carer escalation pathways in paediatric, maternal</w:t>
      </w:r>
      <w:r>
        <w:rPr>
          <w:rFonts w:ascii="Arial" w:hAnsi="Arial" w:cs="Arial"/>
        </w:rPr>
        <w:t>,</w:t>
      </w:r>
      <w:r w:rsidR="00770058">
        <w:rPr>
          <w:rFonts w:ascii="Arial" w:hAnsi="Arial" w:cs="Arial"/>
        </w:rPr>
        <w:t xml:space="preserve"> and neonate settings.</w:t>
      </w:r>
    </w:p>
    <w:p w14:paraId="17E8F9BD" w14:textId="304E225D" w:rsidR="0067269C" w:rsidRDefault="00EB65CD" w:rsidP="00FE5C85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t>The</w:t>
      </w:r>
      <w:r w:rsidR="0055118D">
        <w:rPr>
          <w:rFonts w:ascii="Arial" w:hAnsi="Arial" w:cs="Arial"/>
        </w:rPr>
        <w:t xml:space="preserve"> </w:t>
      </w:r>
      <w:r w:rsidR="00E52E57">
        <w:rPr>
          <w:rFonts w:ascii="Arial" w:hAnsi="Arial" w:cs="Arial"/>
        </w:rPr>
        <w:t>previous</w:t>
      </w:r>
      <w:r w:rsidRPr="006A6332">
        <w:rPr>
          <w:rFonts w:ascii="Arial" w:hAnsi="Arial" w:cs="Arial"/>
        </w:rPr>
        <w:t xml:space="preserve"> RRAD </w:t>
      </w:r>
      <w:r w:rsidR="00E52E57">
        <w:rPr>
          <w:rFonts w:ascii="Arial" w:hAnsi="Arial" w:cs="Arial"/>
        </w:rPr>
        <w:t>P</w:t>
      </w:r>
      <w:r w:rsidRPr="006A6332">
        <w:rPr>
          <w:rFonts w:ascii="Arial" w:hAnsi="Arial" w:cs="Arial"/>
        </w:rPr>
        <w:t>olicy applie</w:t>
      </w:r>
      <w:r w:rsidR="00540D23">
        <w:rPr>
          <w:rFonts w:ascii="Arial" w:hAnsi="Arial" w:cs="Arial"/>
        </w:rPr>
        <w:t>d</w:t>
      </w:r>
      <w:r w:rsidRPr="006A6332">
        <w:rPr>
          <w:rFonts w:ascii="Arial" w:hAnsi="Arial" w:cs="Arial"/>
        </w:rPr>
        <w:t xml:space="preserve"> only to inpatients of WA Health facilities, with observations commencing generally upon admission</w:t>
      </w:r>
      <w:r w:rsidR="0055118D">
        <w:rPr>
          <w:rFonts w:ascii="Arial" w:hAnsi="Arial" w:cs="Arial"/>
        </w:rPr>
        <w:t xml:space="preserve"> (with</w:t>
      </w:r>
      <w:r w:rsidRPr="006A6332">
        <w:rPr>
          <w:rFonts w:ascii="Arial" w:hAnsi="Arial" w:cs="Arial"/>
        </w:rPr>
        <w:t xml:space="preserve"> provision to commence at initial assessment</w:t>
      </w:r>
      <w:r w:rsidR="0055118D">
        <w:rPr>
          <w:rFonts w:ascii="Arial" w:hAnsi="Arial" w:cs="Arial"/>
        </w:rPr>
        <w:t>)</w:t>
      </w:r>
      <w:r w:rsidRPr="006A6332">
        <w:rPr>
          <w:rFonts w:ascii="Arial" w:hAnsi="Arial" w:cs="Arial"/>
        </w:rPr>
        <w:t xml:space="preserve">. </w:t>
      </w:r>
      <w:r w:rsidR="006A74E0">
        <w:rPr>
          <w:rFonts w:ascii="Arial" w:hAnsi="Arial" w:cs="Arial"/>
        </w:rPr>
        <w:t>T</w:t>
      </w:r>
      <w:r w:rsidRPr="006A6332">
        <w:rPr>
          <w:rFonts w:ascii="Arial" w:hAnsi="Arial" w:cs="Arial"/>
        </w:rPr>
        <w:t>he use of RRAD systems within emergency settings are increasing worldwide, and many WA facilities have already adopted RRAD and escalation protocols</w:t>
      </w:r>
      <w:r w:rsidR="00770058">
        <w:rPr>
          <w:rFonts w:ascii="Arial" w:hAnsi="Arial" w:cs="Arial"/>
        </w:rPr>
        <w:t xml:space="preserve"> (including family/carer escalation)</w:t>
      </w:r>
      <w:r w:rsidRPr="006A6332">
        <w:rPr>
          <w:rFonts w:ascii="Arial" w:hAnsi="Arial" w:cs="Arial"/>
        </w:rPr>
        <w:t xml:space="preserve"> within emergency settings</w:t>
      </w:r>
      <w:r w:rsidR="0055118D">
        <w:rPr>
          <w:rFonts w:ascii="Arial" w:hAnsi="Arial" w:cs="Arial"/>
        </w:rPr>
        <w:t xml:space="preserve"> </w:t>
      </w:r>
      <w:r w:rsidR="0055118D" w:rsidRPr="0055118D">
        <w:rPr>
          <w:rFonts w:ascii="Arial" w:hAnsi="Arial" w:cs="Arial"/>
          <w:b/>
        </w:rPr>
        <w:t xml:space="preserve">(Attachment </w:t>
      </w:r>
      <w:r w:rsidR="003C7A01">
        <w:rPr>
          <w:rFonts w:ascii="Arial" w:hAnsi="Arial" w:cs="Arial"/>
          <w:b/>
        </w:rPr>
        <w:t>2</w:t>
      </w:r>
      <w:r w:rsidR="0055118D" w:rsidRPr="0055118D">
        <w:rPr>
          <w:rFonts w:ascii="Arial" w:hAnsi="Arial" w:cs="Arial"/>
          <w:b/>
        </w:rPr>
        <w:t>)</w:t>
      </w:r>
      <w:r w:rsidRPr="006A6332">
        <w:rPr>
          <w:rFonts w:ascii="Arial" w:hAnsi="Arial" w:cs="Arial"/>
        </w:rPr>
        <w:t>.</w:t>
      </w:r>
      <w:r w:rsidR="00543604">
        <w:rPr>
          <w:rFonts w:ascii="Arial" w:hAnsi="Arial" w:cs="Arial"/>
        </w:rPr>
        <w:t xml:space="preserve"> </w:t>
      </w:r>
    </w:p>
    <w:p w14:paraId="5FC18C5E" w14:textId="3A00249F" w:rsidR="00EB65CD" w:rsidRPr="006A6332" w:rsidRDefault="00543604" w:rsidP="00FE5C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Issues</w:t>
      </w:r>
      <w:r w:rsidR="00EB65CD" w:rsidRPr="006A6332">
        <w:rPr>
          <w:rFonts w:ascii="Arial" w:hAnsi="Arial" w:cs="Arial"/>
        </w:rPr>
        <w:t xml:space="preserve"> with RRAD systems in </w:t>
      </w:r>
      <w:r w:rsidR="002C50FB">
        <w:rPr>
          <w:rFonts w:ascii="Arial" w:hAnsi="Arial" w:cs="Arial"/>
        </w:rPr>
        <w:t>emergency</w:t>
      </w:r>
      <w:r w:rsidR="00EB65CD" w:rsidRPr="006A6332">
        <w:rPr>
          <w:rFonts w:ascii="Arial" w:hAnsi="Arial" w:cs="Arial"/>
        </w:rPr>
        <w:t xml:space="preserve"> settings raised in international research literature include:</w:t>
      </w:r>
    </w:p>
    <w:p w14:paraId="1F32E1A5" w14:textId="77777777" w:rsidR="00EB65CD" w:rsidRPr="006A6332" w:rsidRDefault="00EB65CD" w:rsidP="00FE5C8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Arial" w:hAnsi="Arial" w:cs="Arial"/>
        </w:rPr>
      </w:pPr>
      <w:r w:rsidRPr="006A6332">
        <w:rPr>
          <w:rFonts w:ascii="Arial" w:hAnsi="Arial" w:cs="Arial"/>
        </w:rPr>
        <w:t xml:space="preserve">Poor completion rates by </w:t>
      </w:r>
      <w:r w:rsidR="007A7353">
        <w:rPr>
          <w:rFonts w:ascii="Arial" w:hAnsi="Arial" w:cs="Arial"/>
        </w:rPr>
        <w:t>emergency department</w:t>
      </w:r>
      <w:r w:rsidRPr="006A6332">
        <w:rPr>
          <w:rFonts w:ascii="Arial" w:hAnsi="Arial" w:cs="Arial"/>
        </w:rPr>
        <w:t xml:space="preserve"> staff (resulting from high patient turnover in emergency departments</w:t>
      </w:r>
      <w:r w:rsidR="00E75B41">
        <w:rPr>
          <w:rFonts w:ascii="Arial" w:hAnsi="Arial" w:cs="Arial"/>
        </w:rPr>
        <w:t>,</w:t>
      </w:r>
      <w:r w:rsidRPr="006A6332">
        <w:rPr>
          <w:rFonts w:ascii="Arial" w:hAnsi="Arial" w:cs="Arial"/>
        </w:rPr>
        <w:t xml:space="preserve"> no opportunity for longitudinal observation</w:t>
      </w:r>
      <w:r w:rsidR="00E75B41">
        <w:rPr>
          <w:rFonts w:ascii="Arial" w:hAnsi="Arial" w:cs="Arial"/>
        </w:rPr>
        <w:t>, and co-morbid physiological and psychological presentations</w:t>
      </w:r>
      <w:r w:rsidRPr="006A6332">
        <w:rPr>
          <w:rFonts w:ascii="Arial" w:hAnsi="Arial" w:cs="Arial"/>
        </w:rPr>
        <w:t>)</w:t>
      </w:r>
    </w:p>
    <w:p w14:paraId="7E073534" w14:textId="6692ACDA" w:rsidR="00EB65CD" w:rsidRPr="006A6332" w:rsidRDefault="00EB65CD" w:rsidP="00FE5C8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Arial" w:hAnsi="Arial" w:cs="Arial"/>
        </w:rPr>
      </w:pPr>
      <w:r w:rsidRPr="6115D217">
        <w:rPr>
          <w:rFonts w:ascii="Arial" w:hAnsi="Arial" w:cs="Arial"/>
        </w:rPr>
        <w:t>Interference with</w:t>
      </w:r>
      <w:r w:rsidR="41682FD2" w:rsidRPr="6115D217">
        <w:rPr>
          <w:rFonts w:ascii="Arial" w:hAnsi="Arial" w:cs="Arial"/>
        </w:rPr>
        <w:t>,</w:t>
      </w:r>
      <w:r w:rsidRPr="6115D217">
        <w:rPr>
          <w:rFonts w:ascii="Arial" w:hAnsi="Arial" w:cs="Arial"/>
        </w:rPr>
        <w:t xml:space="preserve"> or duplication of</w:t>
      </w:r>
      <w:r w:rsidR="0325B85A" w:rsidRPr="6115D217">
        <w:rPr>
          <w:rFonts w:ascii="Arial" w:hAnsi="Arial" w:cs="Arial"/>
        </w:rPr>
        <w:t>,</w:t>
      </w:r>
      <w:r w:rsidRPr="6115D217">
        <w:rPr>
          <w:rFonts w:ascii="Arial" w:hAnsi="Arial" w:cs="Arial"/>
        </w:rPr>
        <w:t xml:space="preserve"> triage processes</w:t>
      </w:r>
    </w:p>
    <w:p w14:paraId="759109EB" w14:textId="77777777" w:rsidR="00EB65CD" w:rsidRPr="006A6332" w:rsidRDefault="00EB65CD" w:rsidP="00FE5C85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Arial" w:hAnsi="Arial" w:cs="Arial"/>
        </w:rPr>
      </w:pPr>
      <w:r w:rsidRPr="006A6332">
        <w:rPr>
          <w:rFonts w:ascii="Arial" w:hAnsi="Arial" w:cs="Arial"/>
        </w:rPr>
        <w:t>Variable reliability of RRAD tools in validation studies specific to emergency</w:t>
      </w:r>
      <w:r w:rsidR="00E75B41">
        <w:rPr>
          <w:rFonts w:ascii="Arial" w:hAnsi="Arial" w:cs="Arial"/>
        </w:rPr>
        <w:t xml:space="preserve"> or acute</w:t>
      </w:r>
      <w:r w:rsidRPr="006A6332">
        <w:rPr>
          <w:rFonts w:ascii="Arial" w:hAnsi="Arial" w:cs="Arial"/>
        </w:rPr>
        <w:t xml:space="preserve"> settings</w:t>
      </w:r>
    </w:p>
    <w:p w14:paraId="58366A4A" w14:textId="009F32D4" w:rsidR="00EB65CD" w:rsidRDefault="00EB65CD" w:rsidP="00FE5C85">
      <w:pPr>
        <w:spacing w:after="120" w:line="240" w:lineRule="auto"/>
        <w:rPr>
          <w:rFonts w:ascii="Arial" w:hAnsi="Arial" w:cs="Arial"/>
        </w:rPr>
      </w:pPr>
      <w:r w:rsidRPr="6115D217">
        <w:rPr>
          <w:rFonts w:ascii="Arial" w:hAnsi="Arial" w:cs="Arial"/>
        </w:rPr>
        <w:t>Many of these issues may be overcome through effective implementation and systematic review of emergency department processes</w:t>
      </w:r>
      <w:r w:rsidR="005D1BF5" w:rsidRPr="6115D217">
        <w:rPr>
          <w:rFonts w:ascii="Arial" w:hAnsi="Arial" w:cs="Arial"/>
        </w:rPr>
        <w:t>;</w:t>
      </w:r>
      <w:r w:rsidRPr="6115D217">
        <w:rPr>
          <w:rFonts w:ascii="Arial" w:hAnsi="Arial" w:cs="Arial"/>
        </w:rPr>
        <w:t xml:space="preserve"> and this policy review offers the opportunity to </w:t>
      </w:r>
      <w:r w:rsidR="0046661A" w:rsidRPr="0046661A">
        <w:rPr>
          <w:rFonts w:ascii="Arial" w:hAnsi="Arial" w:cs="Arial"/>
        </w:rPr>
        <w:t xml:space="preserve">standardise RRAD requirements in all settings (including acute settings) across WA health. A consistent approach will support </w:t>
      </w:r>
      <w:r w:rsidR="0046661A" w:rsidRPr="0046661A">
        <w:rPr>
          <w:rFonts w:ascii="Arial" w:hAnsi="Arial" w:cs="Arial"/>
        </w:rPr>
        <w:lastRenderedPageBreak/>
        <w:t>safety and quality and lay the groundwork for standardisation as we move towards electronic medical records.</w:t>
      </w:r>
    </w:p>
    <w:p w14:paraId="3A9884B5" w14:textId="77777777" w:rsidR="00117F54" w:rsidRPr="006A6332" w:rsidRDefault="00747BA7" w:rsidP="00FE5C85">
      <w:pPr>
        <w:spacing w:after="120" w:line="240" w:lineRule="auto"/>
        <w:rPr>
          <w:rFonts w:ascii="Arial" w:hAnsi="Arial" w:cs="Arial"/>
          <w:b/>
          <w:color w:val="005B38"/>
        </w:rPr>
      </w:pPr>
      <w:r>
        <w:rPr>
          <w:rFonts w:ascii="Arial" w:hAnsi="Arial" w:cs="Arial"/>
          <w:b/>
          <w:color w:val="005B38"/>
        </w:rPr>
        <w:t>Inclusion of s</w:t>
      </w:r>
      <w:r w:rsidR="00117F54" w:rsidRPr="006A6332">
        <w:rPr>
          <w:rFonts w:ascii="Arial" w:hAnsi="Arial" w:cs="Arial"/>
          <w:b/>
          <w:color w:val="005B38"/>
        </w:rPr>
        <w:t>epsis</w:t>
      </w:r>
      <w:r w:rsidR="001B5286">
        <w:rPr>
          <w:rFonts w:ascii="Arial" w:hAnsi="Arial" w:cs="Arial"/>
          <w:b/>
          <w:color w:val="005B38"/>
        </w:rPr>
        <w:t xml:space="preserve"> pathways </w:t>
      </w:r>
      <w:r>
        <w:rPr>
          <w:rFonts w:ascii="Arial" w:hAnsi="Arial" w:cs="Arial"/>
          <w:b/>
          <w:color w:val="005B38"/>
        </w:rPr>
        <w:t>in RRAD systems</w:t>
      </w:r>
    </w:p>
    <w:p w14:paraId="0827D5D8" w14:textId="533A6871" w:rsidR="00770058" w:rsidRDefault="007A7353" w:rsidP="00FE5C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Like</w:t>
      </w:r>
      <w:r w:rsidR="001B5286">
        <w:rPr>
          <w:rFonts w:ascii="Arial" w:hAnsi="Arial" w:cs="Arial"/>
        </w:rPr>
        <w:t xml:space="preserve"> consideration for universal applicability of RRAD systems across all WA Health settings, </w:t>
      </w:r>
      <w:r w:rsidR="00445070">
        <w:rPr>
          <w:rFonts w:ascii="Arial" w:hAnsi="Arial" w:cs="Arial"/>
        </w:rPr>
        <w:t>r</w:t>
      </w:r>
      <w:r w:rsidR="00054AED" w:rsidRPr="006A6332">
        <w:rPr>
          <w:rFonts w:ascii="Arial" w:hAnsi="Arial" w:cs="Arial"/>
        </w:rPr>
        <w:t>ecent clinical incidents</w:t>
      </w:r>
      <w:r w:rsidR="00445070">
        <w:rPr>
          <w:rFonts w:ascii="Arial" w:hAnsi="Arial" w:cs="Arial"/>
        </w:rPr>
        <w:t xml:space="preserve"> have highlighted the </w:t>
      </w:r>
      <w:r w:rsidR="001B5286">
        <w:rPr>
          <w:rFonts w:ascii="Arial" w:hAnsi="Arial" w:cs="Arial"/>
        </w:rPr>
        <w:t>need to include sepsis recognition prompts and management pathways as part of RRAD systems</w:t>
      </w:r>
      <w:r w:rsidR="00770058" w:rsidRPr="00770058">
        <w:rPr>
          <w:rFonts w:ascii="Arial" w:hAnsi="Arial" w:cs="Arial"/>
          <w:b/>
        </w:rPr>
        <w:t xml:space="preserve"> (A</w:t>
      </w:r>
      <w:r w:rsidR="000E6874">
        <w:rPr>
          <w:rFonts w:ascii="Arial" w:hAnsi="Arial" w:cs="Arial"/>
          <w:b/>
        </w:rPr>
        <w:t xml:space="preserve">ttachment </w:t>
      </w:r>
      <w:r w:rsidR="003C7A01">
        <w:rPr>
          <w:rFonts w:ascii="Arial" w:hAnsi="Arial" w:cs="Arial"/>
          <w:b/>
        </w:rPr>
        <w:t>1</w:t>
      </w:r>
      <w:r w:rsidR="00770058" w:rsidRPr="00770058">
        <w:rPr>
          <w:rFonts w:ascii="Arial" w:hAnsi="Arial" w:cs="Arial"/>
          <w:b/>
        </w:rPr>
        <w:t>)</w:t>
      </w:r>
      <w:r w:rsidR="001B5286" w:rsidRPr="00770058">
        <w:rPr>
          <w:rFonts w:ascii="Arial" w:hAnsi="Arial" w:cs="Arial"/>
          <w:b/>
        </w:rPr>
        <w:t xml:space="preserve">. </w:t>
      </w:r>
    </w:p>
    <w:p w14:paraId="10ED0A05" w14:textId="121BC0F3" w:rsidR="007D10E7" w:rsidRDefault="007D10E7" w:rsidP="00FE5C85">
      <w:pPr>
        <w:spacing w:after="120" w:line="240" w:lineRule="auto"/>
        <w:rPr>
          <w:rFonts w:ascii="Arial" w:hAnsi="Arial" w:cs="Arial"/>
        </w:rPr>
      </w:pPr>
      <w:r w:rsidRPr="007D10E7">
        <w:rPr>
          <w:rFonts w:ascii="Arial" w:hAnsi="Arial" w:cs="Arial"/>
        </w:rPr>
        <w:t>In 2021, the Child and Adolescent Health Service introduced a Paediatric Acute Recognition and Response Observation Tool at Perth Children’s Hospital which includes a sepsis recognition pathway. Further consideration is underway across Health Services regarding the use of this tool across WA Health services</w:t>
      </w:r>
      <w:r w:rsidR="00D447E1">
        <w:rPr>
          <w:rFonts w:ascii="Arial" w:hAnsi="Arial" w:cs="Arial"/>
        </w:rPr>
        <w:t>.</w:t>
      </w:r>
    </w:p>
    <w:p w14:paraId="66CE31E0" w14:textId="7E4AA6C7" w:rsidR="00117F54" w:rsidRPr="006A6332" w:rsidRDefault="00117F54" w:rsidP="00FE5C85">
      <w:pPr>
        <w:spacing w:after="120" w:line="240" w:lineRule="auto"/>
        <w:rPr>
          <w:rFonts w:ascii="Arial" w:hAnsi="Arial" w:cs="Arial"/>
          <w:b/>
          <w:color w:val="005B38"/>
        </w:rPr>
      </w:pPr>
      <w:r w:rsidRPr="006A6332">
        <w:rPr>
          <w:rFonts w:ascii="Arial" w:hAnsi="Arial" w:cs="Arial"/>
          <w:b/>
          <w:color w:val="005B38"/>
        </w:rPr>
        <w:t xml:space="preserve">Interface </w:t>
      </w:r>
      <w:r w:rsidR="00747BA7">
        <w:rPr>
          <w:rFonts w:ascii="Arial" w:hAnsi="Arial" w:cs="Arial"/>
          <w:b/>
          <w:color w:val="005B38"/>
        </w:rPr>
        <w:t>of RRAD and</w:t>
      </w:r>
      <w:r w:rsidRPr="006A6332">
        <w:rPr>
          <w:rFonts w:ascii="Arial" w:hAnsi="Arial" w:cs="Arial"/>
          <w:b/>
          <w:color w:val="005B38"/>
        </w:rPr>
        <w:t xml:space="preserve"> Comprehensive Care</w:t>
      </w:r>
      <w:r w:rsidR="006A4B34" w:rsidRPr="006A6332">
        <w:rPr>
          <w:rFonts w:ascii="Arial" w:hAnsi="Arial" w:cs="Arial"/>
          <w:b/>
          <w:color w:val="005B38"/>
        </w:rPr>
        <w:t xml:space="preserve"> Standard</w:t>
      </w:r>
      <w:r w:rsidR="00747BA7">
        <w:rPr>
          <w:rFonts w:ascii="Arial" w:hAnsi="Arial" w:cs="Arial"/>
          <w:b/>
          <w:color w:val="005B38"/>
        </w:rPr>
        <w:t>s</w:t>
      </w:r>
    </w:p>
    <w:p w14:paraId="0F5C4F4C" w14:textId="6F90E8D4" w:rsidR="005B26FF" w:rsidRDefault="005B26FF" w:rsidP="00FE5C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the introduction of NSQHSS v.2., guidance pertaining to clinical </w:t>
      </w:r>
      <w:r w:rsidR="00DA7294">
        <w:rPr>
          <w:rFonts w:ascii="Arial" w:hAnsi="Arial" w:cs="Arial"/>
        </w:rPr>
        <w:t>areas</w:t>
      </w:r>
      <w:r>
        <w:rPr>
          <w:rFonts w:ascii="Arial" w:hAnsi="Arial" w:cs="Arial"/>
        </w:rPr>
        <w:t xml:space="preserve"> within Standard 8 interfaces closely with guidance pertaining to clinical issues within </w:t>
      </w:r>
      <w:r w:rsidRPr="005B26FF">
        <w:rPr>
          <w:rFonts w:ascii="Arial" w:hAnsi="Arial" w:cs="Arial"/>
          <w:i/>
        </w:rPr>
        <w:t>Standard 5: Comprehensive Care</w:t>
      </w:r>
      <w:r>
        <w:rPr>
          <w:rFonts w:ascii="Arial" w:hAnsi="Arial" w:cs="Arial"/>
        </w:rPr>
        <w:t>.</w:t>
      </w:r>
    </w:p>
    <w:p w14:paraId="635ABFD1" w14:textId="7C7BEE18" w:rsidR="00EB65CD" w:rsidRDefault="005B26FF" w:rsidP="00FE5C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580E83">
        <w:rPr>
          <w:rFonts w:ascii="Arial" w:hAnsi="Arial" w:cs="Arial"/>
        </w:rPr>
        <w:t>is guidance relates to the following clinical</w:t>
      </w:r>
      <w:r>
        <w:rPr>
          <w:rFonts w:ascii="Arial" w:hAnsi="Arial" w:cs="Arial"/>
        </w:rPr>
        <w:t xml:space="preserve"> </w:t>
      </w:r>
      <w:r w:rsidR="00DA7294">
        <w:rPr>
          <w:rFonts w:ascii="Arial" w:hAnsi="Arial" w:cs="Arial"/>
        </w:rPr>
        <w:t>area</w:t>
      </w:r>
      <w:r>
        <w:rPr>
          <w:rFonts w:ascii="Arial" w:hAnsi="Arial" w:cs="Arial"/>
        </w:rPr>
        <w:t>s:</w:t>
      </w:r>
    </w:p>
    <w:p w14:paraId="2B7DB162" w14:textId="77777777" w:rsidR="005B26FF" w:rsidRPr="005B26FF" w:rsidRDefault="00770058" w:rsidP="00FE5C85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Goals of care, </w:t>
      </w:r>
      <w:r w:rsidRPr="005B26FF">
        <w:rPr>
          <w:rFonts w:ascii="Arial" w:hAnsi="Arial" w:cs="Arial"/>
        </w:rPr>
        <w:t>End-of-life</w:t>
      </w:r>
      <w:r>
        <w:rPr>
          <w:rFonts w:ascii="Arial" w:hAnsi="Arial" w:cs="Arial"/>
        </w:rPr>
        <w:t>, and</w:t>
      </w:r>
      <w:r w:rsidR="005B26FF" w:rsidRPr="005B26FF">
        <w:rPr>
          <w:rFonts w:ascii="Arial" w:hAnsi="Arial" w:cs="Arial"/>
        </w:rPr>
        <w:t xml:space="preserve"> advanced care planning</w:t>
      </w:r>
    </w:p>
    <w:p w14:paraId="100ACB21" w14:textId="77777777" w:rsidR="005B26FF" w:rsidRPr="005B26FF" w:rsidRDefault="005B26FF" w:rsidP="00FE5C85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Arial" w:hAnsi="Arial" w:cs="Arial"/>
        </w:rPr>
      </w:pPr>
      <w:r w:rsidRPr="005B26FF">
        <w:rPr>
          <w:rFonts w:ascii="Arial" w:hAnsi="Arial" w:cs="Arial"/>
        </w:rPr>
        <w:t>Delirium and cognitive impairment</w:t>
      </w:r>
    </w:p>
    <w:p w14:paraId="091F7241" w14:textId="77777777" w:rsidR="005B26FF" w:rsidRPr="005B26FF" w:rsidRDefault="005B26FF" w:rsidP="00FE5C85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Arial" w:hAnsi="Arial" w:cs="Arial"/>
        </w:rPr>
      </w:pPr>
      <w:r w:rsidRPr="005B26FF">
        <w:rPr>
          <w:rFonts w:ascii="Arial" w:hAnsi="Arial" w:cs="Arial"/>
        </w:rPr>
        <w:t>Psychological and behavioural</w:t>
      </w:r>
      <w:r w:rsidR="00580E83">
        <w:rPr>
          <w:rFonts w:ascii="Arial" w:hAnsi="Arial" w:cs="Arial"/>
        </w:rPr>
        <w:t xml:space="preserve"> disturbance</w:t>
      </w:r>
      <w:r w:rsidRPr="005B26FF">
        <w:rPr>
          <w:rFonts w:ascii="Arial" w:hAnsi="Arial" w:cs="Arial"/>
        </w:rPr>
        <w:t xml:space="preserve"> (suicide</w:t>
      </w:r>
      <w:r w:rsidR="00580E83">
        <w:rPr>
          <w:rFonts w:ascii="Arial" w:hAnsi="Arial" w:cs="Arial"/>
        </w:rPr>
        <w:t xml:space="preserve"> risk</w:t>
      </w:r>
      <w:r w:rsidRPr="005B26FF">
        <w:rPr>
          <w:rFonts w:ascii="Arial" w:hAnsi="Arial" w:cs="Arial"/>
        </w:rPr>
        <w:t>, violence and aggression, mental state)</w:t>
      </w:r>
    </w:p>
    <w:p w14:paraId="4B35CF3C" w14:textId="43D12BDC" w:rsidR="00EB65CD" w:rsidRPr="006A6332" w:rsidRDefault="00580E83" w:rsidP="00FE5C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policy review provides an opportunity to understand how HSPs manag</w:t>
      </w:r>
      <w:r w:rsidR="00E75B4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the interface between Standard 8 and Standard 5, and whether issues</w:t>
      </w:r>
      <w:r w:rsidR="00DA7294">
        <w:rPr>
          <w:rFonts w:ascii="Arial" w:hAnsi="Arial" w:cs="Arial"/>
        </w:rPr>
        <w:t xml:space="preserve"> relating to the clinical areas ab</w:t>
      </w:r>
      <w:r w:rsidR="000B4716">
        <w:rPr>
          <w:rFonts w:ascii="Arial" w:hAnsi="Arial" w:cs="Arial"/>
        </w:rPr>
        <w:t>ove</w:t>
      </w:r>
      <w:r>
        <w:rPr>
          <w:rFonts w:ascii="Arial" w:hAnsi="Arial" w:cs="Arial"/>
        </w:rPr>
        <w:t xml:space="preserve"> may be best </w:t>
      </w:r>
      <w:r w:rsidR="00E75B41">
        <w:rPr>
          <w:rFonts w:ascii="Arial" w:hAnsi="Arial" w:cs="Arial"/>
        </w:rPr>
        <w:t>supported</w:t>
      </w:r>
      <w:r>
        <w:rPr>
          <w:rFonts w:ascii="Arial" w:hAnsi="Arial" w:cs="Arial"/>
        </w:rPr>
        <w:t xml:space="preserve"> through co-ordinated state-wide planning.</w:t>
      </w:r>
    </w:p>
    <w:p w14:paraId="6A5C00BE" w14:textId="1148CCF0" w:rsidR="00117F54" w:rsidRPr="006A6332" w:rsidRDefault="00117F54" w:rsidP="00FE5C85">
      <w:pPr>
        <w:spacing w:after="120" w:line="240" w:lineRule="auto"/>
        <w:rPr>
          <w:rFonts w:ascii="Arial" w:hAnsi="Arial" w:cs="Arial"/>
          <w:b/>
          <w:color w:val="005B38"/>
        </w:rPr>
      </w:pPr>
      <w:r w:rsidRPr="006A6332">
        <w:rPr>
          <w:rFonts w:ascii="Arial" w:hAnsi="Arial" w:cs="Arial"/>
          <w:b/>
          <w:color w:val="005B38"/>
        </w:rPr>
        <w:t>Roles of HSPs and DoH</w:t>
      </w:r>
      <w:r w:rsidR="00747BA7">
        <w:rPr>
          <w:rFonts w:ascii="Arial" w:hAnsi="Arial" w:cs="Arial"/>
          <w:b/>
          <w:color w:val="005B38"/>
        </w:rPr>
        <w:t xml:space="preserve"> in implementing, monitoring</w:t>
      </w:r>
      <w:r w:rsidR="00221A3E">
        <w:rPr>
          <w:rFonts w:ascii="Arial" w:hAnsi="Arial" w:cs="Arial"/>
          <w:b/>
          <w:color w:val="005B38"/>
        </w:rPr>
        <w:t>,</w:t>
      </w:r>
      <w:r w:rsidR="00747BA7">
        <w:rPr>
          <w:rFonts w:ascii="Arial" w:hAnsi="Arial" w:cs="Arial"/>
          <w:b/>
          <w:color w:val="005B38"/>
        </w:rPr>
        <w:t xml:space="preserve"> and evaluating the RRAD policy</w:t>
      </w:r>
    </w:p>
    <w:p w14:paraId="34475140" w14:textId="5409D789" w:rsidR="001D2D01" w:rsidRPr="001D2D01" w:rsidRDefault="00117F54" w:rsidP="00FE5C85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t>Th</w:t>
      </w:r>
      <w:r w:rsidR="00747BA7">
        <w:rPr>
          <w:rFonts w:ascii="Arial" w:hAnsi="Arial" w:cs="Arial"/>
        </w:rPr>
        <w:t>e RRAD</w:t>
      </w:r>
      <w:r w:rsidRPr="006A6332">
        <w:rPr>
          <w:rFonts w:ascii="Arial" w:hAnsi="Arial" w:cs="Arial"/>
        </w:rPr>
        <w:t xml:space="preserve"> policy is a mandatory requirement under the </w:t>
      </w:r>
      <w:r w:rsidRPr="006A6332">
        <w:rPr>
          <w:rFonts w:ascii="Arial" w:hAnsi="Arial" w:cs="Arial"/>
          <w:i/>
        </w:rPr>
        <w:t>Clinical Governance, Safety and Quality Policy Framework</w:t>
      </w:r>
      <w:r w:rsidRPr="001D2D01">
        <w:rPr>
          <w:rFonts w:ascii="Arial" w:hAnsi="Arial" w:cs="Arial"/>
        </w:rPr>
        <w:t xml:space="preserve">. </w:t>
      </w:r>
      <w:r w:rsidR="00E75B41" w:rsidRPr="001D2D01">
        <w:rPr>
          <w:rFonts w:ascii="Arial" w:hAnsi="Arial" w:cs="Arial"/>
        </w:rPr>
        <w:t xml:space="preserve">The current governance and assurance arrangements for RRAD require HSPs to </w:t>
      </w:r>
      <w:r w:rsidR="00EC4A13" w:rsidRPr="001D2D01">
        <w:rPr>
          <w:rFonts w:ascii="Arial" w:hAnsi="Arial" w:cs="Arial"/>
        </w:rPr>
        <w:t>ensure</w:t>
      </w:r>
      <w:r w:rsidR="00E75B41" w:rsidRPr="001D2D01">
        <w:rPr>
          <w:rFonts w:ascii="Arial" w:hAnsi="Arial" w:cs="Arial"/>
        </w:rPr>
        <w:t xml:space="preserve"> their own compliance with the </w:t>
      </w:r>
      <w:r w:rsidR="00747BA7" w:rsidRPr="001D2D01">
        <w:rPr>
          <w:rFonts w:ascii="Arial" w:hAnsi="Arial" w:cs="Arial"/>
        </w:rPr>
        <w:t xml:space="preserve">RRAD </w:t>
      </w:r>
      <w:r w:rsidR="00E75B41" w:rsidRPr="001D2D01">
        <w:rPr>
          <w:rFonts w:ascii="Arial" w:hAnsi="Arial" w:cs="Arial"/>
        </w:rPr>
        <w:t>policy</w:t>
      </w:r>
      <w:r w:rsidR="00747BA7" w:rsidRPr="001D2D01">
        <w:rPr>
          <w:rFonts w:ascii="Arial" w:hAnsi="Arial" w:cs="Arial"/>
        </w:rPr>
        <w:t>;</w:t>
      </w:r>
      <w:r w:rsidR="00E75B41" w:rsidRPr="001D2D01">
        <w:rPr>
          <w:rFonts w:ascii="Arial" w:hAnsi="Arial" w:cs="Arial"/>
        </w:rPr>
        <w:t xml:space="preserve"> with provision for the System Manager </w:t>
      </w:r>
      <w:r w:rsidR="00747BA7" w:rsidRPr="001D2D01">
        <w:rPr>
          <w:rFonts w:ascii="Arial" w:hAnsi="Arial" w:cs="Arial"/>
        </w:rPr>
        <w:t xml:space="preserve">to </w:t>
      </w:r>
      <w:r w:rsidR="001D2D01" w:rsidRPr="001D2D01">
        <w:rPr>
          <w:rFonts w:ascii="Arial" w:hAnsi="Arial" w:cs="Arial"/>
        </w:rPr>
        <w:t>audit Health Service Provider compliance with the Policy and evaluate the effectiveness of the Policy.</w:t>
      </w:r>
    </w:p>
    <w:p w14:paraId="0E41A44A" w14:textId="7CEFA98F" w:rsidR="00E75B41" w:rsidRPr="006A6332" w:rsidRDefault="0019669A" w:rsidP="00FE5C85">
      <w:pPr>
        <w:spacing w:after="120" w:line="240" w:lineRule="auto"/>
        <w:rPr>
          <w:rFonts w:ascii="Arial" w:hAnsi="Arial" w:cs="Arial"/>
        </w:rPr>
      </w:pPr>
      <w:r w:rsidRPr="001D2D01">
        <w:rPr>
          <w:rFonts w:ascii="Arial" w:hAnsi="Arial" w:cs="Arial"/>
        </w:rPr>
        <w:t>T</w:t>
      </w:r>
      <w:r w:rsidR="00747BA7" w:rsidRPr="001D2D01">
        <w:rPr>
          <w:rFonts w:ascii="Arial" w:hAnsi="Arial" w:cs="Arial"/>
        </w:rPr>
        <w:t xml:space="preserve">he System Manager currently </w:t>
      </w:r>
      <w:r w:rsidR="00E75B41" w:rsidRPr="001D2D01">
        <w:rPr>
          <w:rFonts w:ascii="Arial" w:hAnsi="Arial" w:cs="Arial"/>
        </w:rPr>
        <w:t>monitor</w:t>
      </w:r>
      <w:r w:rsidR="00747BA7" w:rsidRPr="001D2D01">
        <w:rPr>
          <w:rFonts w:ascii="Arial" w:hAnsi="Arial" w:cs="Arial"/>
        </w:rPr>
        <w:t>s</w:t>
      </w:r>
      <w:r w:rsidR="00E75B41" w:rsidRPr="001D2D01">
        <w:rPr>
          <w:rFonts w:ascii="Arial" w:hAnsi="Arial" w:cs="Arial"/>
        </w:rPr>
        <w:t xml:space="preserve"> compliance with</w:t>
      </w:r>
      <w:r w:rsidR="00E75B41">
        <w:rPr>
          <w:rFonts w:ascii="Arial" w:hAnsi="Arial" w:cs="Arial"/>
        </w:rPr>
        <w:t xml:space="preserve"> the policy </w:t>
      </w:r>
      <w:r w:rsidR="00747BA7">
        <w:rPr>
          <w:rFonts w:ascii="Arial" w:hAnsi="Arial" w:cs="Arial"/>
        </w:rPr>
        <w:t>through</w:t>
      </w:r>
      <w:r w:rsidR="00E75B41">
        <w:rPr>
          <w:rFonts w:ascii="Arial" w:hAnsi="Arial" w:cs="Arial"/>
        </w:rPr>
        <w:t xml:space="preserve"> accreditation</w:t>
      </w:r>
      <w:r>
        <w:rPr>
          <w:rFonts w:ascii="Arial" w:hAnsi="Arial" w:cs="Arial"/>
        </w:rPr>
        <w:t>,</w:t>
      </w:r>
      <w:r w:rsidR="00747BA7">
        <w:rPr>
          <w:rFonts w:ascii="Arial" w:hAnsi="Arial" w:cs="Arial"/>
        </w:rPr>
        <w:t xml:space="preserve"> clinical incident management</w:t>
      </w:r>
      <w:r>
        <w:rPr>
          <w:rFonts w:ascii="Arial" w:hAnsi="Arial" w:cs="Arial"/>
        </w:rPr>
        <w:t>, and an annual policy assurance process</w:t>
      </w:r>
      <w:r w:rsidR="00747BA7">
        <w:rPr>
          <w:rFonts w:ascii="Arial" w:hAnsi="Arial" w:cs="Arial"/>
        </w:rPr>
        <w:t xml:space="preserve">. </w:t>
      </w:r>
    </w:p>
    <w:p w14:paraId="07486E06" w14:textId="458DBB0C" w:rsidR="00E75B41" w:rsidRPr="00474D01" w:rsidRDefault="003441E1" w:rsidP="00FE5C85">
      <w:pPr>
        <w:spacing w:after="120" w:line="240" w:lineRule="auto"/>
        <w:rPr>
          <w:rFonts w:ascii="Arial" w:hAnsi="Arial" w:cs="Arial"/>
        </w:rPr>
      </w:pPr>
      <w:r w:rsidRPr="00474D01">
        <w:rPr>
          <w:rFonts w:ascii="Arial" w:hAnsi="Arial" w:cs="Arial"/>
        </w:rPr>
        <w:t xml:space="preserve">Supporting </w:t>
      </w:r>
      <w:r w:rsidR="00B532B1" w:rsidRPr="00474D01">
        <w:rPr>
          <w:rFonts w:ascii="Arial" w:hAnsi="Arial" w:cs="Arial"/>
        </w:rPr>
        <w:t>information</w:t>
      </w:r>
      <w:r w:rsidRPr="00474D01">
        <w:rPr>
          <w:rFonts w:ascii="Arial" w:hAnsi="Arial" w:cs="Arial"/>
        </w:rPr>
        <w:t xml:space="preserve"> for the previous RRAD Policy included</w:t>
      </w:r>
      <w:r w:rsidR="00E75B41" w:rsidRPr="00474D01">
        <w:rPr>
          <w:rFonts w:ascii="Arial" w:hAnsi="Arial" w:cs="Arial"/>
        </w:rPr>
        <w:t>:</w:t>
      </w:r>
    </w:p>
    <w:p w14:paraId="00B18612" w14:textId="42057ABC" w:rsidR="00E75B41" w:rsidRPr="00E05669" w:rsidRDefault="00960C62" w:rsidP="00474D01">
      <w:pPr>
        <w:pStyle w:val="ListParagraph"/>
        <w:numPr>
          <w:ilvl w:val="0"/>
          <w:numId w:val="29"/>
        </w:numPr>
        <w:shd w:val="clear" w:color="auto" w:fill="FFFFFF" w:themeFill="background1"/>
        <w:spacing w:after="120" w:line="240" w:lineRule="auto"/>
        <w:contextualSpacing w:val="0"/>
        <w:rPr>
          <w:rStyle w:val="Hyperlink"/>
          <w:rFonts w:cs="Arial"/>
          <w:i/>
          <w:color w:val="auto"/>
          <w:sz w:val="22"/>
          <w:u w:val="none"/>
        </w:rPr>
      </w:pPr>
      <w:hyperlink r:id="rId11" w:history="1">
        <w:r w:rsidR="00E75B41" w:rsidRPr="008A6F09">
          <w:rPr>
            <w:rStyle w:val="Hyperlink"/>
            <w:rFonts w:cs="Arial"/>
            <w:i/>
            <w:sz w:val="22"/>
          </w:rPr>
          <w:t>The WA Health Recognising and Responding to Acute Deterioration Guideline</w:t>
        </w:r>
      </w:hyperlink>
    </w:p>
    <w:p w14:paraId="70F501D2" w14:textId="41540496" w:rsidR="00E05669" w:rsidRPr="00E05669" w:rsidRDefault="00E05669" w:rsidP="00E05669">
      <w:pPr>
        <w:shd w:val="clear" w:color="auto" w:fill="FFFFFF" w:themeFill="background1"/>
        <w:spacing w:after="12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E05669">
        <w:rPr>
          <w:rFonts w:ascii="Arial" w:eastAsia="Times New Roman" w:hAnsi="Arial" w:cs="Arial"/>
        </w:rPr>
        <w:t>WA Health Service Providers</w:t>
      </w:r>
      <w:r w:rsidR="00A97489">
        <w:rPr>
          <w:rFonts w:ascii="Arial" w:eastAsia="Times New Roman" w:hAnsi="Arial" w:cs="Arial"/>
        </w:rPr>
        <w:t xml:space="preserve"> now</w:t>
      </w:r>
      <w:r w:rsidRPr="00E05669">
        <w:rPr>
          <w:rFonts w:ascii="Arial" w:eastAsia="Times New Roman" w:hAnsi="Arial" w:cs="Arial"/>
        </w:rPr>
        <w:t xml:space="preserve"> have their own guidelines</w:t>
      </w:r>
      <w:r w:rsidR="00A97489">
        <w:rPr>
          <w:rFonts w:ascii="Arial" w:eastAsia="Times New Roman" w:hAnsi="Arial" w:cs="Arial"/>
        </w:rPr>
        <w:t xml:space="preserve"> or procedures</w:t>
      </w:r>
      <w:r w:rsidRPr="00E05669">
        <w:rPr>
          <w:rFonts w:ascii="Arial" w:eastAsia="Times New Roman" w:hAnsi="Arial" w:cs="Arial"/>
        </w:rPr>
        <w:t xml:space="preserve"> (Attachment 2)</w:t>
      </w:r>
    </w:p>
    <w:p w14:paraId="35710242" w14:textId="21BAA28E" w:rsidR="00E75B41" w:rsidRPr="00E05669" w:rsidRDefault="00960C62" w:rsidP="00474D01">
      <w:pPr>
        <w:pStyle w:val="ListParagraph"/>
        <w:numPr>
          <w:ilvl w:val="0"/>
          <w:numId w:val="29"/>
        </w:numPr>
        <w:shd w:val="clear" w:color="auto" w:fill="FFFFFF" w:themeFill="background1"/>
        <w:spacing w:after="120" w:line="240" w:lineRule="auto"/>
        <w:contextualSpacing w:val="0"/>
        <w:rPr>
          <w:rStyle w:val="Hyperlink"/>
          <w:rFonts w:cs="Arial"/>
          <w:i/>
          <w:color w:val="auto"/>
          <w:sz w:val="22"/>
          <w:u w:val="none"/>
        </w:rPr>
      </w:pPr>
      <w:hyperlink r:id="rId12" w:history="1">
        <w:r w:rsidR="00E75B41" w:rsidRPr="00474D01">
          <w:rPr>
            <w:rStyle w:val="Hyperlink"/>
            <w:rFonts w:cs="Arial"/>
            <w:i/>
            <w:sz w:val="22"/>
          </w:rPr>
          <w:t>A Model of an Acute Deterioration Policy Compliance Assessment and Action Form</w:t>
        </w:r>
      </w:hyperlink>
    </w:p>
    <w:p w14:paraId="62972986" w14:textId="0512A261" w:rsidR="002D4D0C" w:rsidRDefault="002D4D0C" w:rsidP="002D4D0C">
      <w:pPr>
        <w:shd w:val="clear" w:color="auto" w:fill="FFFFFF" w:themeFill="background1"/>
        <w:spacing w:after="120" w:line="240" w:lineRule="auto"/>
        <w:ind w:left="3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</w:t>
      </w:r>
      <w:r w:rsidR="00F43207" w:rsidRPr="00F43207">
        <w:rPr>
          <w:rFonts w:ascii="Arial" w:hAnsi="Arial" w:cs="Arial"/>
          <w:iCs/>
        </w:rPr>
        <w:t>quivalent resource</w:t>
      </w:r>
      <w:r>
        <w:rPr>
          <w:rFonts w:ascii="Arial" w:hAnsi="Arial" w:cs="Arial"/>
          <w:iCs/>
        </w:rPr>
        <w:t>s</w:t>
      </w:r>
      <w:r w:rsidR="00F43207" w:rsidRPr="00F4320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are</w:t>
      </w:r>
      <w:r w:rsidR="00F43207">
        <w:rPr>
          <w:rFonts w:ascii="Arial" w:hAnsi="Arial" w:cs="Arial"/>
          <w:iCs/>
        </w:rPr>
        <w:t xml:space="preserve"> provided by the Australian Commission on Safety and Quality in</w:t>
      </w:r>
      <w:r w:rsidR="00F43207" w:rsidRPr="00F4320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Health Care, linked as supporting material in the RRAD policy</w:t>
      </w:r>
    </w:p>
    <w:p w14:paraId="4B706DC7" w14:textId="799ED581" w:rsidR="00E75B41" w:rsidRPr="004C69A0" w:rsidRDefault="00960C62" w:rsidP="004C69A0">
      <w:pPr>
        <w:pStyle w:val="ListParagraph"/>
        <w:numPr>
          <w:ilvl w:val="0"/>
          <w:numId w:val="29"/>
        </w:numPr>
        <w:shd w:val="clear" w:color="auto" w:fill="FFFFFF" w:themeFill="background1"/>
        <w:spacing w:after="120" w:line="240" w:lineRule="auto"/>
        <w:rPr>
          <w:rStyle w:val="Hyperlink"/>
          <w:rFonts w:cs="Arial"/>
          <w:i/>
          <w:color w:val="auto"/>
          <w:sz w:val="22"/>
          <w:u w:val="none"/>
        </w:rPr>
      </w:pPr>
      <w:hyperlink r:id="rId13" w:history="1">
        <w:r w:rsidR="00E75B41" w:rsidRPr="004C69A0">
          <w:rPr>
            <w:rStyle w:val="Hyperlink"/>
            <w:rFonts w:cs="Arial"/>
            <w:i/>
            <w:sz w:val="22"/>
          </w:rPr>
          <w:t>Suggested Roles and Responsibilities for a Rapid Response Team</w:t>
        </w:r>
      </w:hyperlink>
    </w:p>
    <w:p w14:paraId="5D71A894" w14:textId="36EC1F8E" w:rsidR="004C69A0" w:rsidRPr="00D54471" w:rsidRDefault="00945EF3" w:rsidP="00945EF3">
      <w:pPr>
        <w:shd w:val="clear" w:color="auto" w:fill="FFFFFF" w:themeFill="background1"/>
        <w:spacing w:after="120" w:line="240" w:lineRule="auto"/>
        <w:ind w:left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WA Health Service Providers now have their own models of care and service pathways which include this guidance</w:t>
      </w:r>
    </w:p>
    <w:p w14:paraId="33303B64" w14:textId="1D11E38D" w:rsidR="00747BA7" w:rsidRPr="00747BA7" w:rsidRDefault="00747BA7" w:rsidP="00FE5C85">
      <w:pPr>
        <w:spacing w:after="120" w:line="240" w:lineRule="auto"/>
        <w:rPr>
          <w:rFonts w:ascii="Arial" w:hAnsi="Arial" w:cs="Arial"/>
          <w:sz w:val="10"/>
        </w:rPr>
      </w:pPr>
      <w:r>
        <w:rPr>
          <w:rFonts w:ascii="Arial" w:hAnsi="Arial" w:cs="Arial"/>
        </w:rPr>
        <w:t xml:space="preserve">This review seeks </w:t>
      </w:r>
      <w:r w:rsidR="00A13A0A">
        <w:rPr>
          <w:rFonts w:ascii="Arial" w:hAnsi="Arial" w:cs="Arial"/>
        </w:rPr>
        <w:t>to understand</w:t>
      </w:r>
      <w:r>
        <w:rPr>
          <w:rFonts w:ascii="Arial" w:hAnsi="Arial" w:cs="Arial"/>
        </w:rPr>
        <w:t xml:space="preserve"> the relevance of th</w:t>
      </w:r>
      <w:r w:rsidR="00526F3E">
        <w:rPr>
          <w:rFonts w:ascii="Arial" w:hAnsi="Arial" w:cs="Arial"/>
        </w:rPr>
        <w:t>ese</w:t>
      </w:r>
      <w:r>
        <w:rPr>
          <w:rFonts w:ascii="Arial" w:hAnsi="Arial" w:cs="Arial"/>
        </w:rPr>
        <w:t xml:space="preserve"> clinical guidance</w:t>
      </w:r>
      <w:r w:rsidR="003441E1">
        <w:rPr>
          <w:rFonts w:ascii="Arial" w:hAnsi="Arial" w:cs="Arial"/>
        </w:rPr>
        <w:t xml:space="preserve"> and possibility for rescindment</w:t>
      </w:r>
      <w:r w:rsidR="00C3350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given that HSPs are responsible for </w:t>
      </w:r>
      <w:r w:rsidR="00992EC9">
        <w:rPr>
          <w:rFonts w:ascii="Arial" w:hAnsi="Arial" w:cs="Arial"/>
        </w:rPr>
        <w:t>implementation</w:t>
      </w:r>
      <w:r>
        <w:rPr>
          <w:rFonts w:ascii="Arial" w:hAnsi="Arial" w:cs="Arial"/>
        </w:rPr>
        <w:t xml:space="preserve"> through the development of local RRAD policies and systems.</w:t>
      </w:r>
      <w:r>
        <w:rPr>
          <w:rFonts w:ascii="Arial" w:hAnsi="Arial" w:cs="Arial"/>
        </w:rPr>
        <w:br/>
      </w:r>
    </w:p>
    <w:p w14:paraId="5C634BD6" w14:textId="77777777" w:rsidR="00117F54" w:rsidRPr="009B1E7E" w:rsidRDefault="00747BA7" w:rsidP="00FE5C85">
      <w:pPr>
        <w:spacing w:after="120" w:line="240" w:lineRule="auto"/>
        <w:rPr>
          <w:rFonts w:ascii="Arial" w:hAnsi="Arial" w:cs="Arial"/>
          <w:b/>
          <w:color w:val="005B38"/>
          <w:sz w:val="24"/>
        </w:rPr>
      </w:pPr>
      <w:r>
        <w:rPr>
          <w:rFonts w:ascii="Arial" w:hAnsi="Arial" w:cs="Arial"/>
          <w:b/>
          <w:color w:val="005B38"/>
          <w:sz w:val="24"/>
        </w:rPr>
        <w:t>Considerations for i</w:t>
      </w:r>
      <w:r w:rsidR="00117F54" w:rsidRPr="009B1E7E">
        <w:rPr>
          <w:rFonts w:ascii="Arial" w:hAnsi="Arial" w:cs="Arial"/>
          <w:b/>
          <w:color w:val="005B38"/>
          <w:sz w:val="24"/>
        </w:rPr>
        <w:t xml:space="preserve">mplementation </w:t>
      </w:r>
      <w:r>
        <w:rPr>
          <w:rFonts w:ascii="Arial" w:hAnsi="Arial" w:cs="Arial"/>
          <w:b/>
          <w:color w:val="005B38"/>
          <w:sz w:val="24"/>
        </w:rPr>
        <w:t>of a revised RRAD policy</w:t>
      </w:r>
    </w:p>
    <w:p w14:paraId="686128C8" w14:textId="77777777" w:rsidR="00E25529" w:rsidRDefault="00351D26" w:rsidP="00FE5C85">
      <w:pPr>
        <w:spacing w:after="120" w:line="240" w:lineRule="auto"/>
        <w:rPr>
          <w:rFonts w:ascii="Arial" w:hAnsi="Arial" w:cs="Arial"/>
        </w:rPr>
      </w:pPr>
      <w:r w:rsidRPr="00351D26">
        <w:rPr>
          <w:rFonts w:ascii="Arial" w:hAnsi="Arial" w:cs="Arial"/>
        </w:rPr>
        <w:t xml:space="preserve">Any recommended changes to the RRAD policy will require </w:t>
      </w:r>
      <w:r>
        <w:rPr>
          <w:rFonts w:ascii="Arial" w:hAnsi="Arial" w:cs="Arial"/>
        </w:rPr>
        <w:t>support for implementation</w:t>
      </w:r>
      <w:r w:rsidR="00054AED" w:rsidRPr="00351D26">
        <w:rPr>
          <w:rFonts w:ascii="Arial" w:hAnsi="Arial" w:cs="Arial"/>
        </w:rPr>
        <w:t xml:space="preserve"> </w:t>
      </w:r>
      <w:r w:rsidRPr="00351D26">
        <w:rPr>
          <w:rFonts w:ascii="Arial" w:hAnsi="Arial" w:cs="Arial"/>
        </w:rPr>
        <w:t>within each Health Service Provider</w:t>
      </w:r>
      <w:r w:rsidR="00054AED" w:rsidRPr="00351D26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this </w:t>
      </w:r>
      <w:r w:rsidR="00E25529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involve the delivery of</w:t>
      </w:r>
      <w:r w:rsidR="00054AED" w:rsidRPr="00351D26">
        <w:rPr>
          <w:rFonts w:ascii="Arial" w:hAnsi="Arial" w:cs="Arial"/>
        </w:rPr>
        <w:t xml:space="preserve"> workforce training</w:t>
      </w:r>
      <w:r w:rsidR="00E75B41">
        <w:rPr>
          <w:rFonts w:ascii="Arial" w:hAnsi="Arial" w:cs="Arial"/>
        </w:rPr>
        <w:t xml:space="preserve"> and</w:t>
      </w:r>
      <w:r w:rsidR="00054AED" w:rsidRPr="00351D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change</w:t>
      </w:r>
      <w:r w:rsidR="00E2552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</w:t>
      </w:r>
      <w:r w:rsidR="00054AED" w:rsidRPr="00351D26">
        <w:rPr>
          <w:rFonts w:ascii="Arial" w:hAnsi="Arial" w:cs="Arial"/>
        </w:rPr>
        <w:t>supporting HSP</w:t>
      </w:r>
      <w:r w:rsidR="00E25529">
        <w:rPr>
          <w:rFonts w:ascii="Arial" w:hAnsi="Arial" w:cs="Arial"/>
        </w:rPr>
        <w:t xml:space="preserve"> local policies, </w:t>
      </w:r>
      <w:r w:rsidR="00054AED" w:rsidRPr="00351D26">
        <w:rPr>
          <w:rFonts w:ascii="Arial" w:hAnsi="Arial" w:cs="Arial"/>
        </w:rPr>
        <w:t>governance</w:t>
      </w:r>
      <w:r w:rsidR="00E25529">
        <w:rPr>
          <w:rFonts w:ascii="Arial" w:hAnsi="Arial" w:cs="Arial"/>
        </w:rPr>
        <w:t>, processes and</w:t>
      </w:r>
      <w:r w:rsidR="00054AED" w:rsidRPr="00351D26">
        <w:rPr>
          <w:rFonts w:ascii="Arial" w:hAnsi="Arial" w:cs="Arial"/>
        </w:rPr>
        <w:t xml:space="preserve"> systems, incident reporting</w:t>
      </w:r>
      <w:r w:rsidR="00E25529">
        <w:rPr>
          <w:rFonts w:ascii="Arial" w:hAnsi="Arial" w:cs="Arial"/>
        </w:rPr>
        <w:t>,</w:t>
      </w:r>
      <w:r w:rsidR="00054AED" w:rsidRPr="00351D26">
        <w:rPr>
          <w:rFonts w:ascii="Arial" w:hAnsi="Arial" w:cs="Arial"/>
        </w:rPr>
        <w:t xml:space="preserve"> and quality improvement activities</w:t>
      </w:r>
      <w:r w:rsidR="00E25529">
        <w:rPr>
          <w:rFonts w:ascii="Arial" w:hAnsi="Arial" w:cs="Arial"/>
        </w:rPr>
        <w:t xml:space="preserve">. </w:t>
      </w:r>
    </w:p>
    <w:p w14:paraId="72666AE7" w14:textId="77777777" w:rsidR="00E75B41" w:rsidRDefault="00E25529" w:rsidP="00FE5C8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E25529">
        <w:rPr>
          <w:rFonts w:ascii="Arial" w:hAnsi="Arial" w:cs="Arial"/>
        </w:rPr>
        <w:t xml:space="preserve">ACSQHC </w:t>
      </w:r>
      <w:r w:rsidR="00535FAC">
        <w:rPr>
          <w:rFonts w:ascii="Arial" w:hAnsi="Arial" w:cs="Arial"/>
        </w:rPr>
        <w:t>offer</w:t>
      </w:r>
      <w:r w:rsidRPr="00E25529">
        <w:rPr>
          <w:rFonts w:ascii="Arial" w:hAnsi="Arial" w:cs="Arial"/>
        </w:rPr>
        <w:t xml:space="preserve"> a</w:t>
      </w:r>
      <w:r w:rsidR="00535FAC">
        <w:rPr>
          <w:rFonts w:ascii="Arial" w:hAnsi="Arial" w:cs="Arial"/>
        </w:rPr>
        <w:t>n extensive</w:t>
      </w:r>
      <w:r w:rsidRPr="00E25529">
        <w:rPr>
          <w:rFonts w:ascii="Arial" w:hAnsi="Arial" w:cs="Arial"/>
        </w:rPr>
        <w:t xml:space="preserve"> suite of complementary materials to support implementation and evaluation</w:t>
      </w:r>
      <w:r>
        <w:rPr>
          <w:rFonts w:ascii="Arial" w:hAnsi="Arial" w:cs="Arial"/>
        </w:rPr>
        <w:t xml:space="preserve"> </w:t>
      </w:r>
      <w:r w:rsidR="00535FAC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RRAD</w:t>
      </w:r>
      <w:r w:rsidRPr="00E25529">
        <w:rPr>
          <w:rFonts w:ascii="Arial" w:hAnsi="Arial" w:cs="Arial"/>
        </w:rPr>
        <w:t xml:space="preserve"> by HSPs</w:t>
      </w:r>
      <w:r>
        <w:rPr>
          <w:rFonts w:ascii="Arial" w:hAnsi="Arial" w:cs="Arial"/>
        </w:rPr>
        <w:t>; including</w:t>
      </w:r>
      <w:r w:rsidRPr="00E25529">
        <w:rPr>
          <w:rFonts w:ascii="Arial" w:hAnsi="Arial" w:cs="Arial"/>
        </w:rPr>
        <w:t xml:space="preserve"> sample staff knowledge and satisfaction survey</w:t>
      </w:r>
      <w:r>
        <w:rPr>
          <w:rFonts w:ascii="Arial" w:hAnsi="Arial" w:cs="Arial"/>
        </w:rPr>
        <w:t>s</w:t>
      </w:r>
      <w:r w:rsidRPr="00E25529">
        <w:rPr>
          <w:rFonts w:ascii="Arial" w:hAnsi="Arial" w:cs="Arial"/>
        </w:rPr>
        <w:t>; rapid response system case report form</w:t>
      </w:r>
      <w:r w:rsidR="00E75B41">
        <w:rPr>
          <w:rFonts w:ascii="Arial" w:hAnsi="Arial" w:cs="Arial"/>
        </w:rPr>
        <w:t>s</w:t>
      </w:r>
      <w:r w:rsidRPr="00E25529">
        <w:rPr>
          <w:rFonts w:ascii="Arial" w:hAnsi="Arial" w:cs="Arial"/>
        </w:rPr>
        <w:t>; medical record audit tool</w:t>
      </w:r>
      <w:r w:rsidR="00E75B41">
        <w:rPr>
          <w:rFonts w:ascii="Arial" w:hAnsi="Arial" w:cs="Arial"/>
        </w:rPr>
        <w:t>s</w:t>
      </w:r>
      <w:r w:rsidRPr="00E25529">
        <w:rPr>
          <w:rFonts w:ascii="Arial" w:hAnsi="Arial" w:cs="Arial"/>
        </w:rPr>
        <w:t>; evaluation agreement tool</w:t>
      </w:r>
      <w:r w:rsidR="00E75B41">
        <w:rPr>
          <w:rFonts w:ascii="Arial" w:hAnsi="Arial" w:cs="Arial"/>
        </w:rPr>
        <w:t>s</w:t>
      </w:r>
      <w:r w:rsidRPr="00E25529">
        <w:rPr>
          <w:rFonts w:ascii="Arial" w:hAnsi="Arial" w:cs="Arial"/>
        </w:rPr>
        <w:t>; escalation mapping tool</w:t>
      </w:r>
      <w:r w:rsidR="00E75B41">
        <w:rPr>
          <w:rFonts w:ascii="Arial" w:hAnsi="Arial" w:cs="Arial"/>
        </w:rPr>
        <w:t>s</w:t>
      </w:r>
      <w:r w:rsidR="00535FAC">
        <w:rPr>
          <w:rFonts w:ascii="Arial" w:hAnsi="Arial" w:cs="Arial"/>
        </w:rPr>
        <w:t>:</w:t>
      </w:r>
      <w:r w:rsidRPr="00E25529">
        <w:rPr>
          <w:rFonts w:ascii="Arial" w:hAnsi="Arial" w:cs="Arial"/>
        </w:rPr>
        <w:t xml:space="preserve"> </w:t>
      </w:r>
      <w:r w:rsidR="00535FAC">
        <w:rPr>
          <w:rFonts w:ascii="Arial" w:hAnsi="Arial" w:cs="Arial"/>
        </w:rPr>
        <w:t xml:space="preserve">and </w:t>
      </w:r>
      <w:r w:rsidRPr="00E25529">
        <w:rPr>
          <w:rFonts w:ascii="Arial" w:hAnsi="Arial" w:cs="Arial"/>
        </w:rPr>
        <w:t>rapid response system self-assessment tool</w:t>
      </w:r>
      <w:r>
        <w:rPr>
          <w:rFonts w:ascii="Arial" w:hAnsi="Arial" w:cs="Arial"/>
        </w:rPr>
        <w:t>s</w:t>
      </w:r>
      <w:r w:rsidRPr="00E2552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AFB5FDA" w14:textId="77777777" w:rsidR="004065C2" w:rsidRDefault="00E25529" w:rsidP="00FE5C85">
      <w:pPr>
        <w:spacing w:after="120" w:line="240" w:lineRule="auto"/>
        <w:rPr>
          <w:rFonts w:ascii="Arial" w:hAnsi="Arial" w:cs="Arial"/>
        </w:rPr>
        <w:sectPr w:rsidR="004065C2" w:rsidSect="00992EC9">
          <w:footerReference w:type="default" r:id="rId14"/>
          <w:pgSz w:w="11906" w:h="16838"/>
          <w:pgMar w:top="709" w:right="720" w:bottom="142" w:left="720" w:header="708" w:footer="177" w:gutter="0"/>
          <w:cols w:space="708"/>
          <w:docGrid w:linePitch="360"/>
        </w:sectPr>
      </w:pPr>
      <w:r>
        <w:rPr>
          <w:rFonts w:ascii="Arial" w:hAnsi="Arial" w:cs="Arial"/>
        </w:rPr>
        <w:t xml:space="preserve">Several of these </w:t>
      </w:r>
      <w:r w:rsidR="00535FAC">
        <w:rPr>
          <w:rFonts w:ascii="Arial" w:hAnsi="Arial" w:cs="Arial"/>
        </w:rPr>
        <w:t xml:space="preserve">tools </w:t>
      </w:r>
      <w:r>
        <w:rPr>
          <w:rFonts w:ascii="Arial" w:hAnsi="Arial" w:cs="Arial"/>
        </w:rPr>
        <w:t xml:space="preserve">have been adapted for </w:t>
      </w:r>
      <w:r w:rsidR="00E75B41">
        <w:rPr>
          <w:rFonts w:ascii="Arial" w:hAnsi="Arial" w:cs="Arial"/>
        </w:rPr>
        <w:t xml:space="preserve">assessment of </w:t>
      </w:r>
      <w:r>
        <w:rPr>
          <w:rFonts w:ascii="Arial" w:hAnsi="Arial" w:cs="Arial"/>
        </w:rPr>
        <w:t>mental state deterioration.</w:t>
      </w:r>
    </w:p>
    <w:p w14:paraId="56587379" w14:textId="0875ECF7" w:rsidR="003C7A01" w:rsidRPr="006A6332" w:rsidRDefault="003C7A01" w:rsidP="003C7A01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lastRenderedPageBreak/>
        <w:t>Acute deterioration</w:t>
      </w:r>
      <w:r w:rsidR="00D00C0B">
        <w:rPr>
          <w:rFonts w:ascii="Arial" w:hAnsi="Arial" w:cs="Arial"/>
        </w:rPr>
        <w:t xml:space="preserve"> clinical</w:t>
      </w:r>
      <w:r w:rsidRPr="006A6332">
        <w:rPr>
          <w:rFonts w:ascii="Arial" w:hAnsi="Arial" w:cs="Arial"/>
        </w:rPr>
        <w:t xml:space="preserve"> incidents are captured using the following criteria in Datix CIMS:</w:t>
      </w:r>
      <w:r w:rsidR="004E63AD">
        <w:rPr>
          <w:rStyle w:val="FootnoteReference"/>
          <w:rFonts w:ascii="Arial" w:hAnsi="Arial" w:cs="Arial"/>
        </w:rPr>
        <w:footnoteReference w:id="7"/>
      </w:r>
    </w:p>
    <w:p w14:paraId="1A52C798" w14:textId="77777777" w:rsidR="003C7A01" w:rsidRDefault="003C7A01" w:rsidP="003C7A01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A6332">
        <w:rPr>
          <w:rFonts w:ascii="Arial" w:hAnsi="Arial" w:cs="Arial"/>
        </w:rPr>
        <w:t xml:space="preserve">SAC 1 categories of “Delay in recognising/responding to physical clinical deterioration” </w:t>
      </w:r>
    </w:p>
    <w:p w14:paraId="74BFD580" w14:textId="65F02A02" w:rsidR="003C7A01" w:rsidRPr="006A6332" w:rsidRDefault="003C7A01" w:rsidP="003C7A01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A6332">
        <w:rPr>
          <w:rFonts w:ascii="Arial" w:hAnsi="Arial" w:cs="Arial"/>
        </w:rPr>
        <w:t xml:space="preserve">SAC 1 categories “Clinical deterioration of a mental health patient resulting in serious harm (physical, verbal, or sexual), or death or serious harm to staff, other patients or other persons” </w:t>
      </w:r>
    </w:p>
    <w:p w14:paraId="7E6E940B" w14:textId="69ED3E85" w:rsidR="003C7A01" w:rsidRPr="006A6332" w:rsidRDefault="00E73D5E" w:rsidP="003C7A01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E73D5E">
        <w:rPr>
          <w:rFonts w:ascii="Arial" w:hAnsi="Arial" w:cs="Arial"/>
        </w:rPr>
        <w:t>Datix CIMS classification Tier 3</w:t>
      </w:r>
      <w:r w:rsidR="003C7A01" w:rsidRPr="006A6332">
        <w:rPr>
          <w:rStyle w:val="FootnoteReference"/>
          <w:rFonts w:ascii="Arial" w:hAnsi="Arial" w:cs="Arial"/>
        </w:rPr>
        <w:footnoteReference w:id="8"/>
      </w:r>
      <w:r w:rsidR="003C7A01" w:rsidRPr="006A6332">
        <w:rPr>
          <w:rFonts w:ascii="Arial" w:hAnsi="Arial" w:cs="Arial"/>
        </w:rPr>
        <w:t xml:space="preserve"> </w:t>
      </w:r>
    </w:p>
    <w:p w14:paraId="3D8A1FB7" w14:textId="3A435120" w:rsidR="003C7A01" w:rsidRPr="006A6332" w:rsidRDefault="003C7A01" w:rsidP="003C7A01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t xml:space="preserve">In 2019/20, there </w:t>
      </w:r>
      <w:r w:rsidRPr="00C7004F">
        <w:rPr>
          <w:rFonts w:ascii="Arial" w:hAnsi="Arial" w:cs="Arial"/>
        </w:rPr>
        <w:t>were 1,516 clinical incidents</w:t>
      </w:r>
      <w:r w:rsidR="00AB0EEA">
        <w:rPr>
          <w:rFonts w:ascii="Arial" w:hAnsi="Arial" w:cs="Arial"/>
        </w:rPr>
        <w:t xml:space="preserve"> </w:t>
      </w:r>
      <w:r w:rsidR="003A2F00">
        <w:rPr>
          <w:rFonts w:ascii="Arial" w:hAnsi="Arial" w:cs="Arial"/>
        </w:rPr>
        <w:t>associated with</w:t>
      </w:r>
      <w:r w:rsidR="00AB0EEA">
        <w:rPr>
          <w:rFonts w:ascii="Arial" w:hAnsi="Arial" w:cs="Arial"/>
        </w:rPr>
        <w:t xml:space="preserve"> </w:t>
      </w:r>
      <w:r w:rsidR="003A2F00">
        <w:rPr>
          <w:rFonts w:ascii="Arial" w:hAnsi="Arial" w:cs="Arial"/>
        </w:rPr>
        <w:t>a</w:t>
      </w:r>
      <w:r w:rsidR="00AB0EEA">
        <w:rPr>
          <w:rFonts w:ascii="Arial" w:hAnsi="Arial" w:cs="Arial"/>
        </w:rPr>
        <w:t xml:space="preserve">cute </w:t>
      </w:r>
      <w:r w:rsidR="003A2F00">
        <w:rPr>
          <w:rFonts w:ascii="Arial" w:hAnsi="Arial" w:cs="Arial"/>
        </w:rPr>
        <w:t>d</w:t>
      </w:r>
      <w:r w:rsidR="00AB0EEA">
        <w:rPr>
          <w:rFonts w:ascii="Arial" w:hAnsi="Arial" w:cs="Arial"/>
        </w:rPr>
        <w:t>eterioration</w:t>
      </w:r>
      <w:r w:rsidRPr="00C7004F">
        <w:rPr>
          <w:rFonts w:ascii="Arial" w:hAnsi="Arial" w:cs="Arial"/>
        </w:rPr>
        <w:t xml:space="preserve">. </w:t>
      </w:r>
      <w:r w:rsidRPr="006A6332">
        <w:rPr>
          <w:rFonts w:ascii="Arial" w:hAnsi="Arial" w:cs="Arial"/>
        </w:rPr>
        <w:t>Acute clinical deterioration incidents accounted for 4.6% of all clinical incidents notified in 2019-2020. This Standard contained the highest number of incidents that reported a patient outcome of death (n=47) in 2019/20.</w:t>
      </w:r>
    </w:p>
    <w:p w14:paraId="76EF7217" w14:textId="5DA6CDA7" w:rsidR="003C7A01" w:rsidRDefault="002F3A81" w:rsidP="003C7A0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2019</w:t>
      </w:r>
      <w:r w:rsidR="004B28F6">
        <w:rPr>
          <w:rFonts w:ascii="Arial" w:hAnsi="Arial" w:cs="Arial"/>
        </w:rPr>
        <w:t>/20 o</w:t>
      </w:r>
      <w:r w:rsidR="003C7A01" w:rsidRPr="006A6332">
        <w:rPr>
          <w:rFonts w:ascii="Arial" w:hAnsi="Arial" w:cs="Arial"/>
        </w:rPr>
        <w:t>bstetrics reported the highest number of acute clinical deterioration incidents (n=206; 14.3%), followed by General Medicine (n=164; 11.4%), and General Surgery (n=101; 7.0%).</w:t>
      </w:r>
      <w:r w:rsidR="003C7A01">
        <w:rPr>
          <w:rFonts w:ascii="Arial" w:hAnsi="Arial" w:cs="Arial"/>
        </w:rPr>
        <w:t xml:space="preserve"> </w:t>
      </w:r>
      <w:r w:rsidR="003C7A01" w:rsidRPr="006A6332">
        <w:rPr>
          <w:rFonts w:ascii="Arial" w:hAnsi="Arial" w:cs="Arial"/>
        </w:rPr>
        <w:t>Of the acute deterioration clinical incidents in 2019/20 that reported a patient outcome of death, five cases related to clinical deterioration associated with sepsis.</w:t>
      </w:r>
      <w:r w:rsidR="003C7A01" w:rsidRPr="006A6332">
        <w:rPr>
          <w:rStyle w:val="FootnoteReference"/>
          <w:rFonts w:ascii="Arial" w:hAnsi="Arial" w:cs="Arial"/>
        </w:rPr>
        <w:footnoteReference w:id="9"/>
      </w:r>
    </w:p>
    <w:p w14:paraId="76F0F794" w14:textId="77777777" w:rsidR="002C7218" w:rsidRDefault="000255E4" w:rsidP="003C7A0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2019/20, f</w:t>
      </w:r>
      <w:r w:rsidR="003C7A01" w:rsidRPr="006A6332">
        <w:rPr>
          <w:rFonts w:ascii="Arial" w:hAnsi="Arial" w:cs="Arial"/>
        </w:rPr>
        <w:t xml:space="preserve">ailure to monitor or incomplete or insufficient monitoring of the patient during or after treatments or procedures was the most frequent </w:t>
      </w:r>
      <w:r w:rsidR="00CE4198">
        <w:rPr>
          <w:rFonts w:ascii="Arial" w:hAnsi="Arial" w:cs="Arial"/>
        </w:rPr>
        <w:t xml:space="preserve">of the Top Five </w:t>
      </w:r>
      <w:r w:rsidR="003C7A01" w:rsidRPr="006A6332">
        <w:rPr>
          <w:rFonts w:ascii="Arial" w:hAnsi="Arial" w:cs="Arial"/>
        </w:rPr>
        <w:t>Tier Three category of acute clinical deterioration incident reported (n=</w:t>
      </w:r>
      <w:r w:rsidR="00CE4198">
        <w:rPr>
          <w:rFonts w:ascii="Arial" w:hAnsi="Arial" w:cs="Arial"/>
        </w:rPr>
        <w:t>661</w:t>
      </w:r>
      <w:r w:rsidR="003C7A01" w:rsidRPr="006A6332">
        <w:rPr>
          <w:rFonts w:ascii="Arial" w:hAnsi="Arial" w:cs="Arial"/>
        </w:rPr>
        <w:t>).</w:t>
      </w:r>
      <w:r w:rsidR="00CE4198">
        <w:rPr>
          <w:rStyle w:val="FootnoteReference"/>
          <w:rFonts w:ascii="Arial" w:hAnsi="Arial" w:cs="Arial"/>
        </w:rPr>
        <w:footnoteReference w:id="10"/>
      </w:r>
      <w:r w:rsidR="003C7A01" w:rsidRPr="006A6332">
        <w:rPr>
          <w:rFonts w:ascii="Arial" w:hAnsi="Arial" w:cs="Arial"/>
        </w:rPr>
        <w:t xml:space="preserve"> </w:t>
      </w:r>
    </w:p>
    <w:p w14:paraId="544FDB58" w14:textId="29748A78" w:rsidR="003C7A01" w:rsidRPr="005D1BF5" w:rsidRDefault="003C7A01" w:rsidP="003C7A01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t xml:space="preserve">In these cases, </w:t>
      </w:r>
      <w:r w:rsidR="00DF03B1">
        <w:rPr>
          <w:rFonts w:ascii="Arial" w:hAnsi="Arial" w:cs="Arial"/>
        </w:rPr>
        <w:t>c</w:t>
      </w:r>
      <w:r w:rsidRPr="006A6332">
        <w:rPr>
          <w:rFonts w:ascii="Arial" w:hAnsi="Arial" w:cs="Arial"/>
        </w:rPr>
        <w:t xml:space="preserve">ommunication between staff, documentation, and issues in implementing policy, procedure or guidelines were the top contributory or causative </w:t>
      </w:r>
      <w:r w:rsidRPr="005D1BF5">
        <w:rPr>
          <w:rFonts w:ascii="Arial" w:hAnsi="Arial" w:cs="Arial"/>
        </w:rPr>
        <w:t>factors (</w:t>
      </w:r>
      <w:r w:rsidRPr="005D1BF5">
        <w:rPr>
          <w:rFonts w:ascii="Arial" w:hAnsi="Arial" w:cs="Arial"/>
          <w:b/>
        </w:rPr>
        <w:t xml:space="preserve">Figure </w:t>
      </w:r>
      <w:r w:rsidR="003A2F00">
        <w:rPr>
          <w:rFonts w:ascii="Arial" w:hAnsi="Arial" w:cs="Arial"/>
          <w:b/>
        </w:rPr>
        <w:t>1)</w:t>
      </w:r>
      <w:r w:rsidRPr="005D1BF5">
        <w:rPr>
          <w:rFonts w:ascii="Arial" w:hAnsi="Arial" w:cs="Arial"/>
        </w:rPr>
        <w:t>.</w:t>
      </w:r>
      <w:r w:rsidR="007C1DC1">
        <w:rPr>
          <w:rStyle w:val="FootnoteReference"/>
          <w:rFonts w:ascii="Arial" w:hAnsi="Arial" w:cs="Arial"/>
        </w:rPr>
        <w:footnoteReference w:id="11"/>
      </w:r>
    </w:p>
    <w:p w14:paraId="169E9C42" w14:textId="0087DBC8" w:rsidR="003C7A01" w:rsidRPr="006A6332" w:rsidRDefault="003C7A01" w:rsidP="003C7A01">
      <w:pPr>
        <w:spacing w:after="120" w:line="240" w:lineRule="auto"/>
        <w:rPr>
          <w:rFonts w:ascii="Arial" w:hAnsi="Arial" w:cs="Arial"/>
        </w:rPr>
      </w:pPr>
      <w:r w:rsidRPr="006A6332">
        <w:rPr>
          <w:rFonts w:ascii="Arial" w:hAnsi="Arial" w:cs="Arial"/>
        </w:rPr>
        <w:t xml:space="preserve">Communication issues between staff were identified as the major contributory factor (n=364) of </w:t>
      </w:r>
      <w:r w:rsidR="00BB71B0">
        <w:rPr>
          <w:rFonts w:ascii="Arial" w:hAnsi="Arial" w:cs="Arial"/>
        </w:rPr>
        <w:t>investigated</w:t>
      </w:r>
      <w:r w:rsidRPr="006A6332">
        <w:rPr>
          <w:rFonts w:ascii="Arial" w:hAnsi="Arial" w:cs="Arial"/>
        </w:rPr>
        <w:t xml:space="preserve"> acute deterioration clinical incidents in 2019/20 </w:t>
      </w:r>
      <w:r w:rsidRPr="00BA7A59">
        <w:rPr>
          <w:rFonts w:ascii="Arial" w:hAnsi="Arial" w:cs="Arial"/>
          <w:b/>
          <w:bCs/>
        </w:rPr>
        <w:t xml:space="preserve">(Figure </w:t>
      </w:r>
      <w:r w:rsidR="00BB71B0" w:rsidRPr="00BA7A59">
        <w:rPr>
          <w:rFonts w:ascii="Arial" w:hAnsi="Arial" w:cs="Arial"/>
          <w:b/>
          <w:bCs/>
        </w:rPr>
        <w:t>1</w:t>
      </w:r>
      <w:r w:rsidRPr="00BA7A59">
        <w:rPr>
          <w:rFonts w:ascii="Arial" w:hAnsi="Arial" w:cs="Arial"/>
          <w:b/>
          <w:bCs/>
        </w:rPr>
        <w:t>)</w:t>
      </w:r>
      <w:r w:rsidRPr="006A6332">
        <w:rPr>
          <w:rFonts w:ascii="Arial" w:hAnsi="Arial" w:cs="Arial"/>
        </w:rPr>
        <w:t>.</w:t>
      </w:r>
      <w:r w:rsidRPr="006A6332">
        <w:rPr>
          <w:rStyle w:val="FootnoteReference"/>
          <w:rFonts w:ascii="Arial" w:hAnsi="Arial" w:cs="Arial"/>
        </w:rPr>
        <w:footnoteReference w:id="12"/>
      </w:r>
      <w:r w:rsidRPr="006A6332">
        <w:rPr>
          <w:rFonts w:ascii="Arial" w:hAnsi="Arial" w:cs="Arial"/>
        </w:rPr>
        <w:t xml:space="preserve"> Documentation, and issues in applying policies, procedures and guidelines, were also leading c</w:t>
      </w:r>
      <w:r w:rsidR="005C1062">
        <w:rPr>
          <w:rFonts w:ascii="Arial" w:hAnsi="Arial" w:cs="Arial"/>
        </w:rPr>
        <w:t>ontributory</w:t>
      </w:r>
      <w:r w:rsidRPr="006A6332">
        <w:rPr>
          <w:rFonts w:ascii="Arial" w:hAnsi="Arial" w:cs="Arial"/>
        </w:rPr>
        <w:t xml:space="preserve"> factors for acute deterioration, which are both directly relevant to the implementation and applicatio</w:t>
      </w:r>
      <w:bookmarkStart w:id="0" w:name="_GoBack"/>
      <w:bookmarkEnd w:id="0"/>
      <w:r w:rsidRPr="006A6332">
        <w:rPr>
          <w:rFonts w:ascii="Arial" w:hAnsi="Arial" w:cs="Arial"/>
        </w:rPr>
        <w:t xml:space="preserve">n of the </w:t>
      </w:r>
      <w:r>
        <w:rPr>
          <w:rFonts w:ascii="Arial" w:hAnsi="Arial" w:cs="Arial"/>
        </w:rPr>
        <w:t>RRAD</w:t>
      </w:r>
      <w:r w:rsidRPr="006A6332">
        <w:rPr>
          <w:rFonts w:ascii="Arial" w:hAnsi="Arial" w:cs="Arial"/>
        </w:rPr>
        <w:t xml:space="preserve"> policy.</w:t>
      </w:r>
    </w:p>
    <w:p w14:paraId="5DDD48EC" w14:textId="77777777" w:rsidR="003C7A01" w:rsidRPr="006A6332" w:rsidRDefault="003C7A01" w:rsidP="003C7A01">
      <w:pPr>
        <w:spacing w:after="120" w:line="240" w:lineRule="auto"/>
        <w:jc w:val="center"/>
        <w:rPr>
          <w:rFonts w:ascii="Arial" w:hAnsi="Arial" w:cs="Arial"/>
        </w:rPr>
      </w:pPr>
      <w:r w:rsidRPr="006A6332">
        <w:rPr>
          <w:rFonts w:ascii="Arial" w:hAnsi="Arial" w:cs="Arial"/>
          <w:noProof/>
        </w:rPr>
        <w:lastRenderedPageBreak/>
        <mc:AlternateContent>
          <mc:Choice Requires="cx2">
            <w:drawing>
              <wp:inline distT="0" distB="0" distL="0" distR="0" wp14:anchorId="32C08B70" wp14:editId="16B2F7A1">
                <wp:extent cx="5448300" cy="3219450"/>
                <wp:effectExtent l="0" t="0" r="0" b="0"/>
                <wp:docPr id="23" name="Chart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AE541F-2D54-4ACD-836C-E1FDCB21CA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5"/>
                  </a:graphicData>
                </a:graphic>
              </wp:inline>
            </w:drawing>
          </mc:Choice>
          <mc:Fallback>
            <w:drawing>
              <wp:inline distT="0" distB="0" distL="0" distR="0" wp14:anchorId="32C08B70" wp14:editId="16B2F7A1">
                <wp:extent cx="5448300" cy="3219450"/>
                <wp:effectExtent l="0" t="0" r="0" b="0"/>
                <wp:docPr id="23" name="Chart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AE541F-2D54-4ACD-836C-E1FDCB21CAB0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Chart 23">
                          <a:extLst>
                            <a:ext uri="{FF2B5EF4-FFF2-40B4-BE49-F238E27FC236}">
                              <a16:creationId xmlns:a16="http://schemas.microsoft.com/office/drawing/2014/main" id="{69AE541F-2D54-4ACD-836C-E1FDCB21CAB0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8300" cy="321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D436160" w14:textId="2C3052E5" w:rsidR="003C7A01" w:rsidRPr="009545C8" w:rsidRDefault="003C7A01" w:rsidP="003C7A01">
      <w:pPr>
        <w:pStyle w:val="Caption"/>
        <w:spacing w:after="120"/>
        <w:jc w:val="center"/>
        <w:rPr>
          <w:rFonts w:cs="Arial"/>
          <w:b/>
          <w:color w:val="auto"/>
          <w:szCs w:val="22"/>
        </w:rPr>
      </w:pPr>
      <w:r w:rsidRPr="009545C8">
        <w:rPr>
          <w:rFonts w:cs="Arial"/>
          <w:b/>
          <w:color w:val="auto"/>
          <w:szCs w:val="22"/>
        </w:rPr>
        <w:t xml:space="preserve"> </w:t>
      </w:r>
      <w:r>
        <w:rPr>
          <w:rFonts w:cs="Arial"/>
          <w:b/>
          <w:color w:val="auto"/>
          <w:szCs w:val="22"/>
        </w:rPr>
        <w:t xml:space="preserve">Figure </w:t>
      </w:r>
      <w:r w:rsidR="003A2F00">
        <w:rPr>
          <w:rFonts w:cs="Arial"/>
          <w:b/>
          <w:color w:val="auto"/>
          <w:szCs w:val="22"/>
        </w:rPr>
        <w:t>1</w:t>
      </w:r>
      <w:r>
        <w:rPr>
          <w:rFonts w:cs="Arial"/>
          <w:b/>
          <w:color w:val="auto"/>
          <w:szCs w:val="22"/>
        </w:rPr>
        <w:t xml:space="preserve">: </w:t>
      </w:r>
      <w:r w:rsidRPr="009545C8">
        <w:rPr>
          <w:rFonts w:cs="Arial"/>
          <w:b/>
          <w:color w:val="auto"/>
          <w:szCs w:val="22"/>
        </w:rPr>
        <w:t>Causative/contributory factors to All SAC events for 2019-2020 FY</w:t>
      </w:r>
    </w:p>
    <w:p w14:paraId="0EFEF3B9" w14:textId="260FADB7" w:rsidR="003C7A01" w:rsidRDefault="003C7A01" w:rsidP="00EE3D58">
      <w:pPr>
        <w:spacing w:after="120" w:line="240" w:lineRule="auto"/>
        <w:rPr>
          <w:rFonts w:ascii="Arial" w:hAnsi="Arial" w:cs="Arial"/>
        </w:rPr>
        <w:sectPr w:rsidR="003C7A01" w:rsidSect="00992EC9">
          <w:headerReference w:type="default" r:id="rId17"/>
          <w:pgSz w:w="11906" w:h="16838"/>
          <w:pgMar w:top="709" w:right="720" w:bottom="142" w:left="720" w:header="708" w:footer="177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Y="1351"/>
        <w:tblW w:w="15304" w:type="dxa"/>
        <w:tblLook w:val="04A0" w:firstRow="1" w:lastRow="0" w:firstColumn="1" w:lastColumn="0" w:noHBand="0" w:noVBand="1"/>
      </w:tblPr>
      <w:tblGrid>
        <w:gridCol w:w="1317"/>
        <w:gridCol w:w="2248"/>
        <w:gridCol w:w="3943"/>
        <w:gridCol w:w="5272"/>
        <w:gridCol w:w="2524"/>
      </w:tblGrid>
      <w:tr w:rsidR="00EF3FD4" w:rsidRPr="006A74E0" w14:paraId="78E045E6" w14:textId="77777777" w:rsidTr="00CE3F4B">
        <w:trPr>
          <w:trHeight w:val="694"/>
        </w:trPr>
        <w:tc>
          <w:tcPr>
            <w:tcW w:w="1317" w:type="dxa"/>
            <w:shd w:val="clear" w:color="auto" w:fill="005B38"/>
            <w:vAlign w:val="center"/>
          </w:tcPr>
          <w:p w14:paraId="7D35FB76" w14:textId="77777777" w:rsidR="00EF3FD4" w:rsidRPr="002C295B" w:rsidRDefault="00EF3FD4" w:rsidP="00716CAE">
            <w:pPr>
              <w:ind w:left="-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Health Service Provider**</w:t>
            </w:r>
          </w:p>
        </w:tc>
        <w:tc>
          <w:tcPr>
            <w:tcW w:w="2248" w:type="dxa"/>
            <w:shd w:val="clear" w:color="auto" w:fill="005B38"/>
            <w:vAlign w:val="center"/>
          </w:tcPr>
          <w:p w14:paraId="1AFCCB7D" w14:textId="77777777" w:rsidR="00EF3FD4" w:rsidRPr="002C295B" w:rsidRDefault="00EF3FD4" w:rsidP="00716CA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b/>
                <w:sz w:val="20"/>
                <w:szCs w:val="20"/>
              </w:rPr>
              <w:t xml:space="preserve">Hospital-level </w:t>
            </w:r>
            <w:r w:rsidRPr="002C295B">
              <w:rPr>
                <w:rFonts w:ascii="Arial" w:eastAsia="Calibri" w:hAnsi="Arial" w:cs="Times New Roman"/>
                <w:b/>
                <w:sz w:val="20"/>
                <w:szCs w:val="20"/>
              </w:rPr>
              <w:t>inpatient</w:t>
            </w:r>
            <w:r w:rsidRPr="002C295B">
              <w:rPr>
                <w:rFonts w:ascii="Arial" w:eastAsia="Calibri" w:hAnsi="Arial" w:cs="Arial"/>
                <w:b/>
                <w:sz w:val="20"/>
                <w:szCs w:val="20"/>
              </w:rPr>
              <w:t xml:space="preserve"> service</w:t>
            </w:r>
          </w:p>
        </w:tc>
        <w:tc>
          <w:tcPr>
            <w:tcW w:w="3943" w:type="dxa"/>
            <w:shd w:val="clear" w:color="auto" w:fill="005B38"/>
            <w:vAlign w:val="center"/>
          </w:tcPr>
          <w:p w14:paraId="6F174A5B" w14:textId="77777777" w:rsidR="00EF3FD4" w:rsidRPr="002C295B" w:rsidRDefault="00EF3FD4" w:rsidP="00716CA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b/>
                <w:sz w:val="20"/>
                <w:szCs w:val="20"/>
              </w:rPr>
              <w:t>Dedicated webpage/Hub</w:t>
            </w:r>
          </w:p>
        </w:tc>
        <w:tc>
          <w:tcPr>
            <w:tcW w:w="5272" w:type="dxa"/>
            <w:shd w:val="clear" w:color="auto" w:fill="005B38"/>
            <w:vAlign w:val="center"/>
          </w:tcPr>
          <w:p w14:paraId="6B8C7DFE" w14:textId="77777777" w:rsidR="00EF3FD4" w:rsidRPr="002C295B" w:rsidRDefault="00EF3FD4" w:rsidP="00716CA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b/>
                <w:sz w:val="20"/>
                <w:szCs w:val="20"/>
              </w:rPr>
              <w:t>Policy/ guideline/ procedure documentation</w:t>
            </w:r>
          </w:p>
        </w:tc>
        <w:tc>
          <w:tcPr>
            <w:tcW w:w="2524" w:type="dxa"/>
            <w:shd w:val="clear" w:color="auto" w:fill="005B38"/>
            <w:vAlign w:val="center"/>
          </w:tcPr>
          <w:p w14:paraId="07CA59B6" w14:textId="77777777" w:rsidR="00EF3FD4" w:rsidRPr="002C295B" w:rsidRDefault="00EF3FD4" w:rsidP="00716CA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b/>
                <w:sz w:val="20"/>
                <w:szCs w:val="20"/>
              </w:rPr>
              <w:t>Relevant Committee</w:t>
            </w:r>
          </w:p>
        </w:tc>
      </w:tr>
      <w:tr w:rsidR="00716CAE" w:rsidRPr="006A74E0" w14:paraId="52F5A5B1" w14:textId="77777777" w:rsidTr="00CE3F4B">
        <w:tc>
          <w:tcPr>
            <w:tcW w:w="1317" w:type="dxa"/>
            <w:vMerge w:val="restart"/>
          </w:tcPr>
          <w:p w14:paraId="4EE67DE4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 xml:space="preserve">Child &amp; Adolescent Health Service </w:t>
            </w:r>
          </w:p>
        </w:tc>
        <w:tc>
          <w:tcPr>
            <w:tcW w:w="2248" w:type="dxa"/>
          </w:tcPr>
          <w:p w14:paraId="7B787F0C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Perth Children’s Hospital a</w:t>
            </w:r>
            <w:r w:rsidRPr="002C295B">
              <w:rPr>
                <w:rFonts w:ascii="Arial" w:eastAsia="Calibri" w:hAnsi="Arial" w:cs="Times New Roman"/>
                <w:sz w:val="20"/>
                <w:szCs w:val="20"/>
              </w:rPr>
              <w:t>nd CAMHS</w:t>
            </w:r>
          </w:p>
        </w:tc>
        <w:tc>
          <w:tcPr>
            <w:tcW w:w="3943" w:type="dxa"/>
          </w:tcPr>
          <w:p w14:paraId="58AEECCA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Deterioration</w:t>
              </w:r>
            </w:hyperlink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 xml:space="preserve"> (Feb 2020)</w:t>
            </w:r>
          </w:p>
        </w:tc>
        <w:tc>
          <w:tcPr>
            <w:tcW w:w="5272" w:type="dxa"/>
          </w:tcPr>
          <w:p w14:paraId="49BEDDEB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Deterioration Policy</w:t>
              </w:r>
            </w:hyperlink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 xml:space="preserve"> (Sept 2020)</w:t>
            </w:r>
          </w:p>
        </w:tc>
        <w:tc>
          <w:tcPr>
            <w:tcW w:w="2524" w:type="dxa"/>
            <w:vMerge w:val="restart"/>
          </w:tcPr>
          <w:p w14:paraId="3A5466B9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" w:history="1">
              <w:r w:rsidR="00EF3FD4" w:rsidRPr="002C295B">
                <w:rPr>
                  <w:rFonts w:ascii="Arial" w:eastAsia="Calibri" w:hAnsi="Arial" w:cs="Times New Roman"/>
                  <w:color w:val="004B8D"/>
                  <w:sz w:val="20"/>
                  <w:szCs w:val="20"/>
                  <w:u w:val="single"/>
                </w:rPr>
                <w:t>CAHS Clinical Deterioration Committee</w:t>
              </w:r>
            </w:hyperlink>
          </w:p>
        </w:tc>
      </w:tr>
      <w:tr w:rsidR="00716CAE" w:rsidRPr="006A74E0" w14:paraId="62EEEBDD" w14:textId="77777777" w:rsidTr="00CE3F4B">
        <w:tc>
          <w:tcPr>
            <w:tcW w:w="1317" w:type="dxa"/>
            <w:vMerge/>
          </w:tcPr>
          <w:p w14:paraId="34E25304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9978084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Community Health</w:t>
            </w:r>
          </w:p>
        </w:tc>
        <w:tc>
          <w:tcPr>
            <w:tcW w:w="3943" w:type="dxa"/>
          </w:tcPr>
          <w:p w14:paraId="742A2D67" w14:textId="77777777" w:rsidR="00EF3FD4" w:rsidRPr="002C295B" w:rsidRDefault="00EF3FD4" w:rsidP="00716CAE">
            <w:pPr>
              <w:rPr>
                <w:rFonts w:ascii="Arial" w:eastAsia="Calibri" w:hAnsi="Arial" w:cs="Times New Roman"/>
                <w:sz w:val="20"/>
                <w:szCs w:val="20"/>
              </w:rPr>
            </w:pPr>
            <w:r w:rsidRPr="002C295B">
              <w:rPr>
                <w:rFonts w:ascii="Arial" w:eastAsia="Calibri" w:hAnsi="Arial" w:cs="Times New Roman"/>
                <w:sz w:val="20"/>
                <w:szCs w:val="20"/>
              </w:rPr>
              <w:t>-</w:t>
            </w:r>
          </w:p>
        </w:tc>
        <w:tc>
          <w:tcPr>
            <w:tcW w:w="5272" w:type="dxa"/>
          </w:tcPr>
          <w:p w14:paraId="111CC660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</w:rPr>
            </w:pPr>
            <w:hyperlink r:id="rId21" w:history="1">
              <w:r w:rsidR="00EF3FD4" w:rsidRPr="002C295B">
                <w:rPr>
                  <w:rFonts w:ascii="Arial" w:eastAsia="Calibri" w:hAnsi="Arial" w:cs="Times New Roman"/>
                  <w:color w:val="004B8D"/>
                  <w:sz w:val="20"/>
                  <w:szCs w:val="20"/>
                  <w:u w:val="single"/>
                </w:rPr>
                <w:t>Recognising and Responding to Acute Deterioration Policy</w:t>
              </w:r>
            </w:hyperlink>
            <w:r w:rsidR="00EF3FD4" w:rsidRPr="002C295B">
              <w:rPr>
                <w:rFonts w:ascii="Arial" w:eastAsia="Calibri" w:hAnsi="Arial" w:cs="Times New Roman"/>
                <w:sz w:val="20"/>
                <w:szCs w:val="20"/>
              </w:rPr>
              <w:t xml:space="preserve"> (July 2020)</w:t>
            </w:r>
          </w:p>
        </w:tc>
        <w:tc>
          <w:tcPr>
            <w:tcW w:w="2524" w:type="dxa"/>
            <w:vMerge/>
          </w:tcPr>
          <w:p w14:paraId="17F31164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</w:rPr>
            </w:pPr>
          </w:p>
        </w:tc>
      </w:tr>
      <w:tr w:rsidR="00EF3FD4" w:rsidRPr="006A74E0" w14:paraId="1E0D7462" w14:textId="77777777" w:rsidTr="00CE3F4B">
        <w:tc>
          <w:tcPr>
            <w:tcW w:w="1317" w:type="dxa"/>
            <w:vMerge w:val="restart"/>
          </w:tcPr>
          <w:p w14:paraId="02DB6284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 xml:space="preserve">East Metropolitan Health Service </w:t>
            </w:r>
          </w:p>
        </w:tc>
        <w:tc>
          <w:tcPr>
            <w:tcW w:w="13987" w:type="dxa"/>
            <w:gridSpan w:val="4"/>
          </w:tcPr>
          <w:p w14:paraId="355F24A4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</w:rPr>
            </w:pPr>
          </w:p>
        </w:tc>
      </w:tr>
      <w:tr w:rsidR="00716CAE" w:rsidRPr="006A74E0" w14:paraId="3F6A3D2C" w14:textId="77777777" w:rsidTr="00CE3F4B">
        <w:tc>
          <w:tcPr>
            <w:tcW w:w="1317" w:type="dxa"/>
            <w:vMerge/>
          </w:tcPr>
          <w:p w14:paraId="0536A50D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1C66A836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Armadale Kalamunda Group</w:t>
            </w:r>
          </w:p>
        </w:tc>
        <w:tc>
          <w:tcPr>
            <w:tcW w:w="3943" w:type="dxa"/>
          </w:tcPr>
          <w:p w14:paraId="294FD3D8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272" w:type="dxa"/>
          </w:tcPr>
          <w:p w14:paraId="767ED018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hyperlink r:id="rId22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Recognition and Response Acute Deterioration</w:t>
              </w:r>
            </w:hyperlink>
            <w:r w:rsidR="00EF3FD4" w:rsidRPr="002C295B"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  <w:t xml:space="preserve"> </w:t>
            </w:r>
            <w:r w:rsidR="00EF3FD4" w:rsidRPr="002C295B">
              <w:rPr>
                <w:rFonts w:ascii="Arial" w:eastAsia="Calibri" w:hAnsi="Arial" w:cs="Times New Roman"/>
                <w:sz w:val="20"/>
                <w:szCs w:val="20"/>
              </w:rPr>
              <w:t>(June 2017)</w:t>
            </w:r>
          </w:p>
        </w:tc>
        <w:tc>
          <w:tcPr>
            <w:tcW w:w="2524" w:type="dxa"/>
          </w:tcPr>
          <w:p w14:paraId="7A02259F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</w:p>
        </w:tc>
      </w:tr>
      <w:tr w:rsidR="00716CAE" w:rsidRPr="006A74E0" w14:paraId="2587A736" w14:textId="77777777" w:rsidTr="00CE3F4B">
        <w:tc>
          <w:tcPr>
            <w:tcW w:w="1317" w:type="dxa"/>
            <w:vMerge/>
          </w:tcPr>
          <w:p w14:paraId="69B996ED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0FDFE90D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Royal Perth Bentley Group</w:t>
            </w:r>
          </w:p>
        </w:tc>
        <w:tc>
          <w:tcPr>
            <w:tcW w:w="3943" w:type="dxa"/>
          </w:tcPr>
          <w:p w14:paraId="1BFC613B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272" w:type="dxa"/>
          </w:tcPr>
          <w:p w14:paraId="3C2ACF2E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" w:history="1">
              <w:r w:rsidR="00EF3FD4" w:rsidRPr="002C295B">
                <w:rPr>
                  <w:rStyle w:val="Hyperlink"/>
                  <w:rFonts w:eastAsia="Calibri" w:cs="Arial"/>
                  <w:sz w:val="20"/>
                  <w:szCs w:val="20"/>
                </w:rPr>
                <w:t>Recognising and Responding to Acute Deterioration Policy</w:t>
              </w:r>
            </w:hyperlink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 xml:space="preserve"> (Dec 2020)</w:t>
            </w:r>
          </w:p>
        </w:tc>
        <w:tc>
          <w:tcPr>
            <w:tcW w:w="2524" w:type="dxa"/>
          </w:tcPr>
          <w:p w14:paraId="515ADAC5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16CAE" w:rsidRPr="006A74E0" w14:paraId="4FD8E82A" w14:textId="77777777" w:rsidTr="00CE3F4B">
        <w:tc>
          <w:tcPr>
            <w:tcW w:w="1317" w:type="dxa"/>
            <w:vMerge/>
          </w:tcPr>
          <w:p w14:paraId="60268ED1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4241DDB7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Midland</w:t>
            </w:r>
          </w:p>
        </w:tc>
        <w:tc>
          <w:tcPr>
            <w:tcW w:w="3943" w:type="dxa"/>
          </w:tcPr>
          <w:p w14:paraId="73E37DA2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5272" w:type="dxa"/>
          </w:tcPr>
          <w:p w14:paraId="7957ACFB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r w:rsidRPr="002C295B"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  <w:t>-</w:t>
            </w:r>
          </w:p>
        </w:tc>
        <w:tc>
          <w:tcPr>
            <w:tcW w:w="2524" w:type="dxa"/>
          </w:tcPr>
          <w:p w14:paraId="33940036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765A7" w:rsidRPr="006A74E0" w14:paraId="5B8301EC" w14:textId="77777777" w:rsidTr="00CE3F4B">
        <w:trPr>
          <w:trHeight w:val="617"/>
        </w:trPr>
        <w:tc>
          <w:tcPr>
            <w:tcW w:w="1317" w:type="dxa"/>
            <w:vMerge w:val="restart"/>
          </w:tcPr>
          <w:p w14:paraId="4F4F7736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 xml:space="preserve">North Metropolitan Health Service </w:t>
            </w:r>
          </w:p>
        </w:tc>
        <w:tc>
          <w:tcPr>
            <w:tcW w:w="6191" w:type="dxa"/>
            <w:gridSpan w:val="2"/>
          </w:tcPr>
          <w:p w14:paraId="369D384C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272" w:type="dxa"/>
          </w:tcPr>
          <w:p w14:paraId="488581BE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hyperlink r:id="rId24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Deterioration</w:t>
              </w:r>
            </w:hyperlink>
            <w:r w:rsidR="00EF3FD4" w:rsidRPr="002C295B"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  <w:t xml:space="preserve"> </w:t>
            </w:r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>(refers directly to DoH policy, Jun 2018)</w:t>
            </w:r>
          </w:p>
        </w:tc>
        <w:tc>
          <w:tcPr>
            <w:tcW w:w="2524" w:type="dxa"/>
          </w:tcPr>
          <w:p w14:paraId="44CF3076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</w:p>
        </w:tc>
      </w:tr>
      <w:tr w:rsidR="00716CAE" w:rsidRPr="006A74E0" w14:paraId="337C1126" w14:textId="77777777" w:rsidTr="00CE3F4B">
        <w:tc>
          <w:tcPr>
            <w:tcW w:w="1317" w:type="dxa"/>
            <w:vMerge/>
          </w:tcPr>
          <w:p w14:paraId="4BED9985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75275489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Sir Charles Gairdner and Osborne Park Group</w:t>
            </w:r>
          </w:p>
        </w:tc>
        <w:tc>
          <w:tcPr>
            <w:tcW w:w="3943" w:type="dxa"/>
          </w:tcPr>
          <w:p w14:paraId="00E30814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Standard 8 webpage</w:t>
              </w:r>
            </w:hyperlink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 xml:space="preserve"> (Jul 2019)</w:t>
            </w:r>
          </w:p>
        </w:tc>
        <w:tc>
          <w:tcPr>
            <w:tcW w:w="5272" w:type="dxa"/>
          </w:tcPr>
          <w:p w14:paraId="20B9A7EE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Deterioration</w:t>
              </w:r>
            </w:hyperlink>
            <w:r w:rsidR="00EF3FD4" w:rsidRPr="002C295B"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  <w:t xml:space="preserve"> Policy </w:t>
            </w:r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>(Aug 2019)</w:t>
            </w:r>
          </w:p>
          <w:p w14:paraId="0D6C25F0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</w:p>
        </w:tc>
        <w:tc>
          <w:tcPr>
            <w:tcW w:w="2524" w:type="dxa"/>
          </w:tcPr>
          <w:p w14:paraId="08F82A51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hyperlink r:id="rId27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SCGH RRAD Committee</w:t>
              </w:r>
            </w:hyperlink>
          </w:p>
        </w:tc>
      </w:tr>
      <w:tr w:rsidR="00716CAE" w:rsidRPr="006A74E0" w14:paraId="06A64EB8" w14:textId="77777777" w:rsidTr="00CE3F4B">
        <w:tc>
          <w:tcPr>
            <w:tcW w:w="1317" w:type="dxa"/>
            <w:vMerge/>
          </w:tcPr>
          <w:p w14:paraId="39AAA4FA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287D58F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Osborne Park Hospital</w:t>
            </w:r>
          </w:p>
        </w:tc>
        <w:tc>
          <w:tcPr>
            <w:tcW w:w="3943" w:type="dxa"/>
          </w:tcPr>
          <w:p w14:paraId="1018C317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272" w:type="dxa"/>
          </w:tcPr>
          <w:p w14:paraId="210111AA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hyperlink r:id="rId28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Deterioration Hospital Procedure</w:t>
              </w:r>
            </w:hyperlink>
            <w:r w:rsidR="00EF3FD4" w:rsidRPr="002C295B"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  <w:t xml:space="preserve"> </w:t>
            </w:r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>(Aug 2019)</w:t>
            </w:r>
          </w:p>
        </w:tc>
        <w:tc>
          <w:tcPr>
            <w:tcW w:w="2524" w:type="dxa"/>
          </w:tcPr>
          <w:p w14:paraId="410F6519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</w:p>
        </w:tc>
      </w:tr>
      <w:tr w:rsidR="00716CAE" w:rsidRPr="006A74E0" w14:paraId="2AEC0A54" w14:textId="77777777" w:rsidTr="00CE3F4B">
        <w:tc>
          <w:tcPr>
            <w:tcW w:w="1317" w:type="dxa"/>
            <w:vMerge/>
          </w:tcPr>
          <w:p w14:paraId="3526AC21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7A64C2D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WNHS (King Edward Hospital)</w:t>
            </w:r>
          </w:p>
        </w:tc>
        <w:tc>
          <w:tcPr>
            <w:tcW w:w="3943" w:type="dxa"/>
          </w:tcPr>
          <w:p w14:paraId="31C51A30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9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Deterioration</w:t>
              </w:r>
            </w:hyperlink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F3FD4" w:rsidRPr="002C295B">
              <w:rPr>
                <w:rFonts w:ascii="Arial" w:eastAsia="Calibri" w:hAnsi="Arial" w:cs="Times New Roman"/>
                <w:sz w:val="20"/>
                <w:szCs w:val="20"/>
              </w:rPr>
              <w:t>(Feb 2021)</w:t>
            </w:r>
          </w:p>
        </w:tc>
        <w:tc>
          <w:tcPr>
            <w:tcW w:w="5272" w:type="dxa"/>
          </w:tcPr>
          <w:p w14:paraId="718A73FC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hyperlink r:id="rId30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Physiological (Clinical) Deterioration</w:t>
              </w:r>
            </w:hyperlink>
            <w:r w:rsidR="00EF3FD4" w:rsidRPr="002C295B"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  <w:t xml:space="preserve"> </w:t>
            </w:r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>(Nov 2019)</w:t>
            </w:r>
          </w:p>
        </w:tc>
        <w:tc>
          <w:tcPr>
            <w:tcW w:w="2524" w:type="dxa"/>
          </w:tcPr>
          <w:p w14:paraId="67906E80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</w:rPr>
            </w:pPr>
            <w:hyperlink r:id="rId31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Deterioration Committee</w:t>
              </w:r>
            </w:hyperlink>
          </w:p>
        </w:tc>
      </w:tr>
      <w:tr w:rsidR="00716CAE" w:rsidRPr="006A74E0" w14:paraId="7FB0A774" w14:textId="77777777" w:rsidTr="00CE3F4B">
        <w:tc>
          <w:tcPr>
            <w:tcW w:w="1317" w:type="dxa"/>
            <w:vMerge/>
          </w:tcPr>
          <w:p w14:paraId="3C550C96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5D0A8B1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Mental Health, Public Health, and Dental Services</w:t>
            </w:r>
          </w:p>
        </w:tc>
        <w:tc>
          <w:tcPr>
            <w:tcW w:w="3943" w:type="dxa"/>
          </w:tcPr>
          <w:p w14:paraId="50E44BBE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2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Standard 8: Recognising and Responding to Acute Deterioration</w:t>
              </w:r>
            </w:hyperlink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 xml:space="preserve"> (Feb 2021)</w:t>
            </w:r>
          </w:p>
        </w:tc>
        <w:tc>
          <w:tcPr>
            <w:tcW w:w="5272" w:type="dxa"/>
          </w:tcPr>
          <w:p w14:paraId="613A8FC3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hyperlink r:id="rId33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managing acute mental state deterioration</w:t>
              </w:r>
            </w:hyperlink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F3FD4" w:rsidRPr="002C295B">
              <w:rPr>
                <w:rFonts w:ascii="Arial" w:eastAsia="Calibri" w:hAnsi="Arial" w:cs="Times New Roman"/>
                <w:sz w:val="20"/>
                <w:szCs w:val="20"/>
              </w:rPr>
              <w:t>(Nov 2019)</w:t>
            </w:r>
          </w:p>
        </w:tc>
        <w:tc>
          <w:tcPr>
            <w:tcW w:w="2524" w:type="dxa"/>
          </w:tcPr>
          <w:p w14:paraId="1EAA2095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16CAE" w:rsidRPr="006A74E0" w14:paraId="4D9ED613" w14:textId="77777777" w:rsidTr="00CE3F4B">
        <w:tc>
          <w:tcPr>
            <w:tcW w:w="1317" w:type="dxa"/>
            <w:vMerge/>
          </w:tcPr>
          <w:p w14:paraId="3714F73D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3A5DC0CB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Joondalup</w:t>
            </w:r>
          </w:p>
        </w:tc>
        <w:tc>
          <w:tcPr>
            <w:tcW w:w="3943" w:type="dxa"/>
          </w:tcPr>
          <w:p w14:paraId="39B9F939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r w:rsidRPr="002C295B"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  <w:t>-</w:t>
            </w:r>
          </w:p>
        </w:tc>
        <w:tc>
          <w:tcPr>
            <w:tcW w:w="5272" w:type="dxa"/>
          </w:tcPr>
          <w:p w14:paraId="2E9AD281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r w:rsidRPr="002C295B"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  <w:t>-</w:t>
            </w:r>
          </w:p>
        </w:tc>
        <w:tc>
          <w:tcPr>
            <w:tcW w:w="2524" w:type="dxa"/>
          </w:tcPr>
          <w:p w14:paraId="048A6DB1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765A7" w:rsidRPr="006A74E0" w14:paraId="1804BB1F" w14:textId="77777777" w:rsidTr="00CE3F4B">
        <w:tc>
          <w:tcPr>
            <w:tcW w:w="1317" w:type="dxa"/>
            <w:vMerge w:val="restart"/>
          </w:tcPr>
          <w:p w14:paraId="61876846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 xml:space="preserve">South Metropolitan Health Service </w:t>
            </w:r>
          </w:p>
        </w:tc>
        <w:tc>
          <w:tcPr>
            <w:tcW w:w="6191" w:type="dxa"/>
            <w:gridSpan w:val="2"/>
          </w:tcPr>
          <w:p w14:paraId="22B82950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272" w:type="dxa"/>
          </w:tcPr>
          <w:p w14:paraId="0E159A69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hyperlink r:id="rId34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Recognition and Response to Acute Deterioration (RRAD) Policy</w:t>
              </w:r>
            </w:hyperlink>
            <w:r w:rsidR="00EF3FD4" w:rsidRPr="002C295B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 </w:t>
            </w:r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>(July 2019)</w:t>
            </w:r>
          </w:p>
        </w:tc>
        <w:tc>
          <w:tcPr>
            <w:tcW w:w="2524" w:type="dxa"/>
          </w:tcPr>
          <w:p w14:paraId="6DD17865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</w:tr>
      <w:tr w:rsidR="00716CAE" w:rsidRPr="006A74E0" w14:paraId="73271EE2" w14:textId="77777777" w:rsidTr="00CE3F4B">
        <w:tc>
          <w:tcPr>
            <w:tcW w:w="1317" w:type="dxa"/>
            <w:vMerge/>
          </w:tcPr>
          <w:p w14:paraId="088B54A1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43A5916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Fiona Stanley Fremantle Group</w:t>
            </w:r>
          </w:p>
        </w:tc>
        <w:tc>
          <w:tcPr>
            <w:tcW w:w="3943" w:type="dxa"/>
          </w:tcPr>
          <w:p w14:paraId="2D788E77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5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Deterioration</w:t>
              </w:r>
            </w:hyperlink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F3FD4" w:rsidRPr="002C295B">
              <w:rPr>
                <w:rFonts w:ascii="Arial" w:eastAsia="Calibri" w:hAnsi="Arial" w:cs="Times New Roman"/>
                <w:sz w:val="20"/>
                <w:szCs w:val="20"/>
              </w:rPr>
              <w:t>(Mar 2021)</w:t>
            </w:r>
          </w:p>
        </w:tc>
        <w:tc>
          <w:tcPr>
            <w:tcW w:w="5272" w:type="dxa"/>
          </w:tcPr>
          <w:p w14:paraId="04FE2D2C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hyperlink r:id="rId36" w:history="1">
              <w:r w:rsidR="00EF3FD4" w:rsidRPr="002C295B">
                <w:rPr>
                  <w:rStyle w:val="Hyperlink"/>
                  <w:rFonts w:eastAsia="Calibri" w:cs="Arial"/>
                  <w:sz w:val="20"/>
                  <w:szCs w:val="20"/>
                </w:rPr>
                <w:t>Recognising and Responding to Acute Deterioration</w:t>
              </w:r>
            </w:hyperlink>
            <w:r w:rsidR="00EF3FD4" w:rsidRPr="002C295B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 (Nov 2020)</w:t>
            </w:r>
          </w:p>
        </w:tc>
        <w:tc>
          <w:tcPr>
            <w:tcW w:w="2524" w:type="dxa"/>
          </w:tcPr>
          <w:p w14:paraId="26179E78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color w:val="002060"/>
                <w:sz w:val="20"/>
                <w:szCs w:val="20"/>
              </w:rPr>
              <w:t>​</w:t>
            </w:r>
            <w:hyperlink r:id="rId37" w:history="1">
              <w:r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F</w:t>
              </w:r>
              <w:r w:rsidRPr="002C295B">
                <w:rPr>
                  <w:rFonts w:ascii="Arial" w:eastAsia="Calibri" w:hAnsi="Arial" w:cs="Times New Roman"/>
                  <w:color w:val="004B8D"/>
                  <w:sz w:val="20"/>
                  <w:szCs w:val="20"/>
                  <w:u w:val="single"/>
                </w:rPr>
                <w:t xml:space="preserve">SH </w:t>
              </w:r>
              <w:r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&amp; Responding to Acute Deterioration Committee</w:t>
              </w:r>
            </w:hyperlink>
          </w:p>
        </w:tc>
      </w:tr>
      <w:tr w:rsidR="00716CAE" w:rsidRPr="006A74E0" w14:paraId="785BE29A" w14:textId="77777777" w:rsidTr="00CE3F4B">
        <w:tc>
          <w:tcPr>
            <w:tcW w:w="1317" w:type="dxa"/>
            <w:vMerge/>
          </w:tcPr>
          <w:p w14:paraId="3ED8B445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1A8891C3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Rockingham Peel Group</w:t>
            </w:r>
          </w:p>
        </w:tc>
        <w:tc>
          <w:tcPr>
            <w:tcW w:w="3943" w:type="dxa"/>
          </w:tcPr>
          <w:p w14:paraId="044C9F64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8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Deterioration</w:t>
              </w:r>
              <w:r w:rsidR="00EF3FD4" w:rsidRPr="002C295B">
                <w:rPr>
                  <w:rFonts w:ascii="Arial" w:eastAsia="Calibri" w:hAnsi="Arial" w:cs="Times New Roman"/>
                  <w:color w:val="004B8D"/>
                  <w:sz w:val="20"/>
                  <w:szCs w:val="20"/>
                  <w:u w:val="single"/>
                </w:rPr>
                <w:t xml:space="preserve"> web page</w:t>
              </w:r>
            </w:hyperlink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 xml:space="preserve"> (Apr 2019)</w:t>
            </w:r>
          </w:p>
        </w:tc>
        <w:tc>
          <w:tcPr>
            <w:tcW w:w="5272" w:type="dxa"/>
          </w:tcPr>
          <w:p w14:paraId="0A8B5FA0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524" w:type="dxa"/>
          </w:tcPr>
          <w:p w14:paraId="1FE03B9E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</w:p>
        </w:tc>
      </w:tr>
      <w:tr w:rsidR="00716CAE" w:rsidRPr="006A74E0" w14:paraId="0F1AE4B6" w14:textId="77777777" w:rsidTr="00CE3F4B">
        <w:tc>
          <w:tcPr>
            <w:tcW w:w="1317" w:type="dxa"/>
          </w:tcPr>
          <w:p w14:paraId="781135B6" w14:textId="77777777" w:rsidR="00EF3FD4" w:rsidRPr="002C295B" w:rsidRDefault="00EF3FD4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 xml:space="preserve">WA Country Health Service </w:t>
            </w:r>
          </w:p>
        </w:tc>
        <w:tc>
          <w:tcPr>
            <w:tcW w:w="2248" w:type="dxa"/>
          </w:tcPr>
          <w:p w14:paraId="47468C6A" w14:textId="77777777" w:rsidR="00EF3FD4" w:rsidRPr="002C295B" w:rsidRDefault="00EF3FD4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</w:rPr>
            </w:pPr>
            <w:r w:rsidRPr="002C295B">
              <w:rPr>
                <w:rFonts w:ascii="Arial" w:eastAsia="Calibri" w:hAnsi="Arial" w:cs="Arial"/>
                <w:sz w:val="20"/>
                <w:szCs w:val="20"/>
              </w:rPr>
              <w:t>Most services have individualised content</w:t>
            </w:r>
          </w:p>
        </w:tc>
        <w:tc>
          <w:tcPr>
            <w:tcW w:w="3943" w:type="dxa"/>
          </w:tcPr>
          <w:p w14:paraId="78859DBD" w14:textId="77777777" w:rsidR="00EF3FD4" w:rsidRPr="002C295B" w:rsidRDefault="00960C62" w:rsidP="00716CAE">
            <w:pPr>
              <w:rPr>
                <w:rFonts w:ascii="Arial" w:eastAsia="Calibri" w:hAnsi="Arial" w:cs="Times New Roman"/>
                <w:sz w:val="20"/>
                <w:szCs w:val="20"/>
              </w:rPr>
            </w:pPr>
            <w:hyperlink r:id="rId39" w:history="1">
              <w:r w:rsidR="00EF3FD4" w:rsidRPr="002C295B">
                <w:rPr>
                  <w:rFonts w:ascii="Arial" w:eastAsia="Calibri" w:hAnsi="Arial" w:cs="Times New Roman"/>
                  <w:color w:val="004B8D"/>
                  <w:sz w:val="20"/>
                  <w:szCs w:val="20"/>
                  <w:u w:val="single"/>
                </w:rPr>
                <w:t>Acute Physiological Deterioration</w:t>
              </w:r>
            </w:hyperlink>
            <w:r w:rsidR="00EF3FD4" w:rsidRPr="002C295B">
              <w:rPr>
                <w:rFonts w:ascii="Arial" w:eastAsia="Calibri" w:hAnsi="Arial" w:cs="Times New Roman"/>
                <w:sz w:val="20"/>
                <w:szCs w:val="20"/>
              </w:rPr>
              <w:t xml:space="preserve"> (May 2020)</w:t>
            </w:r>
          </w:p>
          <w:p w14:paraId="390156B1" w14:textId="77777777" w:rsidR="00EF3FD4" w:rsidRPr="002C295B" w:rsidRDefault="00960C62" w:rsidP="00716CA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0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Acute Deterioration - Audit Tools and Resources</w:t>
              </w:r>
            </w:hyperlink>
          </w:p>
        </w:tc>
        <w:tc>
          <w:tcPr>
            <w:tcW w:w="5272" w:type="dxa"/>
          </w:tcPr>
          <w:p w14:paraId="0367A809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hyperlink r:id="rId41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Clinical Escalation of Acute Physiological Deterioration including Medical Emergency Response Policy</w:t>
              </w:r>
            </w:hyperlink>
            <w:r w:rsidR="00EF3FD4" w:rsidRPr="002C295B"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  <w:t xml:space="preserve"> </w:t>
            </w:r>
            <w:r w:rsidR="00EF3FD4" w:rsidRPr="002C295B">
              <w:rPr>
                <w:rFonts w:ascii="Arial" w:eastAsia="Calibri" w:hAnsi="Arial" w:cs="Arial"/>
                <w:sz w:val="20"/>
                <w:szCs w:val="20"/>
              </w:rPr>
              <w:t>(Nov 2020)</w:t>
            </w:r>
          </w:p>
        </w:tc>
        <w:tc>
          <w:tcPr>
            <w:tcW w:w="2524" w:type="dxa"/>
          </w:tcPr>
          <w:p w14:paraId="3AA60BAE" w14:textId="77777777" w:rsidR="00EF3FD4" w:rsidRPr="002C295B" w:rsidRDefault="00960C62" w:rsidP="00716CAE">
            <w:pPr>
              <w:rPr>
                <w:rFonts w:ascii="Arial" w:eastAsia="Calibri" w:hAnsi="Arial" w:cs="Arial"/>
                <w:color w:val="004B8D"/>
                <w:sz w:val="20"/>
                <w:szCs w:val="20"/>
                <w:u w:val="single"/>
              </w:rPr>
            </w:pPr>
            <w:hyperlink r:id="rId42" w:history="1">
              <w:r w:rsidR="00EF3FD4" w:rsidRPr="002C295B">
                <w:rPr>
                  <w:rFonts w:ascii="Arial" w:eastAsia="Calibri" w:hAnsi="Arial" w:cs="Arial"/>
                  <w:color w:val="004B8D"/>
                  <w:sz w:val="20"/>
                  <w:szCs w:val="20"/>
                  <w:u w:val="single"/>
                </w:rPr>
                <w:t>Recognising and Responding to Acute Deterioration Committee</w:t>
              </w:r>
            </w:hyperlink>
          </w:p>
        </w:tc>
      </w:tr>
    </w:tbl>
    <w:p w14:paraId="7915CB43" w14:textId="77777777" w:rsidR="00CD0E5A" w:rsidRPr="006A6332" w:rsidRDefault="00CD0E5A" w:rsidP="00B9326D">
      <w:pPr>
        <w:spacing w:after="120" w:line="240" w:lineRule="auto"/>
        <w:rPr>
          <w:rFonts w:ascii="Arial" w:hAnsi="Arial" w:cs="Arial"/>
        </w:rPr>
      </w:pPr>
    </w:p>
    <w:sectPr w:rsidR="00CD0E5A" w:rsidRPr="006A6332" w:rsidSect="00EE51E2">
      <w:headerReference w:type="default" r:id="rId43"/>
      <w:pgSz w:w="16838" w:h="11906" w:orient="landscape"/>
      <w:pgMar w:top="720" w:right="85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53E53" w14:textId="77777777" w:rsidR="00960C62" w:rsidRDefault="00960C62" w:rsidP="00684863">
      <w:pPr>
        <w:spacing w:after="0" w:line="240" w:lineRule="auto"/>
      </w:pPr>
      <w:r>
        <w:separator/>
      </w:r>
    </w:p>
  </w:endnote>
  <w:endnote w:type="continuationSeparator" w:id="0">
    <w:p w14:paraId="67279ED4" w14:textId="77777777" w:rsidR="00960C62" w:rsidRDefault="00960C62" w:rsidP="00684863">
      <w:pPr>
        <w:spacing w:after="0" w:line="240" w:lineRule="auto"/>
      </w:pPr>
      <w:r>
        <w:continuationSeparator/>
      </w:r>
    </w:p>
  </w:endnote>
  <w:endnote w:type="continuationNotice" w:id="1">
    <w:p w14:paraId="3D274E3C" w14:textId="77777777" w:rsidR="00960C62" w:rsidRDefault="00960C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52057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9270D" w14:textId="77777777" w:rsidR="00FE5C85" w:rsidRPr="00FE5C85" w:rsidRDefault="00FE5C85">
        <w:pPr>
          <w:pStyle w:val="Footer"/>
          <w:jc w:val="center"/>
          <w:rPr>
            <w:rFonts w:ascii="Arial" w:hAnsi="Arial" w:cs="Arial"/>
          </w:rPr>
        </w:pPr>
        <w:r w:rsidRPr="00FE5C85">
          <w:rPr>
            <w:rFonts w:ascii="Arial" w:hAnsi="Arial" w:cs="Arial"/>
          </w:rPr>
          <w:fldChar w:fldCharType="begin"/>
        </w:r>
        <w:r w:rsidRPr="00FE5C85">
          <w:rPr>
            <w:rFonts w:ascii="Arial" w:hAnsi="Arial" w:cs="Arial"/>
          </w:rPr>
          <w:instrText xml:space="preserve"> PAGE   \* MERGEFORMAT </w:instrText>
        </w:r>
        <w:r w:rsidRPr="00FE5C85">
          <w:rPr>
            <w:rFonts w:ascii="Arial" w:hAnsi="Arial" w:cs="Arial"/>
          </w:rPr>
          <w:fldChar w:fldCharType="separate"/>
        </w:r>
        <w:r w:rsidRPr="00FE5C85">
          <w:rPr>
            <w:rFonts w:ascii="Arial" w:hAnsi="Arial" w:cs="Arial"/>
            <w:noProof/>
          </w:rPr>
          <w:t>2</w:t>
        </w:r>
        <w:r w:rsidRPr="00FE5C85">
          <w:rPr>
            <w:rFonts w:ascii="Arial" w:hAnsi="Arial" w:cs="Arial"/>
            <w:noProof/>
          </w:rPr>
          <w:fldChar w:fldCharType="end"/>
        </w:r>
      </w:p>
    </w:sdtContent>
  </w:sdt>
  <w:p w14:paraId="54FC050C" w14:textId="77777777" w:rsidR="00FE5C85" w:rsidRPr="00FE5C85" w:rsidRDefault="00FE5C8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FCA72" w14:textId="77777777" w:rsidR="00960C62" w:rsidRDefault="00960C62" w:rsidP="00684863">
      <w:pPr>
        <w:spacing w:after="0" w:line="240" w:lineRule="auto"/>
      </w:pPr>
      <w:r>
        <w:separator/>
      </w:r>
    </w:p>
  </w:footnote>
  <w:footnote w:type="continuationSeparator" w:id="0">
    <w:p w14:paraId="13878A50" w14:textId="77777777" w:rsidR="00960C62" w:rsidRDefault="00960C62" w:rsidP="00684863">
      <w:pPr>
        <w:spacing w:after="0" w:line="240" w:lineRule="auto"/>
      </w:pPr>
      <w:r>
        <w:continuationSeparator/>
      </w:r>
    </w:p>
  </w:footnote>
  <w:footnote w:type="continuationNotice" w:id="1">
    <w:p w14:paraId="79DA260D" w14:textId="77777777" w:rsidR="00960C62" w:rsidRDefault="00960C62">
      <w:pPr>
        <w:spacing w:after="0" w:line="240" w:lineRule="auto"/>
      </w:pPr>
    </w:p>
  </w:footnote>
  <w:footnote w:id="2">
    <w:p w14:paraId="3DE7E919" w14:textId="02782525" w:rsidR="003F0C94" w:rsidRDefault="003F0C94" w:rsidP="007C1DC1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5D1BF5">
        <w:rPr>
          <w:rFonts w:cs="Arial"/>
        </w:rPr>
        <w:t xml:space="preserve">Department of Health (2020), </w:t>
      </w:r>
      <w:hyperlink r:id="rId1" w:history="1">
        <w:r w:rsidRPr="00162055">
          <w:rPr>
            <w:rStyle w:val="Hyperlink"/>
            <w:rFonts w:cs="Arial"/>
            <w:sz w:val="20"/>
          </w:rPr>
          <w:t>‘Your Safety in our Hands in Hospital: An Integrated Approach to Patient Safety Surveillance by WA Health Service Providers, Hospitals and the Community’</w:t>
        </w:r>
      </w:hyperlink>
      <w:r w:rsidRPr="005D1BF5">
        <w:rPr>
          <w:rFonts w:cs="Arial"/>
        </w:rPr>
        <w:t xml:space="preserve"> </w:t>
      </w:r>
      <w:r w:rsidRPr="00162055">
        <w:rPr>
          <w:rFonts w:cs="Arial"/>
          <w:i/>
        </w:rPr>
        <w:t>Delivering Safer Care Series Report 9</w:t>
      </w:r>
      <w:r w:rsidRPr="005D1BF5">
        <w:rPr>
          <w:rFonts w:cs="Arial"/>
        </w:rPr>
        <w:t xml:space="preserve"> v.1 (Perth: Patient Safety Surveillance Unit, Department of Health)</w:t>
      </w:r>
      <w:r w:rsidR="00A1688B">
        <w:rPr>
          <w:rFonts w:cs="Arial"/>
        </w:rPr>
        <w:t>, 88.</w:t>
      </w:r>
    </w:p>
  </w:footnote>
  <w:footnote w:id="3">
    <w:p w14:paraId="56D5C7D8" w14:textId="1783D55E" w:rsidR="000E6874" w:rsidRDefault="000E6874" w:rsidP="007C1DC1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Australian Commission on Safety and Quality in Health Care</w:t>
      </w:r>
      <w:r w:rsidRPr="00B61B14">
        <w:t xml:space="preserve">, </w:t>
      </w:r>
      <w:hyperlink r:id="rId2" w:history="1">
        <w:r w:rsidRPr="00221562">
          <w:rPr>
            <w:rStyle w:val="Hyperlink"/>
            <w:i/>
            <w:sz w:val="20"/>
          </w:rPr>
          <w:t>National Consensus Statement: essential elements for recognising and responding to deterioration in a person’s mental state</w:t>
        </w:r>
      </w:hyperlink>
      <w:r w:rsidRPr="00B61B14">
        <w:t xml:space="preserve"> (Sydney</w:t>
      </w:r>
      <w:r>
        <w:t>: 2017</w:t>
      </w:r>
      <w:r w:rsidRPr="00B61B14">
        <w:t>).</w:t>
      </w:r>
    </w:p>
  </w:footnote>
  <w:footnote w:id="4">
    <w:p w14:paraId="62609404" w14:textId="46531B18" w:rsidR="000E6874" w:rsidRPr="00E25EAA" w:rsidRDefault="000E6874" w:rsidP="007C1DC1">
      <w:pPr>
        <w:pStyle w:val="FootnoteText"/>
        <w:spacing w:after="120"/>
        <w:rPr>
          <w:rFonts w:cs="Arial"/>
        </w:rPr>
      </w:pPr>
      <w:r w:rsidRPr="00E25EAA">
        <w:rPr>
          <w:rStyle w:val="FootnoteReference"/>
          <w:rFonts w:cs="Arial"/>
        </w:rPr>
        <w:footnoteRef/>
      </w:r>
      <w:r w:rsidRPr="00E25EAA">
        <w:rPr>
          <w:rFonts w:cs="Arial"/>
        </w:rPr>
        <w:t xml:space="preserve"> </w:t>
      </w:r>
      <w:r w:rsidRPr="00A873BA">
        <w:rPr>
          <w:rFonts w:cs="Arial"/>
        </w:rPr>
        <w:t xml:space="preserve">Gaskin, C, Dagley G, </w:t>
      </w:r>
      <w:hyperlink r:id="rId3" w:history="1">
        <w:r w:rsidRPr="00DF75C3">
          <w:rPr>
            <w:rStyle w:val="Hyperlink"/>
            <w:rFonts w:cs="Arial"/>
            <w:i/>
            <w:sz w:val="20"/>
          </w:rPr>
          <w:t>Recognising Signs of Deterioration in a Person’s Mental State: Final Report</w:t>
        </w:r>
      </w:hyperlink>
      <w:r w:rsidRPr="00A873BA">
        <w:rPr>
          <w:rFonts w:cs="Arial"/>
        </w:rPr>
        <w:t xml:space="preserve"> (Sydney: </w:t>
      </w:r>
      <w:r>
        <w:rPr>
          <w:rFonts w:cs="Arial"/>
        </w:rPr>
        <w:t>2018</w:t>
      </w:r>
      <w:r w:rsidRPr="00A873BA">
        <w:rPr>
          <w:rFonts w:cs="Arial"/>
        </w:rPr>
        <w:t>)</w:t>
      </w:r>
      <w:r>
        <w:rPr>
          <w:rFonts w:cs="Arial"/>
        </w:rPr>
        <w:t>:</w:t>
      </w:r>
      <w:r w:rsidRPr="00E25EAA">
        <w:rPr>
          <w:rFonts w:cs="Arial"/>
        </w:rPr>
        <w:t xml:space="preserve"> i</w:t>
      </w:r>
      <w:r>
        <w:rPr>
          <w:rFonts w:cs="Arial"/>
        </w:rPr>
        <w:t>.</w:t>
      </w:r>
    </w:p>
  </w:footnote>
  <w:footnote w:id="5">
    <w:p w14:paraId="2E1B4288" w14:textId="017AD788" w:rsidR="000E6874" w:rsidRDefault="000E6874" w:rsidP="007C1DC1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</w:rPr>
        <w:t>The</w:t>
      </w:r>
      <w:r w:rsidRPr="00613F4E">
        <w:t xml:space="preserve"> 2018 </w:t>
      </w:r>
      <w:hyperlink r:id="rId4" w:history="1">
        <w:r w:rsidRPr="00BA6D98">
          <w:rPr>
            <w:rStyle w:val="Hyperlink"/>
            <w:i/>
            <w:sz w:val="20"/>
          </w:rPr>
          <w:t>User Guide for Health Services Providing Care for People with Mental Health Issues</w:t>
        </w:r>
      </w:hyperlink>
      <w:r w:rsidRPr="00613F4E">
        <w:rPr>
          <w:i/>
        </w:rPr>
        <w:t xml:space="preserve"> </w:t>
      </w:r>
      <w:r w:rsidR="00992EC9">
        <w:t>includes</w:t>
      </w:r>
      <w:r w:rsidRPr="00613F4E">
        <w:t xml:space="preserve"> the assessment criteria as a ‘practice resource’ to support RRAD</w:t>
      </w:r>
      <w:r>
        <w:t>. ACSQHC. (Sydney: ACSQHC; 2018).</w:t>
      </w:r>
    </w:p>
  </w:footnote>
  <w:footnote w:id="6">
    <w:p w14:paraId="66D43684" w14:textId="5FF38FC6" w:rsidR="000E6874" w:rsidRPr="00DF3CB9" w:rsidRDefault="000E6874" w:rsidP="007C1DC1">
      <w:pPr>
        <w:pStyle w:val="FootnoteText"/>
        <w:spacing w:after="120"/>
        <w:rPr>
          <w:rFonts w:cs="Arial"/>
        </w:rPr>
      </w:pPr>
      <w:r>
        <w:rPr>
          <w:rStyle w:val="FootnoteReference"/>
        </w:rPr>
        <w:footnoteRef/>
      </w:r>
      <w:r>
        <w:t xml:space="preserve"> </w:t>
      </w:r>
      <w:r w:rsidRPr="00A873BA">
        <w:rPr>
          <w:rFonts w:cs="Arial"/>
        </w:rPr>
        <w:t xml:space="preserve">Gaskin, C, Dagley G, </w:t>
      </w:r>
      <w:hyperlink r:id="rId5" w:history="1">
        <w:r w:rsidRPr="00EA69A9">
          <w:rPr>
            <w:rStyle w:val="Hyperlink"/>
            <w:rFonts w:cs="Arial"/>
            <w:i/>
            <w:sz w:val="20"/>
          </w:rPr>
          <w:t>Recognising Signs of Deterioration in a Person’s Mental State: Final Report</w:t>
        </w:r>
      </w:hyperlink>
      <w:r w:rsidRPr="00A873BA">
        <w:rPr>
          <w:rFonts w:cs="Arial"/>
        </w:rPr>
        <w:t xml:space="preserve"> (Sydney: </w:t>
      </w:r>
      <w:r>
        <w:rPr>
          <w:rFonts w:cs="Arial"/>
        </w:rPr>
        <w:t>2018</w:t>
      </w:r>
      <w:r w:rsidRPr="00A873BA">
        <w:rPr>
          <w:rFonts w:cs="Arial"/>
        </w:rPr>
        <w:t>)</w:t>
      </w:r>
      <w:r>
        <w:rPr>
          <w:rFonts w:cs="Arial"/>
        </w:rPr>
        <w:t>:</w:t>
      </w:r>
      <w:r w:rsidRPr="00E25EAA">
        <w:rPr>
          <w:rFonts w:cs="Arial"/>
        </w:rPr>
        <w:t xml:space="preserve"> 6</w:t>
      </w:r>
      <w:r>
        <w:rPr>
          <w:rFonts w:cs="Arial"/>
        </w:rPr>
        <w:t>.</w:t>
      </w:r>
      <w:r w:rsidRPr="00DF3CB9">
        <w:t xml:space="preserve"> </w:t>
      </w:r>
    </w:p>
  </w:footnote>
  <w:footnote w:id="7">
    <w:p w14:paraId="1256872D" w14:textId="7C0F7AFB" w:rsidR="004E63AD" w:rsidRDefault="004E63AD" w:rsidP="009805CB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The definition of </w:t>
      </w:r>
      <w:r w:rsidR="00C51450">
        <w:t>a clinical incident is: “</w:t>
      </w:r>
      <w:r>
        <w:t>An event or circumstance resulting from health care provision (or lack thereof) which could have or did lead to unintended or unnecessary physical or psychological harm to a patient.</w:t>
      </w:r>
      <w:r w:rsidR="00C51450">
        <w:t xml:space="preserve">” </w:t>
      </w:r>
      <w:r w:rsidR="009805CB">
        <w:t>Department of Health (2019)</w:t>
      </w:r>
      <w:r w:rsidR="0023674D">
        <w:t xml:space="preserve">, </w:t>
      </w:r>
      <w:hyperlink r:id="rId6" w:anchor=":~:text=The%20purpose%20of%20the%20Clinical%20Incident%20Management%20%28CIM%29,prevent%20harm%20to%20patients%20and%20improve%20patient%20safety." w:history="1">
        <w:r w:rsidR="0023674D" w:rsidRPr="002C7218">
          <w:rPr>
            <w:rStyle w:val="Hyperlink"/>
            <w:i/>
            <w:iCs/>
            <w:sz w:val="20"/>
          </w:rPr>
          <w:t>Clinical Incident Management Policy</w:t>
        </w:r>
      </w:hyperlink>
      <w:r w:rsidR="0023674D" w:rsidRPr="009805CB">
        <w:rPr>
          <w:i/>
          <w:iCs/>
        </w:rPr>
        <w:t xml:space="preserve"> </w:t>
      </w:r>
      <w:r w:rsidR="009805CB" w:rsidRPr="005D1BF5">
        <w:rPr>
          <w:rFonts w:cs="Arial"/>
        </w:rPr>
        <w:t>(Perth: Patient Safety and Surveillance Unit, Department of Health).</w:t>
      </w:r>
    </w:p>
  </w:footnote>
  <w:footnote w:id="8">
    <w:p w14:paraId="0F655DAA" w14:textId="24763586" w:rsidR="003C7A01" w:rsidRPr="005D1BF5" w:rsidRDefault="003C7A01" w:rsidP="009805CB">
      <w:pPr>
        <w:pStyle w:val="FootnoteText"/>
        <w:spacing w:after="120"/>
        <w:rPr>
          <w:rFonts w:cs="Arial"/>
        </w:rPr>
      </w:pPr>
      <w:r w:rsidRPr="005D1BF5">
        <w:rPr>
          <w:rStyle w:val="FootnoteReference"/>
          <w:rFonts w:cs="Arial"/>
        </w:rPr>
        <w:footnoteRef/>
      </w:r>
      <w:r w:rsidRPr="005D1BF5">
        <w:rPr>
          <w:rFonts w:cs="Arial"/>
        </w:rPr>
        <w:t xml:space="preserve"> i.e. ‘Unplanned elevation of care to intensive care setting’; ‘Failure/insufficient response to significant change in patient status’; ‘Failure/insufficient recognition of significant change in patient status’; ‘Failure to activate rapid response/resuscitation team’; Unplanned return to surgery’: </w:t>
      </w:r>
      <w:r w:rsidR="00553D7F" w:rsidRPr="00553D7F">
        <w:rPr>
          <w:rFonts w:cs="Arial"/>
        </w:rPr>
        <w:t>Department of Healt</w:t>
      </w:r>
      <w:r w:rsidR="00BD2AB1">
        <w:rPr>
          <w:rFonts w:cs="Arial"/>
        </w:rPr>
        <w:t>h/Health Support Services</w:t>
      </w:r>
      <w:r w:rsidR="00112BCF">
        <w:rPr>
          <w:rFonts w:cs="Arial"/>
        </w:rPr>
        <w:t>, ‘Recognising and Responding to Acute Deterioration (Standard 8)</w:t>
      </w:r>
      <w:r w:rsidR="00DC3079">
        <w:rPr>
          <w:rFonts w:cs="Arial"/>
        </w:rPr>
        <w:t>’</w:t>
      </w:r>
      <w:r w:rsidR="00DC3079" w:rsidRPr="00DC3079">
        <w:rPr>
          <w:rFonts w:cs="Arial"/>
          <w:i/>
          <w:iCs/>
        </w:rPr>
        <w:t xml:space="preserve"> </w:t>
      </w:r>
      <w:hyperlink r:id="rId7" w:history="1">
        <w:r w:rsidR="00112BCF" w:rsidRPr="00DC3079">
          <w:rPr>
            <w:rStyle w:val="Hyperlink"/>
            <w:rFonts w:cs="Arial"/>
            <w:i/>
            <w:iCs/>
            <w:sz w:val="20"/>
          </w:rPr>
          <w:t>NSQHS Standards 2</w:t>
        </w:r>
        <w:r w:rsidR="00112BCF" w:rsidRPr="00DC3079">
          <w:rPr>
            <w:rStyle w:val="Hyperlink"/>
            <w:rFonts w:cs="Arial"/>
            <w:i/>
            <w:iCs/>
            <w:sz w:val="20"/>
            <w:vertAlign w:val="superscript"/>
          </w:rPr>
          <w:t>nd</w:t>
        </w:r>
        <w:r w:rsidR="00112BCF" w:rsidRPr="00DC3079">
          <w:rPr>
            <w:rStyle w:val="Hyperlink"/>
            <w:rFonts w:cs="Arial"/>
            <w:i/>
            <w:iCs/>
            <w:sz w:val="20"/>
          </w:rPr>
          <w:t xml:space="preserve"> edition CCS2 tagging</w:t>
        </w:r>
      </w:hyperlink>
      <w:r w:rsidR="00DC3079">
        <w:rPr>
          <w:rFonts w:cs="Arial"/>
          <w:i/>
          <w:iCs/>
        </w:rPr>
        <w:t xml:space="preserve">, </w:t>
      </w:r>
      <w:r w:rsidR="00DC3079">
        <w:rPr>
          <w:rFonts w:cs="Arial"/>
        </w:rPr>
        <w:t>Accessed Nov 2021.</w:t>
      </w:r>
    </w:p>
  </w:footnote>
  <w:footnote w:id="9">
    <w:p w14:paraId="7086CD0D" w14:textId="77777777" w:rsidR="003C7A01" w:rsidRPr="00461CD7" w:rsidRDefault="003C7A01" w:rsidP="007C1DC1">
      <w:pPr>
        <w:pStyle w:val="FootnoteText"/>
        <w:spacing w:after="120"/>
        <w:rPr>
          <w:rFonts w:cs="Arial"/>
          <w:highlight w:val="yellow"/>
        </w:rPr>
      </w:pPr>
      <w:r w:rsidRPr="005D1BF5">
        <w:rPr>
          <w:rStyle w:val="FootnoteReference"/>
          <w:rFonts w:cs="Arial"/>
        </w:rPr>
        <w:footnoteRef/>
      </w:r>
      <w:r w:rsidRPr="005D1BF5">
        <w:rPr>
          <w:rFonts w:cs="Arial"/>
        </w:rPr>
        <w:t xml:space="preserve"> Department of Health (2020), </w:t>
      </w:r>
      <w:hyperlink r:id="rId8" w:history="1">
        <w:r w:rsidRPr="00162055">
          <w:rPr>
            <w:rStyle w:val="Hyperlink"/>
            <w:rFonts w:cs="Arial"/>
            <w:sz w:val="20"/>
          </w:rPr>
          <w:t>‘Your Safety in our Hands in Hospital: An Integrated Approach to Patient Safety Surveillance by WA Health Service Providers, Hospitals and the Community’</w:t>
        </w:r>
      </w:hyperlink>
      <w:r w:rsidRPr="005D1BF5">
        <w:rPr>
          <w:rFonts w:cs="Arial"/>
        </w:rPr>
        <w:t xml:space="preserve"> </w:t>
      </w:r>
      <w:r w:rsidRPr="00162055">
        <w:rPr>
          <w:rFonts w:cs="Arial"/>
          <w:i/>
        </w:rPr>
        <w:t>Delivering Safer Care Series Report 9</w:t>
      </w:r>
      <w:r w:rsidRPr="005D1BF5">
        <w:rPr>
          <w:rFonts w:cs="Arial"/>
        </w:rPr>
        <w:t xml:space="preserve"> v.1 (Perth: Patient Safety Surveillance Unit, Department of Health).</w:t>
      </w:r>
    </w:p>
  </w:footnote>
  <w:footnote w:id="10">
    <w:p w14:paraId="388283D8" w14:textId="0FD1B5CC" w:rsidR="0028703C" w:rsidRPr="007C1DC1" w:rsidRDefault="00CE4198" w:rsidP="007C1DC1">
      <w:pPr>
        <w:pStyle w:val="FootnoteText"/>
        <w:spacing w:after="120"/>
        <w:rPr>
          <w:rFonts w:cs="Arial"/>
        </w:rPr>
      </w:pPr>
      <w:r>
        <w:rPr>
          <w:rStyle w:val="FootnoteReference"/>
        </w:rPr>
        <w:footnoteRef/>
      </w:r>
      <w:r>
        <w:t xml:space="preserve"> </w:t>
      </w:r>
      <w:r w:rsidR="0028703C" w:rsidRPr="005D1BF5">
        <w:rPr>
          <w:rFonts w:cs="Arial"/>
        </w:rPr>
        <w:t xml:space="preserve">Department of Health (2020), </w:t>
      </w:r>
      <w:hyperlink r:id="rId9" w:history="1">
        <w:r w:rsidR="0028703C" w:rsidRPr="00162055">
          <w:rPr>
            <w:rStyle w:val="Hyperlink"/>
            <w:rFonts w:cs="Arial"/>
            <w:sz w:val="20"/>
          </w:rPr>
          <w:t>‘Your Safety in our Hands in Hospital: An Integrated Approach to Patient Safety Surveillance by WA Health Service Providers, Hospitals and the Community’</w:t>
        </w:r>
      </w:hyperlink>
      <w:r w:rsidR="0028703C" w:rsidRPr="005D1BF5">
        <w:rPr>
          <w:rFonts w:cs="Arial"/>
        </w:rPr>
        <w:t xml:space="preserve"> </w:t>
      </w:r>
      <w:r w:rsidR="0028703C" w:rsidRPr="00162055">
        <w:rPr>
          <w:rFonts w:cs="Arial"/>
          <w:i/>
        </w:rPr>
        <w:t>Delivering Safer Care Series Report 9</w:t>
      </w:r>
      <w:r w:rsidR="0028703C" w:rsidRPr="005D1BF5">
        <w:rPr>
          <w:rFonts w:cs="Arial"/>
        </w:rPr>
        <w:t xml:space="preserve"> v.1 (Perth: Patient Safety Surveillance Unit, Department of Health)</w:t>
      </w:r>
      <w:r w:rsidR="0028703C">
        <w:rPr>
          <w:rFonts w:cs="Arial"/>
        </w:rPr>
        <w:t xml:space="preserve">, 90. </w:t>
      </w:r>
    </w:p>
  </w:footnote>
  <w:footnote w:id="11">
    <w:p w14:paraId="29852561" w14:textId="7FDBBAFB" w:rsidR="007C1DC1" w:rsidRDefault="007C1DC1" w:rsidP="007C1DC1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5D1BF5">
        <w:rPr>
          <w:rFonts w:cs="Arial"/>
        </w:rPr>
        <w:t xml:space="preserve">Department of Health (2021), </w:t>
      </w:r>
      <w:r w:rsidRPr="00162055">
        <w:rPr>
          <w:rFonts w:cs="Arial"/>
          <w:i/>
        </w:rPr>
        <w:t>Clinical Incident Management Dashboard</w:t>
      </w:r>
      <w:r w:rsidRPr="005D1BF5">
        <w:rPr>
          <w:rFonts w:cs="Arial"/>
        </w:rPr>
        <w:t xml:space="preserve"> (Perth: Patient Safety and Surveillance Unit, Department of Health).</w:t>
      </w:r>
      <w:r>
        <w:rPr>
          <w:rFonts w:cs="Arial"/>
        </w:rPr>
        <w:t xml:space="preserve"> Accessed May 2021.</w:t>
      </w:r>
    </w:p>
  </w:footnote>
  <w:footnote w:id="12">
    <w:p w14:paraId="7E75561E" w14:textId="5B95079C" w:rsidR="003C7A01" w:rsidRPr="00E25EAA" w:rsidRDefault="003C7A01" w:rsidP="007C1DC1">
      <w:pPr>
        <w:pStyle w:val="FootnoteText"/>
        <w:spacing w:after="120"/>
        <w:rPr>
          <w:rFonts w:cs="Arial"/>
        </w:rPr>
      </w:pPr>
      <w:r w:rsidRPr="00FE5C85">
        <w:rPr>
          <w:rStyle w:val="FootnoteReference"/>
          <w:rFonts w:cs="Arial"/>
        </w:rPr>
        <w:footnoteRef/>
      </w:r>
      <w:r w:rsidRPr="00FE5C85">
        <w:rPr>
          <w:rFonts w:cs="Arial"/>
        </w:rPr>
        <w:t xml:space="preserve"> Department of Health (2021), </w:t>
      </w:r>
      <w:r w:rsidRPr="00C002B8">
        <w:rPr>
          <w:rFonts w:cs="Arial"/>
          <w:i/>
          <w:iCs/>
        </w:rPr>
        <w:t>Clinical Incident Management Dashboard</w:t>
      </w:r>
      <w:r w:rsidRPr="00FE5C85">
        <w:rPr>
          <w:rFonts w:cs="Arial"/>
        </w:rPr>
        <w:t xml:space="preserve"> (Perth: Patient Safety and Surveillance Unit, Department</w:t>
      </w:r>
      <w:r w:rsidRPr="005D1BF5">
        <w:rPr>
          <w:rFonts w:cs="Arial"/>
        </w:rPr>
        <w:t xml:space="preserve"> of Health).</w:t>
      </w:r>
      <w:r>
        <w:rPr>
          <w:rFonts w:cs="Arial"/>
        </w:rPr>
        <w:t xml:space="preserve"> Accessed May 2021</w:t>
      </w:r>
      <w:r w:rsidR="00C34477">
        <w:rPr>
          <w:rFonts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923F8" w14:textId="57B651E3" w:rsidR="004065C2" w:rsidRPr="009564AF" w:rsidRDefault="004065C2" w:rsidP="004065C2">
    <w:pPr>
      <w:spacing w:after="120" w:line="240" w:lineRule="auto"/>
      <w:jc w:val="center"/>
      <w:rPr>
        <w:rFonts w:ascii="Arial" w:hAnsi="Arial" w:cs="Arial"/>
        <w:b/>
        <w:color w:val="005B38"/>
        <w:sz w:val="24"/>
      </w:rPr>
    </w:pPr>
    <w:r w:rsidRPr="00EE3D58">
      <w:rPr>
        <w:rFonts w:ascii="Arial" w:hAnsi="Arial" w:cs="Arial"/>
        <w:b/>
        <w:color w:val="005B38"/>
        <w:sz w:val="24"/>
      </w:rPr>
      <w:t xml:space="preserve">Attachment </w:t>
    </w:r>
    <w:r>
      <w:rPr>
        <w:rFonts w:ascii="Arial" w:hAnsi="Arial" w:cs="Arial"/>
        <w:b/>
        <w:color w:val="005B38"/>
        <w:sz w:val="24"/>
      </w:rPr>
      <w:t>1</w:t>
    </w:r>
    <w:bookmarkStart w:id="1" w:name="_Toc72756161"/>
    <w:r>
      <w:rPr>
        <w:rFonts w:ascii="Arial" w:hAnsi="Arial" w:cs="Arial"/>
        <w:b/>
        <w:color w:val="005B38"/>
        <w:sz w:val="24"/>
      </w:rPr>
      <w:t xml:space="preserve">: </w:t>
    </w:r>
    <w:r w:rsidRPr="0055118D">
      <w:rPr>
        <w:rFonts w:ascii="Arial" w:hAnsi="Arial" w:cs="Arial"/>
        <w:b/>
        <w:color w:val="005B38"/>
      </w:rPr>
      <w:t xml:space="preserve">WA Health </w:t>
    </w:r>
    <w:r w:rsidR="00EE51E2">
      <w:rPr>
        <w:rFonts w:ascii="Arial" w:hAnsi="Arial" w:cs="Arial"/>
        <w:b/>
        <w:color w:val="005B38"/>
      </w:rPr>
      <w:t>system</w:t>
    </w:r>
    <w:r w:rsidRPr="0055118D">
      <w:rPr>
        <w:rFonts w:ascii="Arial" w:hAnsi="Arial" w:cs="Arial"/>
        <w:b/>
        <w:color w:val="005B38"/>
      </w:rPr>
      <w:t xml:space="preserve"> performance for acute deterioration clinical incidents</w:t>
    </w:r>
    <w:bookmarkEnd w:id="1"/>
  </w:p>
  <w:p w14:paraId="7B6B4CAB" w14:textId="77777777" w:rsidR="004065C2" w:rsidRDefault="00406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4876" w14:textId="3A7C9BC0" w:rsidR="00EE51E2" w:rsidRPr="009564AF" w:rsidRDefault="00EE51E2" w:rsidP="00EE51E2">
    <w:pPr>
      <w:spacing w:after="120" w:line="240" w:lineRule="auto"/>
      <w:jc w:val="center"/>
      <w:rPr>
        <w:rFonts w:ascii="Arial" w:hAnsi="Arial" w:cs="Arial"/>
        <w:b/>
        <w:color w:val="005B38"/>
        <w:sz w:val="24"/>
      </w:rPr>
    </w:pPr>
    <w:r w:rsidRPr="00EE3D58">
      <w:rPr>
        <w:rFonts w:ascii="Arial" w:hAnsi="Arial" w:cs="Arial"/>
        <w:b/>
        <w:color w:val="005B38"/>
        <w:sz w:val="24"/>
      </w:rPr>
      <w:t xml:space="preserve">Attachment </w:t>
    </w:r>
    <w:r>
      <w:rPr>
        <w:rFonts w:ascii="Arial" w:hAnsi="Arial" w:cs="Arial"/>
        <w:b/>
        <w:color w:val="005B38"/>
        <w:sz w:val="24"/>
      </w:rPr>
      <w:t xml:space="preserve">2: </w:t>
    </w:r>
    <w:r w:rsidRPr="0055118D">
      <w:rPr>
        <w:rFonts w:ascii="Arial" w:hAnsi="Arial" w:cs="Arial"/>
        <w:b/>
        <w:color w:val="005B38"/>
      </w:rPr>
      <w:t xml:space="preserve">WA Health Service Provider </w:t>
    </w:r>
    <w:r w:rsidR="00BE53F4">
      <w:rPr>
        <w:rFonts w:ascii="Arial" w:hAnsi="Arial" w:cs="Arial"/>
        <w:b/>
        <w:color w:val="005B38"/>
      </w:rPr>
      <w:t>local policies</w:t>
    </w:r>
    <w:r w:rsidRPr="0055118D">
      <w:rPr>
        <w:rFonts w:ascii="Arial" w:hAnsi="Arial" w:cs="Arial"/>
        <w:b/>
        <w:color w:val="005B38"/>
      </w:rPr>
      <w:t xml:space="preserve"> for acute deterioration </w:t>
    </w:r>
    <w:r w:rsidR="00E542AA">
      <w:rPr>
        <w:rFonts w:ascii="Arial" w:hAnsi="Arial" w:cs="Arial"/>
        <w:b/>
        <w:color w:val="005B38"/>
      </w:rPr>
      <w:t>(not exhaustive)</w:t>
    </w:r>
  </w:p>
  <w:p w14:paraId="2E8A190B" w14:textId="77777777" w:rsidR="009564AF" w:rsidRPr="00EE51E2" w:rsidRDefault="009564AF" w:rsidP="00EE5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6374"/>
    <w:multiLevelType w:val="hybridMultilevel"/>
    <w:tmpl w:val="3F309038"/>
    <w:lvl w:ilvl="0" w:tplc="442C99D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5290C"/>
    <w:multiLevelType w:val="hybridMultilevel"/>
    <w:tmpl w:val="BC6E7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2E30"/>
    <w:multiLevelType w:val="hybridMultilevel"/>
    <w:tmpl w:val="22685A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77DA2"/>
    <w:multiLevelType w:val="hybridMultilevel"/>
    <w:tmpl w:val="0E44A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705F"/>
    <w:multiLevelType w:val="hybridMultilevel"/>
    <w:tmpl w:val="782A3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16E7E"/>
    <w:multiLevelType w:val="hybridMultilevel"/>
    <w:tmpl w:val="63FE7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5EDC"/>
    <w:multiLevelType w:val="hybridMultilevel"/>
    <w:tmpl w:val="B9BCD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41AA9"/>
    <w:multiLevelType w:val="hybridMultilevel"/>
    <w:tmpl w:val="31A02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40309"/>
    <w:multiLevelType w:val="hybridMultilevel"/>
    <w:tmpl w:val="3F702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E59B0"/>
    <w:multiLevelType w:val="hybridMultilevel"/>
    <w:tmpl w:val="E4123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53330"/>
    <w:multiLevelType w:val="hybridMultilevel"/>
    <w:tmpl w:val="07245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63AA5"/>
    <w:multiLevelType w:val="hybridMultilevel"/>
    <w:tmpl w:val="046029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60ED8"/>
    <w:multiLevelType w:val="hybridMultilevel"/>
    <w:tmpl w:val="4B1E1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29A6"/>
    <w:multiLevelType w:val="hybridMultilevel"/>
    <w:tmpl w:val="E0886D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4E37B9"/>
    <w:multiLevelType w:val="hybridMultilevel"/>
    <w:tmpl w:val="C8E49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03719"/>
    <w:multiLevelType w:val="hybridMultilevel"/>
    <w:tmpl w:val="DAB4B2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831838"/>
    <w:multiLevelType w:val="hybridMultilevel"/>
    <w:tmpl w:val="B106E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9210F"/>
    <w:multiLevelType w:val="hybridMultilevel"/>
    <w:tmpl w:val="FC5026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2C99D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040F65"/>
    <w:multiLevelType w:val="hybridMultilevel"/>
    <w:tmpl w:val="835CC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95661"/>
    <w:multiLevelType w:val="hybridMultilevel"/>
    <w:tmpl w:val="551C6976"/>
    <w:lvl w:ilvl="0" w:tplc="86A63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710D5"/>
    <w:multiLevelType w:val="hybridMultilevel"/>
    <w:tmpl w:val="C4C68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7FD7"/>
    <w:multiLevelType w:val="hybridMultilevel"/>
    <w:tmpl w:val="7138F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31D79"/>
    <w:multiLevelType w:val="hybridMultilevel"/>
    <w:tmpl w:val="D5F4A0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2C99D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EB59D9"/>
    <w:multiLevelType w:val="hybridMultilevel"/>
    <w:tmpl w:val="5F3CE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8509E"/>
    <w:multiLevelType w:val="hybridMultilevel"/>
    <w:tmpl w:val="E9A89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51DDA"/>
    <w:multiLevelType w:val="multilevel"/>
    <w:tmpl w:val="1D824C04"/>
    <w:lvl w:ilvl="0">
      <w:start w:val="1"/>
      <w:numFmt w:val="decimal"/>
      <w:lvlText w:val="%1."/>
      <w:lvlJc w:val="left"/>
      <w:pPr>
        <w:ind w:left="7165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  <w:color w:val="005B38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26" w15:restartNumberingAfterBreak="0">
    <w:nsid w:val="6C414B5F"/>
    <w:multiLevelType w:val="hybridMultilevel"/>
    <w:tmpl w:val="8326A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222E8"/>
    <w:multiLevelType w:val="hybridMultilevel"/>
    <w:tmpl w:val="3F424B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2C99D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0916B6"/>
    <w:multiLevelType w:val="hybridMultilevel"/>
    <w:tmpl w:val="FD6CA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D1277F"/>
    <w:multiLevelType w:val="hybridMultilevel"/>
    <w:tmpl w:val="BB96E534"/>
    <w:lvl w:ilvl="0" w:tplc="B41081D4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F4493EE">
      <w:numFmt w:val="bullet"/>
      <w:lvlText w:val="•"/>
      <w:lvlJc w:val="left"/>
      <w:pPr>
        <w:ind w:left="2155" w:hanging="360"/>
      </w:pPr>
      <w:rPr>
        <w:rFonts w:hint="default"/>
      </w:rPr>
    </w:lvl>
    <w:lvl w:ilvl="2" w:tplc="BAF49414"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426A4ED8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16CE482A">
      <w:numFmt w:val="bullet"/>
      <w:lvlText w:val="•"/>
      <w:lvlJc w:val="left"/>
      <w:pPr>
        <w:ind w:left="4960" w:hanging="360"/>
      </w:pPr>
      <w:rPr>
        <w:rFonts w:hint="default"/>
      </w:rPr>
    </w:lvl>
    <w:lvl w:ilvl="5" w:tplc="F29E1AE2">
      <w:numFmt w:val="bullet"/>
      <w:lvlText w:val="•"/>
      <w:lvlJc w:val="left"/>
      <w:pPr>
        <w:ind w:left="5895" w:hanging="360"/>
      </w:pPr>
      <w:rPr>
        <w:rFonts w:hint="default"/>
      </w:rPr>
    </w:lvl>
    <w:lvl w:ilvl="6" w:tplc="D9BCBDAE"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2BDC1C88">
      <w:numFmt w:val="bullet"/>
      <w:lvlText w:val="•"/>
      <w:lvlJc w:val="left"/>
      <w:pPr>
        <w:ind w:left="7765" w:hanging="360"/>
      </w:pPr>
      <w:rPr>
        <w:rFonts w:hint="default"/>
      </w:rPr>
    </w:lvl>
    <w:lvl w:ilvl="8" w:tplc="CE74E42A">
      <w:numFmt w:val="bullet"/>
      <w:lvlText w:val="•"/>
      <w:lvlJc w:val="left"/>
      <w:pPr>
        <w:ind w:left="8700" w:hanging="3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8"/>
  </w:num>
  <w:num w:numId="5">
    <w:abstractNumId w:val="9"/>
  </w:num>
  <w:num w:numId="6">
    <w:abstractNumId w:val="19"/>
  </w:num>
  <w:num w:numId="7">
    <w:abstractNumId w:val="25"/>
  </w:num>
  <w:num w:numId="8">
    <w:abstractNumId w:val="20"/>
  </w:num>
  <w:num w:numId="9">
    <w:abstractNumId w:val="26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3"/>
  </w:num>
  <w:num w:numId="15">
    <w:abstractNumId w:val="24"/>
  </w:num>
  <w:num w:numId="16">
    <w:abstractNumId w:val="5"/>
  </w:num>
  <w:num w:numId="17">
    <w:abstractNumId w:val="18"/>
  </w:num>
  <w:num w:numId="18">
    <w:abstractNumId w:val="12"/>
  </w:num>
  <w:num w:numId="19">
    <w:abstractNumId w:val="23"/>
  </w:num>
  <w:num w:numId="20">
    <w:abstractNumId w:val="27"/>
  </w:num>
  <w:num w:numId="21">
    <w:abstractNumId w:val="11"/>
  </w:num>
  <w:num w:numId="22">
    <w:abstractNumId w:val="28"/>
  </w:num>
  <w:num w:numId="23">
    <w:abstractNumId w:val="15"/>
  </w:num>
  <w:num w:numId="24">
    <w:abstractNumId w:val="13"/>
  </w:num>
  <w:num w:numId="25">
    <w:abstractNumId w:val="17"/>
  </w:num>
  <w:num w:numId="26">
    <w:abstractNumId w:val="2"/>
  </w:num>
  <w:num w:numId="27">
    <w:abstractNumId w:val="22"/>
  </w:num>
  <w:num w:numId="28">
    <w:abstractNumId w:val="21"/>
  </w:num>
  <w:num w:numId="29">
    <w:abstractNumId w:val="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5A"/>
    <w:rsid w:val="00014C61"/>
    <w:rsid w:val="00015B79"/>
    <w:rsid w:val="00024CE4"/>
    <w:rsid w:val="000252E1"/>
    <w:rsid w:val="000255E4"/>
    <w:rsid w:val="000261D4"/>
    <w:rsid w:val="00054AED"/>
    <w:rsid w:val="00062956"/>
    <w:rsid w:val="0006634D"/>
    <w:rsid w:val="0007110F"/>
    <w:rsid w:val="0007708B"/>
    <w:rsid w:val="00082CF8"/>
    <w:rsid w:val="00095493"/>
    <w:rsid w:val="000A67D6"/>
    <w:rsid w:val="000B0F50"/>
    <w:rsid w:val="000B29E3"/>
    <w:rsid w:val="000B4716"/>
    <w:rsid w:val="000D5D7D"/>
    <w:rsid w:val="000D68DB"/>
    <w:rsid w:val="000E6874"/>
    <w:rsid w:val="00103A69"/>
    <w:rsid w:val="00112BCF"/>
    <w:rsid w:val="00117F54"/>
    <w:rsid w:val="00132BEC"/>
    <w:rsid w:val="0013716B"/>
    <w:rsid w:val="00142185"/>
    <w:rsid w:val="001567C9"/>
    <w:rsid w:val="00160028"/>
    <w:rsid w:val="001612F9"/>
    <w:rsid w:val="00162055"/>
    <w:rsid w:val="0018446A"/>
    <w:rsid w:val="00185C16"/>
    <w:rsid w:val="0019669A"/>
    <w:rsid w:val="001A3E3E"/>
    <w:rsid w:val="001B5286"/>
    <w:rsid w:val="001D2D01"/>
    <w:rsid w:val="001D4E5F"/>
    <w:rsid w:val="001E0ECE"/>
    <w:rsid w:val="001E2EB9"/>
    <w:rsid w:val="001E6902"/>
    <w:rsid w:val="001E798F"/>
    <w:rsid w:val="001F6026"/>
    <w:rsid w:val="00203F56"/>
    <w:rsid w:val="00221562"/>
    <w:rsid w:val="00221A3E"/>
    <w:rsid w:val="002365CA"/>
    <w:rsid w:val="0023674D"/>
    <w:rsid w:val="00242BB6"/>
    <w:rsid w:val="00264DBC"/>
    <w:rsid w:val="002754FF"/>
    <w:rsid w:val="0028608E"/>
    <w:rsid w:val="0028703C"/>
    <w:rsid w:val="00291BCF"/>
    <w:rsid w:val="002A364E"/>
    <w:rsid w:val="002A7A3F"/>
    <w:rsid w:val="002C295B"/>
    <w:rsid w:val="002C50FB"/>
    <w:rsid w:val="002C7218"/>
    <w:rsid w:val="002D4D0C"/>
    <w:rsid w:val="002D5FD2"/>
    <w:rsid w:val="002F3A81"/>
    <w:rsid w:val="002F3B54"/>
    <w:rsid w:val="00300340"/>
    <w:rsid w:val="00320F69"/>
    <w:rsid w:val="00326AAE"/>
    <w:rsid w:val="003441E1"/>
    <w:rsid w:val="00351D26"/>
    <w:rsid w:val="00370078"/>
    <w:rsid w:val="00371567"/>
    <w:rsid w:val="0038149F"/>
    <w:rsid w:val="003A2F00"/>
    <w:rsid w:val="003A4CDF"/>
    <w:rsid w:val="003B0698"/>
    <w:rsid w:val="003C30C0"/>
    <w:rsid w:val="003C7503"/>
    <w:rsid w:val="003C7A01"/>
    <w:rsid w:val="003D05E3"/>
    <w:rsid w:val="003D1D4D"/>
    <w:rsid w:val="003F0C94"/>
    <w:rsid w:val="003F7DDE"/>
    <w:rsid w:val="00404718"/>
    <w:rsid w:val="004065C2"/>
    <w:rsid w:val="00424365"/>
    <w:rsid w:val="00432118"/>
    <w:rsid w:val="004322AF"/>
    <w:rsid w:val="00445070"/>
    <w:rsid w:val="00451364"/>
    <w:rsid w:val="00451573"/>
    <w:rsid w:val="00452DCD"/>
    <w:rsid w:val="00457CAA"/>
    <w:rsid w:val="0046661A"/>
    <w:rsid w:val="00474D01"/>
    <w:rsid w:val="004B28F6"/>
    <w:rsid w:val="004B589C"/>
    <w:rsid w:val="004C69A0"/>
    <w:rsid w:val="004D0E7A"/>
    <w:rsid w:val="004E63AD"/>
    <w:rsid w:val="004E7B4C"/>
    <w:rsid w:val="004E7B53"/>
    <w:rsid w:val="004F38DF"/>
    <w:rsid w:val="00523694"/>
    <w:rsid w:val="00526F3E"/>
    <w:rsid w:val="0052799A"/>
    <w:rsid w:val="00535FAC"/>
    <w:rsid w:val="00540D23"/>
    <w:rsid w:val="00543604"/>
    <w:rsid w:val="0055118D"/>
    <w:rsid w:val="00553D7F"/>
    <w:rsid w:val="005667E5"/>
    <w:rsid w:val="005765A7"/>
    <w:rsid w:val="00580E83"/>
    <w:rsid w:val="00584710"/>
    <w:rsid w:val="00592A0A"/>
    <w:rsid w:val="0059339F"/>
    <w:rsid w:val="0059462A"/>
    <w:rsid w:val="005B08AD"/>
    <w:rsid w:val="005B26FF"/>
    <w:rsid w:val="005B7765"/>
    <w:rsid w:val="005C1062"/>
    <w:rsid w:val="005C4062"/>
    <w:rsid w:val="005D1BF5"/>
    <w:rsid w:val="005D60C7"/>
    <w:rsid w:val="005D65FB"/>
    <w:rsid w:val="005F5F57"/>
    <w:rsid w:val="00607401"/>
    <w:rsid w:val="00607FB2"/>
    <w:rsid w:val="00613F4E"/>
    <w:rsid w:val="00617CB9"/>
    <w:rsid w:val="0062348E"/>
    <w:rsid w:val="00632E66"/>
    <w:rsid w:val="00654429"/>
    <w:rsid w:val="00656C2D"/>
    <w:rsid w:val="0067269C"/>
    <w:rsid w:val="006758E8"/>
    <w:rsid w:val="00684863"/>
    <w:rsid w:val="006A4B34"/>
    <w:rsid w:val="006A6332"/>
    <w:rsid w:val="006A74E0"/>
    <w:rsid w:val="006D2651"/>
    <w:rsid w:val="006D7708"/>
    <w:rsid w:val="006F0CD3"/>
    <w:rsid w:val="00705040"/>
    <w:rsid w:val="00706E8F"/>
    <w:rsid w:val="00716CAE"/>
    <w:rsid w:val="00717862"/>
    <w:rsid w:val="00723EAF"/>
    <w:rsid w:val="00726D91"/>
    <w:rsid w:val="00735572"/>
    <w:rsid w:val="007373D2"/>
    <w:rsid w:val="00741F0C"/>
    <w:rsid w:val="007442FA"/>
    <w:rsid w:val="00747474"/>
    <w:rsid w:val="00747BA7"/>
    <w:rsid w:val="00757EBE"/>
    <w:rsid w:val="00770058"/>
    <w:rsid w:val="00772F0B"/>
    <w:rsid w:val="00783DCF"/>
    <w:rsid w:val="00786BDA"/>
    <w:rsid w:val="00795FFC"/>
    <w:rsid w:val="007A7353"/>
    <w:rsid w:val="007B03F7"/>
    <w:rsid w:val="007C1DC1"/>
    <w:rsid w:val="007D10E7"/>
    <w:rsid w:val="007D4507"/>
    <w:rsid w:val="007D578A"/>
    <w:rsid w:val="007E77F5"/>
    <w:rsid w:val="007F0407"/>
    <w:rsid w:val="007F7A7B"/>
    <w:rsid w:val="0082403A"/>
    <w:rsid w:val="008322C7"/>
    <w:rsid w:val="00840776"/>
    <w:rsid w:val="0084455D"/>
    <w:rsid w:val="00872BEF"/>
    <w:rsid w:val="00884AFF"/>
    <w:rsid w:val="0089343E"/>
    <w:rsid w:val="008A6F09"/>
    <w:rsid w:val="008B5EEF"/>
    <w:rsid w:val="008D4D86"/>
    <w:rsid w:val="008D51F9"/>
    <w:rsid w:val="008F3AC0"/>
    <w:rsid w:val="00903176"/>
    <w:rsid w:val="00911DF5"/>
    <w:rsid w:val="0091270F"/>
    <w:rsid w:val="00917A45"/>
    <w:rsid w:val="009270E4"/>
    <w:rsid w:val="00933BDC"/>
    <w:rsid w:val="00945EF3"/>
    <w:rsid w:val="00950DE6"/>
    <w:rsid w:val="00950EE6"/>
    <w:rsid w:val="009545C8"/>
    <w:rsid w:val="009564AF"/>
    <w:rsid w:val="00960C62"/>
    <w:rsid w:val="0097559B"/>
    <w:rsid w:val="009805CB"/>
    <w:rsid w:val="009824E5"/>
    <w:rsid w:val="00986521"/>
    <w:rsid w:val="00992EC9"/>
    <w:rsid w:val="009A67B6"/>
    <w:rsid w:val="009B0A31"/>
    <w:rsid w:val="009B1E7E"/>
    <w:rsid w:val="009F0B8D"/>
    <w:rsid w:val="009F267E"/>
    <w:rsid w:val="00A13A0A"/>
    <w:rsid w:val="00A14099"/>
    <w:rsid w:val="00A1688B"/>
    <w:rsid w:val="00A23038"/>
    <w:rsid w:val="00A43052"/>
    <w:rsid w:val="00A51CB2"/>
    <w:rsid w:val="00A6791D"/>
    <w:rsid w:val="00A7433C"/>
    <w:rsid w:val="00A923B0"/>
    <w:rsid w:val="00A929E9"/>
    <w:rsid w:val="00A97489"/>
    <w:rsid w:val="00AB0EEA"/>
    <w:rsid w:val="00AC5C65"/>
    <w:rsid w:val="00AD0A86"/>
    <w:rsid w:val="00AD5B69"/>
    <w:rsid w:val="00AD7A44"/>
    <w:rsid w:val="00AF1562"/>
    <w:rsid w:val="00B02A63"/>
    <w:rsid w:val="00B15F18"/>
    <w:rsid w:val="00B22427"/>
    <w:rsid w:val="00B22E3A"/>
    <w:rsid w:val="00B532B1"/>
    <w:rsid w:val="00B57F03"/>
    <w:rsid w:val="00B61B73"/>
    <w:rsid w:val="00B8043C"/>
    <w:rsid w:val="00B9326D"/>
    <w:rsid w:val="00BA052B"/>
    <w:rsid w:val="00BA39E5"/>
    <w:rsid w:val="00BA6D98"/>
    <w:rsid w:val="00BA7A59"/>
    <w:rsid w:val="00BB71B0"/>
    <w:rsid w:val="00BC6394"/>
    <w:rsid w:val="00BD158F"/>
    <w:rsid w:val="00BD2AB1"/>
    <w:rsid w:val="00BE0CD8"/>
    <w:rsid w:val="00BE14F7"/>
    <w:rsid w:val="00BE53F4"/>
    <w:rsid w:val="00C002B8"/>
    <w:rsid w:val="00C0692D"/>
    <w:rsid w:val="00C15B74"/>
    <w:rsid w:val="00C33504"/>
    <w:rsid w:val="00C34477"/>
    <w:rsid w:val="00C4542C"/>
    <w:rsid w:val="00C50C3D"/>
    <w:rsid w:val="00C51450"/>
    <w:rsid w:val="00C7004F"/>
    <w:rsid w:val="00C85E39"/>
    <w:rsid w:val="00CA679C"/>
    <w:rsid w:val="00CC1EDD"/>
    <w:rsid w:val="00CD0E5A"/>
    <w:rsid w:val="00CD3E47"/>
    <w:rsid w:val="00CD4DF7"/>
    <w:rsid w:val="00CD75D7"/>
    <w:rsid w:val="00CE3F4B"/>
    <w:rsid w:val="00CE4198"/>
    <w:rsid w:val="00CF409D"/>
    <w:rsid w:val="00CF4D25"/>
    <w:rsid w:val="00D00C0B"/>
    <w:rsid w:val="00D33D17"/>
    <w:rsid w:val="00D447E1"/>
    <w:rsid w:val="00D45C0E"/>
    <w:rsid w:val="00D52589"/>
    <w:rsid w:val="00D54471"/>
    <w:rsid w:val="00D54B8A"/>
    <w:rsid w:val="00D945D0"/>
    <w:rsid w:val="00D97247"/>
    <w:rsid w:val="00DA3C87"/>
    <w:rsid w:val="00DA504B"/>
    <w:rsid w:val="00DA7294"/>
    <w:rsid w:val="00DC3079"/>
    <w:rsid w:val="00DD14FA"/>
    <w:rsid w:val="00DD6E8B"/>
    <w:rsid w:val="00DF03B1"/>
    <w:rsid w:val="00DF1A37"/>
    <w:rsid w:val="00DF3CB9"/>
    <w:rsid w:val="00DF75C3"/>
    <w:rsid w:val="00E05669"/>
    <w:rsid w:val="00E1243E"/>
    <w:rsid w:val="00E17266"/>
    <w:rsid w:val="00E25529"/>
    <w:rsid w:val="00E36981"/>
    <w:rsid w:val="00E52E57"/>
    <w:rsid w:val="00E539D4"/>
    <w:rsid w:val="00E542AA"/>
    <w:rsid w:val="00E549F2"/>
    <w:rsid w:val="00E572A9"/>
    <w:rsid w:val="00E73D5E"/>
    <w:rsid w:val="00E74222"/>
    <w:rsid w:val="00E75B41"/>
    <w:rsid w:val="00E810A2"/>
    <w:rsid w:val="00EA69A9"/>
    <w:rsid w:val="00EB0F4C"/>
    <w:rsid w:val="00EB65CD"/>
    <w:rsid w:val="00EC4A13"/>
    <w:rsid w:val="00EC7FA5"/>
    <w:rsid w:val="00ED178D"/>
    <w:rsid w:val="00ED2376"/>
    <w:rsid w:val="00ED4060"/>
    <w:rsid w:val="00ED668C"/>
    <w:rsid w:val="00EE3D58"/>
    <w:rsid w:val="00EE51E2"/>
    <w:rsid w:val="00EE6DE6"/>
    <w:rsid w:val="00EE7541"/>
    <w:rsid w:val="00EE7715"/>
    <w:rsid w:val="00EE7B62"/>
    <w:rsid w:val="00EF3FD4"/>
    <w:rsid w:val="00EF7088"/>
    <w:rsid w:val="00F00787"/>
    <w:rsid w:val="00F01AF4"/>
    <w:rsid w:val="00F30618"/>
    <w:rsid w:val="00F43207"/>
    <w:rsid w:val="00F43FDA"/>
    <w:rsid w:val="00F57E1F"/>
    <w:rsid w:val="00F7345E"/>
    <w:rsid w:val="00F840C1"/>
    <w:rsid w:val="00FA0DFD"/>
    <w:rsid w:val="00FA2DC5"/>
    <w:rsid w:val="00FB3B46"/>
    <w:rsid w:val="00FD4AB3"/>
    <w:rsid w:val="00FE5C85"/>
    <w:rsid w:val="0325B85A"/>
    <w:rsid w:val="1F43E83C"/>
    <w:rsid w:val="29C31461"/>
    <w:rsid w:val="40032FA0"/>
    <w:rsid w:val="41682FD2"/>
    <w:rsid w:val="47363A09"/>
    <w:rsid w:val="4829446B"/>
    <w:rsid w:val="51B6FE54"/>
    <w:rsid w:val="6115D217"/>
    <w:rsid w:val="75B5B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CB4AE"/>
  <w15:chartTrackingRefBased/>
  <w15:docId w15:val="{04135CFE-44B5-4FAD-B44A-041B6C40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B34"/>
    <w:pPr>
      <w:keepNext/>
      <w:keepLines/>
      <w:spacing w:after="120" w:line="240" w:lineRule="auto"/>
      <w:outlineLvl w:val="0"/>
    </w:pPr>
    <w:rPr>
      <w:rFonts w:ascii="Arial" w:eastAsia="Times New Roman" w:hAnsi="Arial" w:cs="Times New Roman"/>
      <w:b/>
      <w:bCs/>
      <w:color w:val="005B38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8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F57E1F"/>
    <w:pPr>
      <w:spacing w:after="0" w:line="240" w:lineRule="auto"/>
    </w:pPr>
    <w:rPr>
      <w:rFonts w:ascii="Arial" w:eastAsia="Calibri" w:hAnsi="Arial" w:cs="Times New Roman"/>
      <w:b/>
      <w:color w:val="005B38"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CD0E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4B34"/>
    <w:rPr>
      <w:rFonts w:ascii="Arial" w:eastAsia="Times New Roman" w:hAnsi="Arial" w:cs="Times New Roman"/>
      <w:b/>
      <w:bCs/>
      <w:color w:val="005B38"/>
      <w:sz w:val="30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6A4B34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4B34"/>
    <w:rPr>
      <w:rFonts w:ascii="Arial" w:eastAsia="Calibri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848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uiPriority w:val="99"/>
    <w:unhideWhenUsed/>
    <w:rsid w:val="00684863"/>
    <w:rPr>
      <w:rFonts w:ascii="Arial" w:hAnsi="Arial"/>
      <w:color w:val="004B8D"/>
      <w:sz w:val="24"/>
      <w:u w:val="single"/>
    </w:rPr>
  </w:style>
  <w:style w:type="table" w:styleId="TableGrid">
    <w:name w:val="Table Grid"/>
    <w:basedOn w:val="TableNormal"/>
    <w:rsid w:val="0068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8486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84863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84863"/>
    <w:pPr>
      <w:spacing w:after="200" w:line="240" w:lineRule="auto"/>
    </w:pPr>
    <w:rPr>
      <w:rFonts w:ascii="Arial" w:eastAsia="Calibri" w:hAnsi="Arial" w:cs="Times New Roman"/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rsid w:val="00684863"/>
  </w:style>
  <w:style w:type="character" w:styleId="UnresolvedMention">
    <w:name w:val="Unresolved Mention"/>
    <w:basedOn w:val="DefaultParagraphFont"/>
    <w:uiPriority w:val="99"/>
    <w:semiHidden/>
    <w:unhideWhenUsed/>
    <w:rsid w:val="00613F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5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E0"/>
  </w:style>
  <w:style w:type="paragraph" w:styleId="Footer">
    <w:name w:val="footer"/>
    <w:basedOn w:val="Normal"/>
    <w:link w:val="FooterChar"/>
    <w:uiPriority w:val="99"/>
    <w:unhideWhenUsed/>
    <w:rsid w:val="006A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E0"/>
  </w:style>
  <w:style w:type="paragraph" w:styleId="CommentText">
    <w:name w:val="annotation text"/>
    <w:basedOn w:val="Normal"/>
    <w:link w:val="CommentTextChar"/>
    <w:uiPriority w:val="99"/>
    <w:unhideWhenUsed/>
    <w:rsid w:val="00E75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B41"/>
    <w:rPr>
      <w:rFonts w:ascii="Arial" w:eastAsia="Arial" w:hAnsi="Arial" w:cs="Arial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4D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D86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D86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2.health.wa.gov.au/~/media/Files/Corporate/Policy-Frameworks/Clinical-Governance-Safety-and-Quality/Policy/Recognising-and-Responding-to-Acute-Deterioration/Supporting/Suggested-Roles-and-Responsibilities-for-a-Rapid-Response-Team.pdf" TargetMode="External"/><Relationship Id="rId18" Type="http://schemas.openxmlformats.org/officeDocument/2006/relationships/hyperlink" Target="https://cahs-healthpoint.hdwa.health.wa.gov.au/directory/safetyandquality/nationalstandardsaccreditation/standard8/Pages/default.aspx" TargetMode="External"/><Relationship Id="rId26" Type="http://schemas.openxmlformats.org/officeDocument/2006/relationships/hyperlink" Target="https://healthpoint.hdwa.health.wa.gov.au/policies/Policies/NMAHS/SCGH/SCGH.HP.Recognising_and_Responding_to_Acute_Deterioration.pdf" TargetMode="External"/><Relationship Id="rId39" Type="http://schemas.openxmlformats.org/officeDocument/2006/relationships/hyperlink" Target="http://wachs.hdwa.health.wa.gov.au/index.php?id=17235" TargetMode="External"/><Relationship Id="rId21" Type="http://schemas.openxmlformats.org/officeDocument/2006/relationships/hyperlink" Target="https://healthpoint.hdwa.health.wa.gov.au/policies/Policies/CAHS/CACH.MW.DeteriorationInHealthStatus-UnexpectedAcute.pdf" TargetMode="External"/><Relationship Id="rId34" Type="http://schemas.openxmlformats.org/officeDocument/2006/relationships/hyperlink" Target="https://healthpoint.hdwa.health.wa.gov.au/policies/Policies/SMAHS/SMHS/GP.Recognition%20Clin%20Deterioration.pdf" TargetMode="External"/><Relationship Id="rId42" Type="http://schemas.openxmlformats.org/officeDocument/2006/relationships/hyperlink" Target="file:///C://Users/he52941/Downloads/eDoc%20-%20CO%20-%20Agenda%20and%20combined%20papers%20-%20RRAD%20Committee%20Meeting%2017%20February%202021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9" Type="http://schemas.openxmlformats.org/officeDocument/2006/relationships/hyperlink" Target="https://wnhs-healthpoint.hdwa.health.wa.gov.au/directory/CES/SQP/SQP_Accreditation/Pages/ACUTE-DETERIORATION-(Edition-2)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2.health.wa.gov.au/~/media/Files/Corporate/general%20documents/patient%20safety/PDF/Responding-and-Recognising-Acute-Deterioration-Guidelines.pdf" TargetMode="External"/><Relationship Id="rId24" Type="http://schemas.openxmlformats.org/officeDocument/2006/relationships/hyperlink" Target="https://healthpoint.hdwa.health.wa.gov.au/policies/Policies/NMAHS/Corporate/NMHS.AW.RecognisingAcuteClinicalDeterioration.pdf" TargetMode="External"/><Relationship Id="rId32" Type="http://schemas.openxmlformats.org/officeDocument/2006/relationships/hyperlink" Target="https://mhphds-healthpoint.hdwa.health.wa.gov.au/directory/Corporate/SQP/Pages/Standard-8.aspx" TargetMode="External"/><Relationship Id="rId37" Type="http://schemas.openxmlformats.org/officeDocument/2006/relationships/hyperlink" Target="https://fsh-healthpoint.hdwa.health.wa.gov.au/workingatfsh/aboutfsh/accreditation/Documents/FSFHG%20RRAD%20Committee%20Membership.pdf" TargetMode="External"/><Relationship Id="rId40" Type="http://schemas.openxmlformats.org/officeDocument/2006/relationships/hyperlink" Target="http://wachs.hdwa.health.wa.gov.au/index.php?id=5000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4/relationships/chartEx" Target="charts/chartEx1.xml"/><Relationship Id="rId23" Type="http://schemas.openxmlformats.org/officeDocument/2006/relationships/hyperlink" Target="https://healthpoint.hdwa.health.wa.gov.au/policies/Policies/EMHS/RPH/Recognising%20and%20Responding%20to%20Acute%20Deterioration%20Policy.pdf" TargetMode="External"/><Relationship Id="rId28" Type="http://schemas.openxmlformats.org/officeDocument/2006/relationships/hyperlink" Target="https://healthpoint.hdwa.health.wa.gov.au/policies/Policies/NMAHS/OPH/OPH.HP.ClinicalDeterioration.pdf" TargetMode="External"/><Relationship Id="rId36" Type="http://schemas.openxmlformats.org/officeDocument/2006/relationships/hyperlink" Target="https://healthpoint.hdwa.health.wa.gov.au/policies/FSH%20Policies/Recognising%20and%20responding%20to%20acute%20deterioration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ealthpoint.hdwa.health.wa.gov.au/policies/Policies/CAHS/CAHS.PM.RecognisingAndRespondingToAcuteDeterioration.pdf" TargetMode="External"/><Relationship Id="rId31" Type="http://schemas.openxmlformats.org/officeDocument/2006/relationships/hyperlink" Target="https://wnhs-healthpoint.hdwa.health.wa.gov.au/directory/CES/SQP/SQP_Accreditation/Pages/ACUTE-DETERIORATION-(Edition-2).aspx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healthpoint.hdwa.health.wa.gov.au/policies/Policies/EMHS/AHS/GP.RRCD%202017.pdf" TargetMode="External"/><Relationship Id="rId27" Type="http://schemas.openxmlformats.org/officeDocument/2006/relationships/hyperlink" Target="https://scgophcg-healthpoint.hdwa.health.wa.gov.au/directory/Corporate/SQP/NationalStandards/Documents/9.%20Recognising%20and%20Responding%20to%20Acute%20Deterioration%202018.pdf" TargetMode="External"/><Relationship Id="rId30" Type="http://schemas.openxmlformats.org/officeDocument/2006/relationships/hyperlink" Target="https://healthpoint.hdwa.health.wa.gov.au/policies/Policies/NMAHS/WNHS/WNHS.PM.RecognisingAndRespondingToAcutePhysiological(Clinical)Deterioration.pdf" TargetMode="External"/><Relationship Id="rId35" Type="http://schemas.openxmlformats.org/officeDocument/2006/relationships/hyperlink" Target="https://fsh-healthpoint.hdwa.health.wa.gov.au/workingatfsh/aboutfsh/accreditation/Pages/Recognising-and-Responding-to-Clinical-Deterioration-in-Acute-Health-Care.aspx" TargetMode="External"/><Relationship Id="rId43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2.health.wa.gov.au/~/media/Files/Corporate/Policy-Frameworks/Clinical-Governance-Safety-and-Quality/Policy/Recognising-and-Responding-to-Acute-Deterioration/Supporting/A-Model-of-an-Acute-Deterioration-Policy-Compliance-Form.docx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scgophcg-healthpoint.hdwa.health.wa.gov.au/directory/Corporate/SQP/NationalStandards/Pages/Standard-8.aspx" TargetMode="External"/><Relationship Id="rId33" Type="http://schemas.openxmlformats.org/officeDocument/2006/relationships/hyperlink" Target="https://healthpoint.hdwa.health.wa.gov.au/policies/Policies/NMAHS/Public%20Health/PHAC%20Recognising%20and%20managing%20acute%20mental%20state%20deterioration.pdf" TargetMode="External"/><Relationship Id="rId38" Type="http://schemas.openxmlformats.org/officeDocument/2006/relationships/hyperlink" Target="https://rkpg-healthpoint.hdwa.health.wa.gov.au/directory/SafetyQualityRisk/NationalStandards/Pages/RRAD.aspx" TargetMode="External"/><Relationship Id="rId20" Type="http://schemas.openxmlformats.org/officeDocument/2006/relationships/hyperlink" Target="https://cahs-healthpoint.hdwa.health.wa.gov.au/directory/officeofthechiefexecutive/committees/Other%20CAHS%20Committees%20Documents/CAHS%20Clinical%20Deterioration%20Committee.pdf" TargetMode="External"/><Relationship Id="rId41" Type="http://schemas.openxmlformats.org/officeDocument/2006/relationships/hyperlink" Target="https://healthpoint.hdwa.health.wa.gov.au/policies/Policies/WACHS/Clinical%20Escalation%20of%20Acute%20Physiological%20Deterioration%20including%20Medical%20Emergency%20Response%20Policy.pdf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2.health.wa.gov.au/-/media/Corp/Documents/Reports-and-publications/Your-safety-in-our-hands/Your-safety-in-our-hands-report-2020.pdf" TargetMode="External"/><Relationship Id="rId3" Type="http://schemas.openxmlformats.org/officeDocument/2006/relationships/hyperlink" Target="https://www.safetyandquality.gov.au/sites/default/files/2019-11/recognising_signs_of_deterioration_in_a_persons_mental_state_an_updated_literature_review_0.pdf" TargetMode="External"/><Relationship Id="rId7" Type="http://schemas.openxmlformats.org/officeDocument/2006/relationships/hyperlink" Target="https://wahealthdept.sharepoint.com/sites/hss-customer-ict-hosp-admin/CIMS/CCS2%20tagging%20for%20the%20second%20edition%20of%20the%20NSQHS%20Standards.xlsx" TargetMode="External"/><Relationship Id="rId2" Type="http://schemas.openxmlformats.org/officeDocument/2006/relationships/hyperlink" Target="https://www.safetyandquality.gov.au/sites/default/files/2019-06/national-consensus-statement-essential-elements-for-recognising-and-responding-to-deterioration-in-a-persons-mental-state-july-2017.pdf" TargetMode="External"/><Relationship Id="rId1" Type="http://schemas.openxmlformats.org/officeDocument/2006/relationships/hyperlink" Target="https://ww2.health.wa.gov.au/-/media/Corp/Documents/Reports-and-publications/Your-safety-in-our-hands/Your-safety-in-our-hands-report-2020.pdf" TargetMode="External"/><Relationship Id="rId6" Type="http://schemas.openxmlformats.org/officeDocument/2006/relationships/hyperlink" Target="https://ww2.health.wa.gov.au/About-us/Policy-frameworks/Clinical-Governance-Safety-and-Quality/Mandatory-requirements/Clinical-Incident-Management-Policy" TargetMode="External"/><Relationship Id="rId5" Type="http://schemas.openxmlformats.org/officeDocument/2006/relationships/hyperlink" Target="https://www.safetyandquality.gov.au/sites/default/files/2019-11/recognising_signs_of_deterioration_in_a_persons_mental_state_an_updated_literature_review_0.pdf" TargetMode="External"/><Relationship Id="rId4" Type="http://schemas.openxmlformats.org/officeDocument/2006/relationships/hyperlink" Target="https://www.safetyandquality.gov.au/sites/default/files/2019-05/nsqhs-standards-user-guide-for-health-services-providing-care-for-people-with-mental-health-issues_0.pdf" TargetMode="External"/><Relationship Id="rId9" Type="http://schemas.openxmlformats.org/officeDocument/2006/relationships/hyperlink" Target="https://ww2.health.wa.gov.au/-/media/Corp/Documents/Reports-and-publications/Your-safety-in-our-hands/Your-safety-in-our-hands-report-2020.pdf" TargetMode="Externa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https://wahealthdept.sharepoint.com/sites/ExecutiveOfficePoliciesProjects/Shared%20Documents/Acute%20Deterioration/CIMS%20data%20spreadsheets%20RRAD.xlsx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'[CIMS data spreadsheets RRAD.xlsx]2019-2020'!$B$4:$B$13</cx:f>
        <cx:lvl ptCount="10">
          <cx:pt idx="0">Communication:Between Staff</cx:pt>
          <cx:pt idx="1">Patient factors:Patient's condition</cx:pt>
          <cx:pt idx="2">Communication:Documentation</cx:pt>
          <cx:pt idx="3">Knowledge, skills, competence:Staff training/skills</cx:pt>
          <cx:pt idx="4">Issues in applying policies/procedures/guidelines</cx:pt>
          <cx:pt idx="5">Patient factors:Medical History/known risks</cx:pt>
          <cx:pt idx="6">Knowledge, skills, competence:Staff competency</cx:pt>
          <cx:pt idx="7">Policy, procedure, guidelines: Implementation issues</cx:pt>
          <cx:pt idx="8">Environment:Environmental stressors</cx:pt>
          <cx:pt idx="9">Communication:Between Staff and Patient/family/carers</cx:pt>
        </cx:lvl>
      </cx:strDim>
      <cx:numDim type="val">
        <cx:f>'[CIMS data spreadsheets RRAD.xlsx]2019-2020'!$C$4:$C$13</cx:f>
        <cx:lvl ptCount="10" formatCode="General">
          <cx:pt idx="0">364</cx:pt>
          <cx:pt idx="1">271</cx:pt>
          <cx:pt idx="2">246</cx:pt>
          <cx:pt idx="3">209</cx:pt>
          <cx:pt idx="4">199</cx:pt>
          <cx:pt idx="5">184</cx:pt>
          <cx:pt idx="6">124</cx:pt>
          <cx:pt idx="7">121</cx:pt>
          <cx:pt idx="8">85</cx:pt>
          <cx:pt idx="9">82</cx:pt>
        </cx:lvl>
      </cx:numDim>
    </cx:data>
  </cx:chartData>
  <cx:chart>
    <cx:title pos="t" align="ctr" overlay="0">
      <cx:tx>
        <cx:txData>
          <cx:v/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endParaRPr lang="en-US" sz="1100" b="0" i="0" u="none" strike="noStrike" baseline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x:txPr>
    </cx:title>
    <cx:plotArea>
      <cx:plotAreaRegion>
        <cx:series layoutId="funnel" uniqueId="{A25AE7F7-9D3D-4BE8-8A0B-C21B06BB8CB0}">
          <cx:spPr>
            <a:solidFill>
              <a:srgbClr val="005B38"/>
            </a:solidFill>
          </cx:spPr>
          <cx:dataLabels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>
                    <a:solidFill>
                      <a:schemeClr val="bg1"/>
                    </a:solidFill>
                  </a:defRPr>
                </a:pPr>
                <a:endParaRPr lang="en-US" sz="900" b="0" i="0" u="none" strike="noStrike" baseline="0">
                  <a:solidFill>
                    <a:schemeClr val="bg1"/>
                  </a:solidFill>
                  <a:latin typeface="Calibri" panose="020F0502020204030204"/>
                </a:endParaRPr>
              </a:p>
            </cx:txPr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a09a03-163d-417c-9f81-48e2b3dacbf4">
      <UserInfo>
        <DisplayName>Cronin, Joanne</DisplayName>
        <AccountId>242</AccountId>
        <AccountType/>
      </UserInfo>
      <UserInfo>
        <DisplayName>Mason, Louise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17A855585F94CA6591C1E53BCA539" ma:contentTypeVersion="13" ma:contentTypeDescription="Create a new document." ma:contentTypeScope="" ma:versionID="08864c17d1aa56210579bcbefa78b1dc">
  <xsd:schema xmlns:xsd="http://www.w3.org/2001/XMLSchema" xmlns:xs="http://www.w3.org/2001/XMLSchema" xmlns:p="http://schemas.microsoft.com/office/2006/metadata/properties" xmlns:ns2="36eb455a-2925-40ee-853f-3836eac53416" xmlns:ns3="daa09a03-163d-417c-9f81-48e2b3dacbf4" targetNamespace="http://schemas.microsoft.com/office/2006/metadata/properties" ma:root="true" ma:fieldsID="a4e175273b610ede1c514262cffc425c" ns2:_="" ns3:_="">
    <xsd:import namespace="36eb455a-2925-40ee-853f-3836eac53416"/>
    <xsd:import namespace="daa09a03-163d-417c-9f81-48e2b3dac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455a-2925-40ee-853f-3836eac53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09a03-163d-417c-9f81-48e2b3dac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4DEB-1FCD-4A09-9688-8DFF5DC62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A8782-1355-4E4F-BAEC-06FCEF888933}">
  <ds:schemaRefs>
    <ds:schemaRef ds:uri="http://schemas.microsoft.com/office/2006/metadata/properties"/>
    <ds:schemaRef ds:uri="http://schemas.microsoft.com/office/infopath/2007/PartnerControls"/>
    <ds:schemaRef ds:uri="daa09a03-163d-417c-9f81-48e2b3dacbf4"/>
  </ds:schemaRefs>
</ds:datastoreItem>
</file>

<file path=customXml/itemProps3.xml><?xml version="1.0" encoding="utf-8"?>
<ds:datastoreItem xmlns:ds="http://schemas.openxmlformats.org/officeDocument/2006/customXml" ds:itemID="{35B5796E-F311-44A0-B8C3-5F3EE44A2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455a-2925-40ee-853f-3836eac53416"/>
    <ds:schemaRef ds:uri="daa09a03-163d-417c-9f81-48e2b3dac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421C8-4E5F-4740-894F-CE22B91D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Nancarrow, Jane-Heloise</dc:creator>
  <cp:keywords/>
  <dc:description/>
  <cp:lastModifiedBy>Nancarrow, Jane-Heloise</cp:lastModifiedBy>
  <cp:revision>16</cp:revision>
  <cp:lastPrinted>2021-11-11T08:22:00Z</cp:lastPrinted>
  <dcterms:created xsi:type="dcterms:W3CDTF">2021-11-15T06:00:00Z</dcterms:created>
  <dcterms:modified xsi:type="dcterms:W3CDTF">2021-11-15T08:55:00Z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0x010100A3317A855585F94CA6591C1E53BCA539</vt:lpwstr>
  </property>
</Properties>
</file>