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B87BA" w14:textId="77777777" w:rsidR="002B4A88" w:rsidRDefault="002B4A88" w:rsidP="007644DA">
      <w:pPr>
        <w:pStyle w:val="Headlines"/>
        <w:ind w:left="0"/>
        <w:jc w:val="center"/>
        <w:rPr>
          <w:noProof/>
          <w:szCs w:val="72"/>
          <w:lang w:eastAsia="en-AU"/>
        </w:rPr>
      </w:pPr>
    </w:p>
    <w:p w14:paraId="4122C7A2" w14:textId="77777777" w:rsidR="0049001C" w:rsidRDefault="0059638A" w:rsidP="007644DA">
      <w:pPr>
        <w:pStyle w:val="Headlines"/>
        <w:ind w:left="0"/>
        <w:jc w:val="center"/>
        <w:rPr>
          <w:szCs w:val="72"/>
        </w:rPr>
      </w:pPr>
      <w:r w:rsidRPr="007644DA">
        <w:rPr>
          <w:noProof/>
          <w:szCs w:val="72"/>
          <w:lang w:eastAsia="en-AU"/>
        </w:rPr>
        <mc:AlternateContent>
          <mc:Choice Requires="wps">
            <w:drawing>
              <wp:anchor distT="0" distB="0" distL="114300" distR="114300" simplePos="0" relativeHeight="251659264" behindDoc="0" locked="0" layoutInCell="1" allowOverlap="1" wp14:anchorId="754EC0EF" wp14:editId="694C85A3">
                <wp:simplePos x="0" y="0"/>
                <wp:positionH relativeFrom="page">
                  <wp:posOffset>450215</wp:posOffset>
                </wp:positionH>
                <wp:positionV relativeFrom="page">
                  <wp:posOffset>504190</wp:posOffset>
                </wp:positionV>
                <wp:extent cx="3060000" cy="720000"/>
                <wp:effectExtent l="0" t="0" r="762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720000"/>
                        </a:xfrm>
                        <a:prstGeom prst="rect">
                          <a:avLst/>
                        </a:prstGeom>
                        <a:solidFill>
                          <a:srgbClr val="FFFFFF"/>
                        </a:solidFill>
                        <a:ln w="9525">
                          <a:noFill/>
                          <a:miter lim="800000"/>
                          <a:headEnd/>
                          <a:tailEnd/>
                        </a:ln>
                      </wps:spPr>
                      <wps:txbx>
                        <w:txbxContent>
                          <w:p w14:paraId="1D2C705C" w14:textId="77777777" w:rsidR="00576A83" w:rsidRDefault="00576A83">
                            <w:r>
                              <w:rPr>
                                <w:noProof/>
                                <w:lang w:eastAsia="en-AU"/>
                              </w:rPr>
                              <w:drawing>
                                <wp:inline distT="0" distB="0" distL="0" distR="0" wp14:anchorId="0C42DEEF" wp14:editId="7C6F3BE8">
                                  <wp:extent cx="2854800" cy="525600"/>
                                  <wp:effectExtent l="0" t="0" r="3175" b="8255"/>
                                  <wp:docPr id="2" name="Picture 2"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4800" cy="52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CEF72" id="_x0000_t202" coordsize="21600,21600" o:spt="202" path="m,l,21600r21600,l21600,xe">
                <v:stroke joinstyle="miter"/>
                <v:path gradientshapeok="t" o:connecttype="rect"/>
              </v:shapetype>
              <v:shape id="Text Box 2" o:spid="_x0000_s1026" type="#_x0000_t202" style="position:absolute;left:0;text-align:left;margin-left:35.45pt;margin-top:39.7pt;width:240.95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" stroked="f">
                <v:textbox>
                  <w:txbxContent>
                    <w:p w:rsidR="00576A83" w:rsidRDefault="00576A83">
                      <w:r>
                        <w:rPr>
                          <w:noProof/>
                          <w:lang w:eastAsia="en-AU"/>
                        </w:rPr>
                        <w:drawing>
                          <wp:inline distT="0" distB="0" distL="0" distR="0" wp14:anchorId="67085A9A" wp14:editId="4688BC7B">
                            <wp:extent cx="2854800" cy="525600"/>
                            <wp:effectExtent l="0" t="0" r="3175" b="8255"/>
                            <wp:docPr id="2" name="Picture 2"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4800" cy="525600"/>
                                    </a:xfrm>
                                    <a:prstGeom prst="rect">
                                      <a:avLst/>
                                    </a:prstGeom>
                                  </pic:spPr>
                                </pic:pic>
                              </a:graphicData>
                            </a:graphic>
                          </wp:inline>
                        </w:drawing>
                      </w:r>
                    </w:p>
                  </w:txbxContent>
                </v:textbox>
                <w10:wrap anchorx="page" anchory="page"/>
              </v:shape>
            </w:pict>
          </mc:Fallback>
        </mc:AlternateContent>
      </w:r>
      <w:r w:rsidR="00B41D02" w:rsidRPr="007644DA">
        <w:rPr>
          <w:szCs w:val="72"/>
        </w:rPr>
        <w:t xml:space="preserve">Statutory </w:t>
      </w:r>
      <w:r w:rsidR="00E5742D" w:rsidRPr="007644DA">
        <w:rPr>
          <w:szCs w:val="72"/>
        </w:rPr>
        <w:t>Re</w:t>
      </w:r>
      <w:r w:rsidR="007B0A81" w:rsidRPr="007644DA">
        <w:rPr>
          <w:szCs w:val="72"/>
        </w:rPr>
        <w:t xml:space="preserve">view </w:t>
      </w:r>
    </w:p>
    <w:p w14:paraId="6E515C41" w14:textId="77777777" w:rsidR="0049001C" w:rsidRDefault="007B0A81" w:rsidP="007644DA">
      <w:pPr>
        <w:pStyle w:val="Headlines"/>
        <w:ind w:left="0"/>
        <w:jc w:val="center"/>
        <w:rPr>
          <w:szCs w:val="72"/>
        </w:rPr>
      </w:pPr>
      <w:r w:rsidRPr="007644DA">
        <w:rPr>
          <w:szCs w:val="72"/>
        </w:rPr>
        <w:t>of the</w:t>
      </w:r>
      <w:r w:rsidR="00FD58D1" w:rsidRPr="007644DA">
        <w:rPr>
          <w:szCs w:val="72"/>
        </w:rPr>
        <w:t xml:space="preserve"> </w:t>
      </w:r>
    </w:p>
    <w:p w14:paraId="424D119D" w14:textId="77777777" w:rsidR="001861A0" w:rsidRDefault="00B41D02" w:rsidP="007644DA">
      <w:pPr>
        <w:pStyle w:val="Headlines"/>
        <w:ind w:left="0"/>
        <w:jc w:val="center"/>
        <w:rPr>
          <w:szCs w:val="72"/>
        </w:rPr>
      </w:pPr>
      <w:r w:rsidRPr="007644DA">
        <w:rPr>
          <w:szCs w:val="72"/>
        </w:rPr>
        <w:t xml:space="preserve">Western Australian </w:t>
      </w:r>
    </w:p>
    <w:p w14:paraId="21A9925F" w14:textId="77777777" w:rsidR="00B3718F" w:rsidRPr="007644DA" w:rsidRDefault="007B0A81" w:rsidP="007644DA">
      <w:pPr>
        <w:pStyle w:val="Headlines"/>
        <w:ind w:left="0"/>
        <w:jc w:val="center"/>
        <w:rPr>
          <w:szCs w:val="72"/>
        </w:rPr>
      </w:pPr>
      <w:r w:rsidRPr="007644DA">
        <w:rPr>
          <w:i/>
          <w:szCs w:val="72"/>
        </w:rPr>
        <w:t>Food Act 2008</w:t>
      </w:r>
    </w:p>
    <w:p w14:paraId="0161144B" w14:textId="77777777" w:rsidR="008506D8" w:rsidRDefault="008506D8" w:rsidP="00071714">
      <w:pPr>
        <w:jc w:val="both"/>
      </w:pPr>
    </w:p>
    <w:p w14:paraId="04542331" w14:textId="77777777" w:rsidR="00071714" w:rsidRDefault="00071714" w:rsidP="00071714">
      <w:pPr>
        <w:jc w:val="both"/>
      </w:pPr>
    </w:p>
    <w:p w14:paraId="2AD6CD25" w14:textId="77777777" w:rsidR="00C21DFA" w:rsidRDefault="00C21DFA" w:rsidP="00071714">
      <w:pPr>
        <w:jc w:val="both"/>
      </w:pPr>
    </w:p>
    <w:p w14:paraId="0D88C836" w14:textId="77777777" w:rsidR="00C21DFA" w:rsidRDefault="00C21DFA" w:rsidP="00071714">
      <w:pPr>
        <w:jc w:val="both"/>
      </w:pPr>
    </w:p>
    <w:p w14:paraId="537589E8" w14:textId="77777777" w:rsidR="00071714" w:rsidRDefault="00071714" w:rsidP="00071714">
      <w:pPr>
        <w:jc w:val="both"/>
      </w:pPr>
    </w:p>
    <w:p w14:paraId="5F387A02" w14:textId="77777777" w:rsidR="006031AC" w:rsidRPr="002B4A88" w:rsidRDefault="006F25D0" w:rsidP="00071714">
      <w:pPr>
        <w:pStyle w:val="Headlines"/>
        <w:ind w:left="0"/>
        <w:jc w:val="right"/>
        <w:rPr>
          <w:sz w:val="60"/>
          <w:szCs w:val="60"/>
        </w:rPr>
      </w:pPr>
      <w:r w:rsidRPr="002B4A88">
        <w:rPr>
          <w:sz w:val="60"/>
          <w:szCs w:val="60"/>
        </w:rPr>
        <w:t>Consultation</w:t>
      </w:r>
      <w:r w:rsidR="00071714" w:rsidRPr="002B4A88">
        <w:rPr>
          <w:sz w:val="60"/>
          <w:szCs w:val="60"/>
        </w:rPr>
        <w:t xml:space="preserve"> </w:t>
      </w:r>
      <w:r w:rsidR="008506D8" w:rsidRPr="002B4A88">
        <w:rPr>
          <w:sz w:val="60"/>
          <w:szCs w:val="60"/>
        </w:rPr>
        <w:t>Paper</w:t>
      </w:r>
    </w:p>
    <w:p w14:paraId="14AD9677" w14:textId="77777777" w:rsidR="006031AC" w:rsidRDefault="006031AC" w:rsidP="00071714">
      <w:pPr>
        <w:pStyle w:val="Headlines"/>
        <w:jc w:val="right"/>
        <w:rPr>
          <w:sz w:val="56"/>
          <w:szCs w:val="56"/>
        </w:rPr>
      </w:pPr>
      <w:r w:rsidRPr="007644DA">
        <w:rPr>
          <w:sz w:val="56"/>
          <w:szCs w:val="56"/>
        </w:rPr>
        <w:t>20</w:t>
      </w:r>
      <w:r w:rsidR="00C21DFA">
        <w:rPr>
          <w:sz w:val="56"/>
          <w:szCs w:val="56"/>
        </w:rPr>
        <w:t>21</w:t>
      </w:r>
    </w:p>
    <w:p w14:paraId="627210BF" w14:textId="77777777" w:rsidR="00631419" w:rsidRDefault="00631419" w:rsidP="00631419">
      <w:pPr>
        <w:pStyle w:val="NoSpacing"/>
      </w:pPr>
    </w:p>
    <w:p w14:paraId="4CF94E18" w14:textId="77777777" w:rsidR="00631419" w:rsidRPr="00631419" w:rsidRDefault="00631419" w:rsidP="00631419">
      <w:pPr>
        <w:pStyle w:val="NoSpacing"/>
        <w:sectPr w:rsidR="00631419" w:rsidRPr="00631419" w:rsidSect="002B4A88">
          <w:headerReference w:type="default" r:id="rId14"/>
          <w:footerReference w:type="default" r:id="rId15"/>
          <w:pgSz w:w="11906" w:h="16838"/>
          <w:pgMar w:top="2977" w:right="688" w:bottom="851" w:left="851" w:header="709" w:footer="441" w:gutter="0"/>
          <w:cols w:space="708"/>
          <w:docGrid w:linePitch="360"/>
        </w:sectPr>
      </w:pPr>
    </w:p>
    <w:bookmarkStart w:id="0" w:name="_Toc84422017" w:displacedByCustomXml="next"/>
    <w:bookmarkStart w:id="1" w:name="_Toc84422168" w:displacedByCustomXml="next"/>
    <w:sdt>
      <w:sdtPr>
        <w:rPr>
          <w:rFonts w:eastAsia="Calibri" w:cs="Times New Roman"/>
          <w:b w:val="0"/>
          <w:bCs w:val="0"/>
          <w:color w:val="auto"/>
          <w:sz w:val="24"/>
          <w:szCs w:val="22"/>
          <w:lang w:eastAsia="en-US"/>
        </w:rPr>
        <w:id w:val="-1899892210"/>
        <w:docPartObj>
          <w:docPartGallery w:val="Table of Contents"/>
          <w:docPartUnique/>
        </w:docPartObj>
      </w:sdtPr>
      <w:sdtEndPr>
        <w:rPr>
          <w:noProof/>
        </w:rPr>
      </w:sdtEndPr>
      <w:sdtContent>
        <w:p w14:paraId="1335DF57" w14:textId="77777777" w:rsidR="00631419" w:rsidRDefault="00631419" w:rsidP="00631419">
          <w:pPr>
            <w:pStyle w:val="TOCHeading"/>
            <w:numPr>
              <w:ilvl w:val="0"/>
              <w:numId w:val="0"/>
            </w:numPr>
            <w:ind w:left="851" w:hanging="851"/>
          </w:pPr>
          <w:r>
            <w:t>Contents</w:t>
          </w:r>
        </w:p>
        <w:p w14:paraId="14C5C04F" w14:textId="77777777" w:rsidR="00150FEC" w:rsidRDefault="00631419">
          <w:pPr>
            <w:pStyle w:val="TOC1"/>
            <w:tabs>
              <w:tab w:val="left" w:pos="660"/>
            </w:tabs>
            <w:rPr>
              <w:rFonts w:asciiTheme="minorHAnsi" w:eastAsiaTheme="minorEastAsia" w:hAnsiTheme="minorHAnsi" w:cstheme="minorBidi"/>
              <w:sz w:val="22"/>
              <w:lang w:eastAsia="en-AU"/>
            </w:rPr>
          </w:pPr>
          <w:r>
            <w:fldChar w:fldCharType="begin"/>
          </w:r>
          <w:r>
            <w:instrText xml:space="preserve"> TOC \o "1-3" \h \z \u </w:instrText>
          </w:r>
          <w:r>
            <w:fldChar w:fldCharType="separate"/>
          </w:r>
          <w:hyperlink w:anchor="_Toc88124673" w:history="1">
            <w:r w:rsidR="00150FEC" w:rsidRPr="0000454D">
              <w:rPr>
                <w:rStyle w:val="Hyperlink"/>
              </w:rPr>
              <w:t>1.0</w:t>
            </w:r>
            <w:r w:rsidR="00150FEC">
              <w:rPr>
                <w:rFonts w:asciiTheme="minorHAnsi" w:eastAsiaTheme="minorEastAsia" w:hAnsiTheme="minorHAnsi" w:cstheme="minorBidi"/>
                <w:sz w:val="22"/>
                <w:lang w:eastAsia="en-AU"/>
              </w:rPr>
              <w:tab/>
            </w:r>
            <w:r w:rsidR="00150FEC" w:rsidRPr="0000454D">
              <w:rPr>
                <w:rStyle w:val="Hyperlink"/>
              </w:rPr>
              <w:t>Introduction</w:t>
            </w:r>
            <w:r w:rsidR="00150FEC">
              <w:rPr>
                <w:webHidden/>
              </w:rPr>
              <w:tab/>
            </w:r>
            <w:r w:rsidR="00150FEC">
              <w:rPr>
                <w:webHidden/>
              </w:rPr>
              <w:fldChar w:fldCharType="begin"/>
            </w:r>
            <w:r w:rsidR="00150FEC">
              <w:rPr>
                <w:webHidden/>
              </w:rPr>
              <w:instrText xml:space="preserve"> PAGEREF _Toc88124673 \h </w:instrText>
            </w:r>
            <w:r w:rsidR="00150FEC">
              <w:rPr>
                <w:webHidden/>
              </w:rPr>
            </w:r>
            <w:r w:rsidR="00150FEC">
              <w:rPr>
                <w:webHidden/>
              </w:rPr>
              <w:fldChar w:fldCharType="separate"/>
            </w:r>
            <w:r w:rsidR="00150FEC">
              <w:rPr>
                <w:webHidden/>
              </w:rPr>
              <w:t>4</w:t>
            </w:r>
            <w:r w:rsidR="00150FEC">
              <w:rPr>
                <w:webHidden/>
              </w:rPr>
              <w:fldChar w:fldCharType="end"/>
            </w:r>
          </w:hyperlink>
        </w:p>
        <w:p w14:paraId="016F56EB" w14:textId="77777777" w:rsidR="00150FEC" w:rsidRDefault="00CC4002">
          <w:pPr>
            <w:pStyle w:val="TOC2"/>
            <w:tabs>
              <w:tab w:val="left" w:pos="880"/>
            </w:tabs>
            <w:rPr>
              <w:rFonts w:asciiTheme="minorHAnsi" w:eastAsiaTheme="minorEastAsia" w:hAnsiTheme="minorHAnsi" w:cstheme="minorBidi"/>
              <w:noProof/>
              <w:sz w:val="22"/>
              <w:lang w:eastAsia="en-AU"/>
            </w:rPr>
          </w:pPr>
          <w:hyperlink w:anchor="_Toc88124674" w:history="1">
            <w:r w:rsidR="00150FEC" w:rsidRPr="0000454D">
              <w:rPr>
                <w:rStyle w:val="Hyperlink"/>
                <w:noProof/>
              </w:rPr>
              <w:t>1.1</w:t>
            </w:r>
            <w:r w:rsidR="00150FEC">
              <w:rPr>
                <w:rFonts w:asciiTheme="minorHAnsi" w:eastAsiaTheme="minorEastAsia" w:hAnsiTheme="minorHAnsi" w:cstheme="minorBidi"/>
                <w:noProof/>
                <w:sz w:val="22"/>
                <w:lang w:eastAsia="en-AU"/>
              </w:rPr>
              <w:tab/>
            </w:r>
            <w:r w:rsidR="00150FEC" w:rsidRPr="0000454D">
              <w:rPr>
                <w:rStyle w:val="Hyperlink"/>
                <w:noProof/>
              </w:rPr>
              <w:t>Why are we conducting a review?</w:t>
            </w:r>
            <w:r w:rsidR="00150FEC">
              <w:rPr>
                <w:noProof/>
                <w:webHidden/>
              </w:rPr>
              <w:tab/>
            </w:r>
            <w:r w:rsidR="00150FEC">
              <w:rPr>
                <w:noProof/>
                <w:webHidden/>
              </w:rPr>
              <w:fldChar w:fldCharType="begin"/>
            </w:r>
            <w:r w:rsidR="00150FEC">
              <w:rPr>
                <w:noProof/>
                <w:webHidden/>
              </w:rPr>
              <w:instrText xml:space="preserve"> PAGEREF _Toc88124674 \h </w:instrText>
            </w:r>
            <w:r w:rsidR="00150FEC">
              <w:rPr>
                <w:noProof/>
                <w:webHidden/>
              </w:rPr>
            </w:r>
            <w:r w:rsidR="00150FEC">
              <w:rPr>
                <w:noProof/>
                <w:webHidden/>
              </w:rPr>
              <w:fldChar w:fldCharType="separate"/>
            </w:r>
            <w:r w:rsidR="00150FEC">
              <w:rPr>
                <w:noProof/>
                <w:webHidden/>
              </w:rPr>
              <w:t>4</w:t>
            </w:r>
            <w:r w:rsidR="00150FEC">
              <w:rPr>
                <w:noProof/>
                <w:webHidden/>
              </w:rPr>
              <w:fldChar w:fldCharType="end"/>
            </w:r>
          </w:hyperlink>
        </w:p>
        <w:p w14:paraId="27661C09" w14:textId="77777777" w:rsidR="00150FEC" w:rsidRDefault="00CC4002">
          <w:pPr>
            <w:pStyle w:val="TOC2"/>
            <w:tabs>
              <w:tab w:val="left" w:pos="880"/>
            </w:tabs>
            <w:rPr>
              <w:rFonts w:asciiTheme="minorHAnsi" w:eastAsiaTheme="minorEastAsia" w:hAnsiTheme="minorHAnsi" w:cstheme="minorBidi"/>
              <w:noProof/>
              <w:sz w:val="22"/>
              <w:lang w:eastAsia="en-AU"/>
            </w:rPr>
          </w:pPr>
          <w:hyperlink w:anchor="_Toc88124675" w:history="1">
            <w:r w:rsidR="00150FEC" w:rsidRPr="0000454D">
              <w:rPr>
                <w:rStyle w:val="Hyperlink"/>
                <w:noProof/>
              </w:rPr>
              <w:t>1.2</w:t>
            </w:r>
            <w:r w:rsidR="00150FEC">
              <w:rPr>
                <w:rFonts w:asciiTheme="minorHAnsi" w:eastAsiaTheme="minorEastAsia" w:hAnsiTheme="minorHAnsi" w:cstheme="minorBidi"/>
                <w:noProof/>
                <w:sz w:val="22"/>
                <w:lang w:eastAsia="en-AU"/>
              </w:rPr>
              <w:tab/>
            </w:r>
            <w:r w:rsidR="00150FEC" w:rsidRPr="0000454D">
              <w:rPr>
                <w:rStyle w:val="Hyperlink"/>
                <w:noProof/>
              </w:rPr>
              <w:t>What will the statutory review cover?</w:t>
            </w:r>
            <w:r w:rsidR="00150FEC">
              <w:rPr>
                <w:noProof/>
                <w:webHidden/>
              </w:rPr>
              <w:tab/>
            </w:r>
            <w:r w:rsidR="00150FEC">
              <w:rPr>
                <w:noProof/>
                <w:webHidden/>
              </w:rPr>
              <w:fldChar w:fldCharType="begin"/>
            </w:r>
            <w:r w:rsidR="00150FEC">
              <w:rPr>
                <w:noProof/>
                <w:webHidden/>
              </w:rPr>
              <w:instrText xml:space="preserve"> PAGEREF _Toc88124675 \h </w:instrText>
            </w:r>
            <w:r w:rsidR="00150FEC">
              <w:rPr>
                <w:noProof/>
                <w:webHidden/>
              </w:rPr>
            </w:r>
            <w:r w:rsidR="00150FEC">
              <w:rPr>
                <w:noProof/>
                <w:webHidden/>
              </w:rPr>
              <w:fldChar w:fldCharType="separate"/>
            </w:r>
            <w:r w:rsidR="00150FEC">
              <w:rPr>
                <w:noProof/>
                <w:webHidden/>
              </w:rPr>
              <w:t>4</w:t>
            </w:r>
            <w:r w:rsidR="00150FEC">
              <w:rPr>
                <w:noProof/>
                <w:webHidden/>
              </w:rPr>
              <w:fldChar w:fldCharType="end"/>
            </w:r>
          </w:hyperlink>
        </w:p>
        <w:p w14:paraId="134E549F" w14:textId="77777777" w:rsidR="00150FEC" w:rsidRDefault="00CC4002">
          <w:pPr>
            <w:pStyle w:val="TOC2"/>
            <w:tabs>
              <w:tab w:val="left" w:pos="880"/>
            </w:tabs>
            <w:rPr>
              <w:rFonts w:asciiTheme="minorHAnsi" w:eastAsiaTheme="minorEastAsia" w:hAnsiTheme="minorHAnsi" w:cstheme="minorBidi"/>
              <w:noProof/>
              <w:sz w:val="22"/>
              <w:lang w:eastAsia="en-AU"/>
            </w:rPr>
          </w:pPr>
          <w:hyperlink w:anchor="_Toc88124676" w:history="1">
            <w:r w:rsidR="00150FEC" w:rsidRPr="0000454D">
              <w:rPr>
                <w:rStyle w:val="Hyperlink"/>
                <w:noProof/>
              </w:rPr>
              <w:t>1.3</w:t>
            </w:r>
            <w:r w:rsidR="00150FEC">
              <w:rPr>
                <w:rFonts w:asciiTheme="minorHAnsi" w:eastAsiaTheme="minorEastAsia" w:hAnsiTheme="minorHAnsi" w:cstheme="minorBidi"/>
                <w:noProof/>
                <w:sz w:val="22"/>
                <w:lang w:eastAsia="en-AU"/>
              </w:rPr>
              <w:tab/>
            </w:r>
            <w:r w:rsidR="00150FEC" w:rsidRPr="0000454D">
              <w:rPr>
                <w:rStyle w:val="Hyperlink"/>
                <w:noProof/>
              </w:rPr>
              <w:t>The review process</w:t>
            </w:r>
            <w:r w:rsidR="00150FEC">
              <w:rPr>
                <w:noProof/>
                <w:webHidden/>
              </w:rPr>
              <w:tab/>
            </w:r>
            <w:r w:rsidR="00150FEC">
              <w:rPr>
                <w:noProof/>
                <w:webHidden/>
              </w:rPr>
              <w:fldChar w:fldCharType="begin"/>
            </w:r>
            <w:r w:rsidR="00150FEC">
              <w:rPr>
                <w:noProof/>
                <w:webHidden/>
              </w:rPr>
              <w:instrText xml:space="preserve"> PAGEREF _Toc88124676 \h </w:instrText>
            </w:r>
            <w:r w:rsidR="00150FEC">
              <w:rPr>
                <w:noProof/>
                <w:webHidden/>
              </w:rPr>
            </w:r>
            <w:r w:rsidR="00150FEC">
              <w:rPr>
                <w:noProof/>
                <w:webHidden/>
              </w:rPr>
              <w:fldChar w:fldCharType="separate"/>
            </w:r>
            <w:r w:rsidR="00150FEC">
              <w:rPr>
                <w:noProof/>
                <w:webHidden/>
              </w:rPr>
              <w:t>4</w:t>
            </w:r>
            <w:r w:rsidR="00150FEC">
              <w:rPr>
                <w:noProof/>
                <w:webHidden/>
              </w:rPr>
              <w:fldChar w:fldCharType="end"/>
            </w:r>
          </w:hyperlink>
        </w:p>
        <w:p w14:paraId="3F112474" w14:textId="77777777" w:rsidR="00150FEC" w:rsidRDefault="00CC4002">
          <w:pPr>
            <w:pStyle w:val="TOC2"/>
            <w:tabs>
              <w:tab w:val="left" w:pos="880"/>
            </w:tabs>
            <w:rPr>
              <w:rFonts w:asciiTheme="minorHAnsi" w:eastAsiaTheme="minorEastAsia" w:hAnsiTheme="minorHAnsi" w:cstheme="minorBidi"/>
              <w:noProof/>
              <w:sz w:val="22"/>
              <w:lang w:eastAsia="en-AU"/>
            </w:rPr>
          </w:pPr>
          <w:hyperlink w:anchor="_Toc88124677" w:history="1">
            <w:r w:rsidR="00150FEC" w:rsidRPr="0000454D">
              <w:rPr>
                <w:rStyle w:val="Hyperlink"/>
                <w:noProof/>
              </w:rPr>
              <w:t>1.4</w:t>
            </w:r>
            <w:r w:rsidR="00150FEC">
              <w:rPr>
                <w:rFonts w:asciiTheme="minorHAnsi" w:eastAsiaTheme="minorEastAsia" w:hAnsiTheme="minorHAnsi" w:cstheme="minorBidi"/>
                <w:noProof/>
                <w:sz w:val="22"/>
                <w:lang w:eastAsia="en-AU"/>
              </w:rPr>
              <w:tab/>
            </w:r>
            <w:r w:rsidR="00150FEC" w:rsidRPr="0000454D">
              <w:rPr>
                <w:rStyle w:val="Hyperlink"/>
                <w:noProof/>
              </w:rPr>
              <w:t xml:space="preserve">Background to the </w:t>
            </w:r>
            <w:r w:rsidR="00150FEC" w:rsidRPr="0000454D">
              <w:rPr>
                <w:rStyle w:val="Hyperlink"/>
                <w:i/>
                <w:noProof/>
              </w:rPr>
              <w:t>Food Act 2008</w:t>
            </w:r>
            <w:r w:rsidR="00150FEC">
              <w:rPr>
                <w:noProof/>
                <w:webHidden/>
              </w:rPr>
              <w:tab/>
            </w:r>
            <w:r w:rsidR="00150FEC">
              <w:rPr>
                <w:noProof/>
                <w:webHidden/>
              </w:rPr>
              <w:fldChar w:fldCharType="begin"/>
            </w:r>
            <w:r w:rsidR="00150FEC">
              <w:rPr>
                <w:noProof/>
                <w:webHidden/>
              </w:rPr>
              <w:instrText xml:space="preserve"> PAGEREF _Toc88124677 \h </w:instrText>
            </w:r>
            <w:r w:rsidR="00150FEC">
              <w:rPr>
                <w:noProof/>
                <w:webHidden/>
              </w:rPr>
            </w:r>
            <w:r w:rsidR="00150FEC">
              <w:rPr>
                <w:noProof/>
                <w:webHidden/>
              </w:rPr>
              <w:fldChar w:fldCharType="separate"/>
            </w:r>
            <w:r w:rsidR="00150FEC">
              <w:rPr>
                <w:noProof/>
                <w:webHidden/>
              </w:rPr>
              <w:t>4</w:t>
            </w:r>
            <w:r w:rsidR="00150FEC">
              <w:rPr>
                <w:noProof/>
                <w:webHidden/>
              </w:rPr>
              <w:fldChar w:fldCharType="end"/>
            </w:r>
          </w:hyperlink>
        </w:p>
        <w:p w14:paraId="0FB03951" w14:textId="77777777" w:rsidR="00150FEC" w:rsidRDefault="00CC4002">
          <w:pPr>
            <w:pStyle w:val="TOC1"/>
            <w:tabs>
              <w:tab w:val="left" w:pos="660"/>
            </w:tabs>
            <w:rPr>
              <w:rFonts w:asciiTheme="minorHAnsi" w:eastAsiaTheme="minorEastAsia" w:hAnsiTheme="minorHAnsi" w:cstheme="minorBidi"/>
              <w:sz w:val="22"/>
              <w:lang w:eastAsia="en-AU"/>
            </w:rPr>
          </w:pPr>
          <w:hyperlink w:anchor="_Toc88124678" w:history="1">
            <w:r w:rsidR="00150FEC" w:rsidRPr="0000454D">
              <w:rPr>
                <w:rStyle w:val="Hyperlink"/>
              </w:rPr>
              <w:t>2.0</w:t>
            </w:r>
            <w:r w:rsidR="00150FEC">
              <w:rPr>
                <w:rFonts w:asciiTheme="minorHAnsi" w:eastAsiaTheme="minorEastAsia" w:hAnsiTheme="minorHAnsi" w:cstheme="minorBidi"/>
                <w:sz w:val="22"/>
                <w:lang w:eastAsia="en-AU"/>
              </w:rPr>
              <w:tab/>
            </w:r>
            <w:r w:rsidR="00150FEC" w:rsidRPr="0000454D">
              <w:rPr>
                <w:rStyle w:val="Hyperlink"/>
              </w:rPr>
              <w:t>How to make a submission</w:t>
            </w:r>
            <w:r w:rsidR="00150FEC">
              <w:rPr>
                <w:webHidden/>
              </w:rPr>
              <w:tab/>
            </w:r>
            <w:r w:rsidR="00150FEC">
              <w:rPr>
                <w:webHidden/>
              </w:rPr>
              <w:fldChar w:fldCharType="begin"/>
            </w:r>
            <w:r w:rsidR="00150FEC">
              <w:rPr>
                <w:webHidden/>
              </w:rPr>
              <w:instrText xml:space="preserve"> PAGEREF _Toc88124678 \h </w:instrText>
            </w:r>
            <w:r w:rsidR="00150FEC">
              <w:rPr>
                <w:webHidden/>
              </w:rPr>
            </w:r>
            <w:r w:rsidR="00150FEC">
              <w:rPr>
                <w:webHidden/>
              </w:rPr>
              <w:fldChar w:fldCharType="separate"/>
            </w:r>
            <w:r w:rsidR="00150FEC">
              <w:rPr>
                <w:webHidden/>
              </w:rPr>
              <w:t>7</w:t>
            </w:r>
            <w:r w:rsidR="00150FEC">
              <w:rPr>
                <w:webHidden/>
              </w:rPr>
              <w:fldChar w:fldCharType="end"/>
            </w:r>
          </w:hyperlink>
        </w:p>
        <w:p w14:paraId="76939903" w14:textId="77777777" w:rsidR="00150FEC" w:rsidRDefault="00CC4002">
          <w:pPr>
            <w:pStyle w:val="TOC1"/>
            <w:tabs>
              <w:tab w:val="left" w:pos="660"/>
            </w:tabs>
            <w:rPr>
              <w:rFonts w:asciiTheme="minorHAnsi" w:eastAsiaTheme="minorEastAsia" w:hAnsiTheme="minorHAnsi" w:cstheme="minorBidi"/>
              <w:sz w:val="22"/>
              <w:lang w:eastAsia="en-AU"/>
            </w:rPr>
          </w:pPr>
          <w:hyperlink w:anchor="_Toc88124679" w:history="1">
            <w:r w:rsidR="00150FEC" w:rsidRPr="0000454D">
              <w:rPr>
                <w:rStyle w:val="Hyperlink"/>
              </w:rPr>
              <w:t>3.0</w:t>
            </w:r>
            <w:r w:rsidR="00150FEC">
              <w:rPr>
                <w:rFonts w:asciiTheme="minorHAnsi" w:eastAsiaTheme="minorEastAsia" w:hAnsiTheme="minorHAnsi" w:cstheme="minorBidi"/>
                <w:sz w:val="22"/>
                <w:lang w:eastAsia="en-AU"/>
              </w:rPr>
              <w:tab/>
            </w:r>
            <w:r w:rsidR="00150FEC" w:rsidRPr="0000454D">
              <w:rPr>
                <w:rStyle w:val="Hyperlink"/>
              </w:rPr>
              <w:t>What happens next?</w:t>
            </w:r>
            <w:r w:rsidR="00150FEC">
              <w:rPr>
                <w:webHidden/>
              </w:rPr>
              <w:tab/>
            </w:r>
            <w:r w:rsidR="00150FEC">
              <w:rPr>
                <w:webHidden/>
              </w:rPr>
              <w:fldChar w:fldCharType="begin"/>
            </w:r>
            <w:r w:rsidR="00150FEC">
              <w:rPr>
                <w:webHidden/>
              </w:rPr>
              <w:instrText xml:space="preserve"> PAGEREF _Toc88124679 \h </w:instrText>
            </w:r>
            <w:r w:rsidR="00150FEC">
              <w:rPr>
                <w:webHidden/>
              </w:rPr>
            </w:r>
            <w:r w:rsidR="00150FEC">
              <w:rPr>
                <w:webHidden/>
              </w:rPr>
              <w:fldChar w:fldCharType="separate"/>
            </w:r>
            <w:r w:rsidR="00150FEC">
              <w:rPr>
                <w:webHidden/>
              </w:rPr>
              <w:t>7</w:t>
            </w:r>
            <w:r w:rsidR="00150FEC">
              <w:rPr>
                <w:webHidden/>
              </w:rPr>
              <w:fldChar w:fldCharType="end"/>
            </w:r>
          </w:hyperlink>
        </w:p>
        <w:p w14:paraId="1761F7F6" w14:textId="77777777" w:rsidR="00631419" w:rsidRDefault="00631419">
          <w:r>
            <w:rPr>
              <w:b/>
              <w:bCs/>
              <w:noProof/>
            </w:rPr>
            <w:fldChar w:fldCharType="end"/>
          </w:r>
        </w:p>
      </w:sdtContent>
    </w:sdt>
    <w:p w14:paraId="24725330" w14:textId="77777777" w:rsidR="00631419" w:rsidRDefault="00631419" w:rsidP="00631419"/>
    <w:p w14:paraId="50EE2277" w14:textId="77777777" w:rsidR="00631419" w:rsidRDefault="00631419" w:rsidP="00631419"/>
    <w:p w14:paraId="5AAD1AC0" w14:textId="77777777" w:rsidR="00631419" w:rsidRPr="00631419" w:rsidRDefault="00631419" w:rsidP="00631419"/>
    <w:p w14:paraId="3DE82AB1" w14:textId="77777777" w:rsidR="00631419" w:rsidRDefault="00631419" w:rsidP="00631419"/>
    <w:p w14:paraId="0EBA9435" w14:textId="77777777" w:rsidR="00631419" w:rsidRDefault="00631419" w:rsidP="00631419"/>
    <w:p w14:paraId="26D468CE" w14:textId="77777777" w:rsidR="00853B43" w:rsidRDefault="00853B43" w:rsidP="00631419"/>
    <w:p w14:paraId="3DC57F7A" w14:textId="77777777" w:rsidR="00853B43" w:rsidRDefault="00853B43" w:rsidP="00631419"/>
    <w:p w14:paraId="5CB84096" w14:textId="77777777" w:rsidR="00853B43" w:rsidRDefault="00853B43" w:rsidP="00631419"/>
    <w:p w14:paraId="2392AF75" w14:textId="77777777" w:rsidR="00853B43" w:rsidRDefault="00853B43" w:rsidP="00631419"/>
    <w:p w14:paraId="4D61E3BC" w14:textId="77777777" w:rsidR="00853B43" w:rsidRDefault="00853B43" w:rsidP="00631419"/>
    <w:p w14:paraId="3F6A8108" w14:textId="77777777" w:rsidR="00853B43" w:rsidRDefault="00853B43" w:rsidP="00631419"/>
    <w:p w14:paraId="73E4F2A9" w14:textId="77777777" w:rsidR="00853B43" w:rsidRDefault="00853B43" w:rsidP="00631419"/>
    <w:p w14:paraId="313E26AC" w14:textId="77777777" w:rsidR="00853B43" w:rsidRPr="00631419" w:rsidRDefault="00853B43" w:rsidP="00631419">
      <w:pPr>
        <w:sectPr w:rsidR="00853B43" w:rsidRPr="00631419" w:rsidSect="00631419">
          <w:headerReference w:type="default" r:id="rId16"/>
          <w:footerReference w:type="default" r:id="rId17"/>
          <w:pgSz w:w="11906" w:h="16838"/>
          <w:pgMar w:top="851" w:right="849" w:bottom="142" w:left="851" w:header="709" w:footer="709" w:gutter="0"/>
          <w:cols w:space="708"/>
          <w:docGrid w:linePitch="360"/>
        </w:sectPr>
      </w:pPr>
    </w:p>
    <w:p w14:paraId="385E4FE7" w14:textId="77777777" w:rsidR="00863A06" w:rsidRDefault="00C21DFA" w:rsidP="00631419">
      <w:pPr>
        <w:pStyle w:val="Heading1"/>
        <w:numPr>
          <w:ilvl w:val="0"/>
          <w:numId w:val="31"/>
        </w:numPr>
        <w:ind w:left="851" w:hanging="851"/>
      </w:pPr>
      <w:bookmarkStart w:id="2" w:name="_Toc88124673"/>
      <w:r>
        <w:lastRenderedPageBreak/>
        <w:t>Introduction</w:t>
      </w:r>
      <w:bookmarkEnd w:id="2"/>
      <w:bookmarkEnd w:id="1"/>
      <w:bookmarkEnd w:id="0"/>
    </w:p>
    <w:p w14:paraId="152C2C55" w14:textId="77777777" w:rsidR="00C9627A" w:rsidRPr="00071714" w:rsidRDefault="00C9627A" w:rsidP="00631419">
      <w:pPr>
        <w:spacing w:before="160" w:after="160"/>
        <w:jc w:val="both"/>
        <w:rPr>
          <w:b/>
        </w:rPr>
      </w:pPr>
      <w:r w:rsidRPr="00071714">
        <w:t xml:space="preserve">The </w:t>
      </w:r>
      <w:r w:rsidRPr="00071714">
        <w:rPr>
          <w:i/>
        </w:rPr>
        <w:t>Food Act 2008</w:t>
      </w:r>
      <w:r w:rsidRPr="00071714">
        <w:t xml:space="preserve"> (the Act) provides for the safety and suitability of food for human consumption and related purposes.  The Act is the key initiative in achieving national consistency in the regulation of food incorporating model provisions agreed to by the Commonwealth, States and Territories in the Food Regulation Agreement</w:t>
      </w:r>
      <w:r w:rsidR="002C66D6">
        <w:t>.</w:t>
      </w:r>
      <w:r w:rsidRPr="00071714">
        <w:t xml:space="preserve">  The purpose of the Act is to improve the food regulatory system by providing for a </w:t>
      </w:r>
      <w:r w:rsidR="00614ED3" w:rsidRPr="00071714">
        <w:t>risk-based</w:t>
      </w:r>
      <w:r w:rsidRPr="00071714">
        <w:t xml:space="preserve"> approach to the management of the handling and sale of food for human consumption, together with robust enforcement tools to protect Western Australia’s food chain</w:t>
      </w:r>
      <w:r w:rsidR="00C21DFA">
        <w:rPr>
          <w:b/>
        </w:rPr>
        <w:t>.</w:t>
      </w:r>
    </w:p>
    <w:p w14:paraId="5AAD836E" w14:textId="77777777" w:rsidR="000B3183" w:rsidRDefault="006425BA" w:rsidP="00631419">
      <w:pPr>
        <w:pStyle w:val="Heading2"/>
        <w:numPr>
          <w:ilvl w:val="1"/>
          <w:numId w:val="31"/>
        </w:numPr>
        <w:ind w:left="851" w:hanging="851"/>
        <w:jc w:val="both"/>
      </w:pPr>
      <w:bookmarkStart w:id="3" w:name="_Toc84422018"/>
      <w:bookmarkStart w:id="4" w:name="_Toc84422169"/>
      <w:bookmarkStart w:id="5" w:name="_Toc88124674"/>
      <w:r>
        <w:t>W</w:t>
      </w:r>
      <w:r w:rsidR="00331DEE">
        <w:t>hy are we conducting a review</w:t>
      </w:r>
      <w:r w:rsidR="008F7C2E">
        <w:t>?</w:t>
      </w:r>
      <w:bookmarkEnd w:id="3"/>
      <w:bookmarkEnd w:id="4"/>
      <w:bookmarkEnd w:id="5"/>
    </w:p>
    <w:p w14:paraId="4D9808E6" w14:textId="77777777" w:rsidR="00593568" w:rsidRPr="00387AC6" w:rsidRDefault="00BF78FB" w:rsidP="00631419">
      <w:pPr>
        <w:spacing w:before="160" w:after="160"/>
        <w:jc w:val="both"/>
      </w:pPr>
      <w:bookmarkStart w:id="6" w:name="_Hlk79765385"/>
      <w:r>
        <w:t xml:space="preserve">The </w:t>
      </w:r>
      <w:r w:rsidR="00593568" w:rsidRPr="00387AC6">
        <w:t>Minister</w:t>
      </w:r>
      <w:r>
        <w:t xml:space="preserve"> is required</w:t>
      </w:r>
      <w:r w:rsidR="00593568" w:rsidRPr="00387AC6">
        <w:t xml:space="preserve"> to </w:t>
      </w:r>
      <w:r w:rsidR="00387AC6" w:rsidRPr="00387AC6">
        <w:t xml:space="preserve">carry out a review of the operation and effectiveness of the Act and prepare a report </w:t>
      </w:r>
      <w:r>
        <w:t>for tabling in the Parliament</w:t>
      </w:r>
      <w:r w:rsidR="00387AC6">
        <w:t>.</w:t>
      </w:r>
      <w:r w:rsidR="00593568" w:rsidRPr="00387AC6">
        <w:t xml:space="preserve"> </w:t>
      </w:r>
      <w:r w:rsidR="00B41D02">
        <w:t xml:space="preserve"> Interested persons are invited to make written submissions on the operation and effectiveness of the Act.</w:t>
      </w:r>
    </w:p>
    <w:p w14:paraId="5C9A35A5" w14:textId="77777777" w:rsidR="008F7C2E" w:rsidRDefault="008F7C2E" w:rsidP="00631419">
      <w:pPr>
        <w:pStyle w:val="Heading2"/>
        <w:numPr>
          <w:ilvl w:val="1"/>
          <w:numId w:val="31"/>
        </w:numPr>
        <w:ind w:left="851" w:hanging="851"/>
        <w:jc w:val="both"/>
      </w:pPr>
      <w:bookmarkStart w:id="7" w:name="_Toc84422019"/>
      <w:bookmarkStart w:id="8" w:name="_Toc84422170"/>
      <w:bookmarkStart w:id="9" w:name="_Toc88124675"/>
      <w:bookmarkStart w:id="10" w:name="_Hlk79656041"/>
      <w:bookmarkEnd w:id="6"/>
      <w:r>
        <w:t xml:space="preserve">What will the </w:t>
      </w:r>
      <w:r w:rsidR="00870D55">
        <w:t xml:space="preserve">statutory </w:t>
      </w:r>
      <w:r>
        <w:t xml:space="preserve">review </w:t>
      </w:r>
      <w:r w:rsidR="00BF4BD6">
        <w:t>cover</w:t>
      </w:r>
      <w:r>
        <w:t>?</w:t>
      </w:r>
      <w:bookmarkEnd w:id="7"/>
      <w:bookmarkEnd w:id="8"/>
      <w:bookmarkEnd w:id="9"/>
    </w:p>
    <w:p w14:paraId="2308EFD5" w14:textId="77777777" w:rsidR="008023C3" w:rsidRDefault="008F7C2E" w:rsidP="00631419">
      <w:pPr>
        <w:spacing w:before="160" w:after="160"/>
        <w:jc w:val="both"/>
      </w:pPr>
      <w:bookmarkStart w:id="11" w:name="_Hlk79765475"/>
      <w:r>
        <w:t>The</w:t>
      </w:r>
      <w:r w:rsidR="00C9627A">
        <w:t xml:space="preserve"> statutory</w:t>
      </w:r>
      <w:r w:rsidR="00501CF1">
        <w:t xml:space="preserve"> review</w:t>
      </w:r>
      <w:r w:rsidR="00815E1A">
        <w:t xml:space="preserve"> </w:t>
      </w:r>
      <w:r w:rsidR="00B41D02">
        <w:t>shall</w:t>
      </w:r>
      <w:r w:rsidR="00496749">
        <w:t xml:space="preserve"> -</w:t>
      </w:r>
    </w:p>
    <w:p w14:paraId="28E57FA5" w14:textId="77777777" w:rsidR="008023C3" w:rsidRPr="008023C3" w:rsidRDefault="008023C3" w:rsidP="003F293E">
      <w:pPr>
        <w:numPr>
          <w:ilvl w:val="0"/>
          <w:numId w:val="17"/>
        </w:numPr>
        <w:spacing w:before="160" w:after="160" w:line="259" w:lineRule="auto"/>
        <w:ind w:left="357" w:hanging="357"/>
        <w:jc w:val="both"/>
        <w:rPr>
          <w:rFonts w:eastAsia="Arial"/>
          <w:szCs w:val="24"/>
        </w:rPr>
      </w:pPr>
      <w:r w:rsidRPr="008023C3">
        <w:rPr>
          <w:rFonts w:eastAsia="Arial"/>
          <w:szCs w:val="24"/>
        </w:rPr>
        <w:t>Examine the operation and effectiveness of the Act</w:t>
      </w:r>
      <w:r>
        <w:rPr>
          <w:rFonts w:eastAsia="Arial"/>
          <w:i/>
          <w:szCs w:val="24"/>
        </w:rPr>
        <w:t xml:space="preserve"> </w:t>
      </w:r>
      <w:r w:rsidRPr="008023C3">
        <w:rPr>
          <w:rFonts w:eastAsia="Arial"/>
          <w:szCs w:val="24"/>
        </w:rPr>
        <w:t>in meeting its objects</w:t>
      </w:r>
      <w:r w:rsidR="00631419">
        <w:rPr>
          <w:rFonts w:eastAsia="Arial"/>
          <w:szCs w:val="24"/>
        </w:rPr>
        <w:t xml:space="preserve"> to:</w:t>
      </w:r>
    </w:p>
    <w:p w14:paraId="075E9870" w14:textId="77777777" w:rsidR="008023C3" w:rsidRPr="008023C3" w:rsidRDefault="008023C3" w:rsidP="00071714">
      <w:pPr>
        <w:numPr>
          <w:ilvl w:val="0"/>
          <w:numId w:val="18"/>
        </w:numPr>
        <w:spacing w:after="0" w:line="259" w:lineRule="auto"/>
        <w:jc w:val="both"/>
        <w:rPr>
          <w:rFonts w:eastAsia="Arial"/>
          <w:szCs w:val="24"/>
        </w:rPr>
      </w:pPr>
      <w:r w:rsidRPr="008023C3">
        <w:rPr>
          <w:rFonts w:eastAsia="Arial"/>
          <w:szCs w:val="24"/>
        </w:rPr>
        <w:t>ensure food for sale is both safe and suitable for human consumption</w:t>
      </w:r>
    </w:p>
    <w:p w14:paraId="530ABCB4" w14:textId="77777777" w:rsidR="008023C3" w:rsidRPr="008023C3" w:rsidRDefault="008023C3" w:rsidP="00071714">
      <w:pPr>
        <w:numPr>
          <w:ilvl w:val="0"/>
          <w:numId w:val="18"/>
        </w:numPr>
        <w:spacing w:after="0" w:line="259" w:lineRule="auto"/>
        <w:jc w:val="both"/>
        <w:rPr>
          <w:rFonts w:eastAsia="Arial"/>
          <w:szCs w:val="24"/>
        </w:rPr>
      </w:pPr>
      <w:r w:rsidRPr="008023C3">
        <w:rPr>
          <w:rFonts w:eastAsia="Arial"/>
          <w:szCs w:val="24"/>
        </w:rPr>
        <w:t>prevent misleading conduct in connection with the sale of food</w:t>
      </w:r>
    </w:p>
    <w:p w14:paraId="5DF6322F" w14:textId="77777777" w:rsidR="008023C3" w:rsidRPr="008023C3" w:rsidRDefault="008023C3" w:rsidP="00071714">
      <w:pPr>
        <w:numPr>
          <w:ilvl w:val="0"/>
          <w:numId w:val="18"/>
        </w:numPr>
        <w:spacing w:after="0" w:line="259" w:lineRule="auto"/>
        <w:jc w:val="both"/>
        <w:rPr>
          <w:rFonts w:eastAsia="Arial"/>
          <w:szCs w:val="24"/>
        </w:rPr>
      </w:pPr>
      <w:r w:rsidRPr="008023C3">
        <w:rPr>
          <w:rFonts w:eastAsia="Arial"/>
          <w:szCs w:val="24"/>
        </w:rPr>
        <w:t>provide for the application in this State of the Food Standards Code.</w:t>
      </w:r>
    </w:p>
    <w:p w14:paraId="48F02B63" w14:textId="77777777" w:rsidR="008023C3" w:rsidRDefault="008023C3" w:rsidP="003F293E">
      <w:pPr>
        <w:numPr>
          <w:ilvl w:val="0"/>
          <w:numId w:val="17"/>
        </w:numPr>
        <w:spacing w:before="160" w:after="160" w:line="259" w:lineRule="auto"/>
        <w:ind w:left="357" w:hanging="357"/>
        <w:jc w:val="both"/>
        <w:rPr>
          <w:rFonts w:eastAsia="Arial"/>
          <w:szCs w:val="24"/>
        </w:rPr>
      </w:pPr>
      <w:r w:rsidRPr="008023C3">
        <w:rPr>
          <w:rFonts w:eastAsia="Arial"/>
          <w:szCs w:val="24"/>
        </w:rPr>
        <w:t xml:space="preserve">Identify, including through analysis of stakeholder submissions, any issues with the operation and effectiveness </w:t>
      </w:r>
      <w:r w:rsidR="00EC5054">
        <w:rPr>
          <w:rFonts w:eastAsia="Arial"/>
          <w:szCs w:val="24"/>
        </w:rPr>
        <w:t xml:space="preserve">of </w:t>
      </w:r>
      <w:r w:rsidRPr="008023C3">
        <w:rPr>
          <w:rFonts w:eastAsia="Arial"/>
          <w:szCs w:val="24"/>
        </w:rPr>
        <w:t xml:space="preserve">the Act, including: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63"/>
      </w:tblGrid>
      <w:tr w:rsidR="000A3B4D" w14:paraId="76A96338" w14:textId="77777777" w:rsidTr="006A2851">
        <w:tc>
          <w:tcPr>
            <w:tcW w:w="4531" w:type="dxa"/>
          </w:tcPr>
          <w:p w14:paraId="40BD4789" w14:textId="77777777" w:rsidR="000A3B4D" w:rsidRPr="000A3B4D" w:rsidRDefault="004E7FEE" w:rsidP="000A3B4D">
            <w:pPr>
              <w:numPr>
                <w:ilvl w:val="0"/>
                <w:numId w:val="19"/>
              </w:numPr>
              <w:spacing w:after="0" w:line="259" w:lineRule="auto"/>
              <w:jc w:val="both"/>
              <w:rPr>
                <w:rFonts w:eastAsia="Arial"/>
                <w:szCs w:val="24"/>
              </w:rPr>
            </w:pPr>
            <w:r>
              <w:rPr>
                <w:rFonts w:eastAsia="Arial"/>
                <w:szCs w:val="24"/>
              </w:rPr>
              <w:t>i</w:t>
            </w:r>
            <w:r w:rsidR="000A3B4D" w:rsidRPr="008023C3">
              <w:rPr>
                <w:rFonts w:eastAsia="Arial"/>
                <w:szCs w:val="24"/>
              </w:rPr>
              <w:t>nterpretation</w:t>
            </w:r>
          </w:p>
        </w:tc>
        <w:tc>
          <w:tcPr>
            <w:tcW w:w="5663" w:type="dxa"/>
          </w:tcPr>
          <w:p w14:paraId="386E330E" w14:textId="77777777" w:rsidR="000A3B4D" w:rsidRPr="000A3B4D" w:rsidRDefault="000A3B4D" w:rsidP="000A3B4D">
            <w:pPr>
              <w:numPr>
                <w:ilvl w:val="0"/>
                <w:numId w:val="19"/>
              </w:numPr>
              <w:spacing w:after="0" w:line="259" w:lineRule="auto"/>
              <w:jc w:val="both"/>
              <w:rPr>
                <w:rFonts w:eastAsia="Arial"/>
                <w:szCs w:val="24"/>
              </w:rPr>
            </w:pPr>
            <w:r w:rsidRPr="008023C3">
              <w:rPr>
                <w:rFonts w:eastAsia="Arial"/>
                <w:szCs w:val="24"/>
              </w:rPr>
              <w:t>taking and analysis of samples</w:t>
            </w:r>
          </w:p>
        </w:tc>
      </w:tr>
      <w:tr w:rsidR="000A3B4D" w14:paraId="41C4B7A9" w14:textId="77777777" w:rsidTr="006A2851">
        <w:tc>
          <w:tcPr>
            <w:tcW w:w="4531" w:type="dxa"/>
          </w:tcPr>
          <w:p w14:paraId="5B5051F4" w14:textId="77777777" w:rsidR="000A3B4D" w:rsidRPr="000A3B4D" w:rsidRDefault="000A3B4D" w:rsidP="000A3B4D">
            <w:pPr>
              <w:numPr>
                <w:ilvl w:val="0"/>
                <w:numId w:val="19"/>
              </w:numPr>
              <w:spacing w:after="0" w:line="259" w:lineRule="auto"/>
              <w:jc w:val="both"/>
              <w:rPr>
                <w:rFonts w:eastAsia="Arial"/>
                <w:szCs w:val="24"/>
              </w:rPr>
            </w:pPr>
            <w:r w:rsidRPr="008023C3">
              <w:rPr>
                <w:rFonts w:eastAsia="Arial"/>
                <w:szCs w:val="24"/>
              </w:rPr>
              <w:t>offences related to food</w:t>
            </w:r>
          </w:p>
        </w:tc>
        <w:tc>
          <w:tcPr>
            <w:tcW w:w="5663" w:type="dxa"/>
          </w:tcPr>
          <w:p w14:paraId="3364EC29" w14:textId="77777777" w:rsidR="000A3B4D" w:rsidRPr="000A3B4D" w:rsidRDefault="000A3B4D" w:rsidP="000A3B4D">
            <w:pPr>
              <w:numPr>
                <w:ilvl w:val="0"/>
                <w:numId w:val="19"/>
              </w:numPr>
              <w:spacing w:after="0" w:line="259" w:lineRule="auto"/>
              <w:jc w:val="both"/>
              <w:rPr>
                <w:rFonts w:eastAsia="Arial"/>
                <w:szCs w:val="24"/>
              </w:rPr>
            </w:pPr>
            <w:r w:rsidRPr="008023C3">
              <w:rPr>
                <w:rFonts w:eastAsia="Arial"/>
                <w:szCs w:val="24"/>
              </w:rPr>
              <w:t>auditing</w:t>
            </w:r>
          </w:p>
        </w:tc>
      </w:tr>
      <w:tr w:rsidR="000A3B4D" w14:paraId="02A2E8F6" w14:textId="77777777" w:rsidTr="006A2851">
        <w:tc>
          <w:tcPr>
            <w:tcW w:w="4531" w:type="dxa"/>
          </w:tcPr>
          <w:p w14:paraId="32C6B546" w14:textId="77777777" w:rsidR="000A3B4D" w:rsidRPr="000A3B4D" w:rsidRDefault="000A3B4D" w:rsidP="000A3B4D">
            <w:pPr>
              <w:numPr>
                <w:ilvl w:val="0"/>
                <w:numId w:val="19"/>
              </w:numPr>
              <w:spacing w:after="0" w:line="259" w:lineRule="auto"/>
              <w:jc w:val="both"/>
              <w:rPr>
                <w:rFonts w:eastAsia="Arial"/>
                <w:szCs w:val="24"/>
              </w:rPr>
            </w:pPr>
            <w:r w:rsidRPr="008023C3">
              <w:rPr>
                <w:rFonts w:eastAsia="Arial"/>
                <w:szCs w:val="24"/>
              </w:rPr>
              <w:t>emergency powers</w:t>
            </w:r>
          </w:p>
        </w:tc>
        <w:tc>
          <w:tcPr>
            <w:tcW w:w="5663" w:type="dxa"/>
          </w:tcPr>
          <w:p w14:paraId="0C2500F8" w14:textId="77777777" w:rsidR="000A3B4D" w:rsidRPr="000A3B4D" w:rsidRDefault="000A3B4D" w:rsidP="000A3B4D">
            <w:pPr>
              <w:numPr>
                <w:ilvl w:val="0"/>
                <w:numId w:val="19"/>
              </w:numPr>
              <w:spacing w:after="0" w:line="259" w:lineRule="auto"/>
              <w:jc w:val="both"/>
              <w:rPr>
                <w:rFonts w:eastAsia="Arial"/>
                <w:szCs w:val="24"/>
              </w:rPr>
            </w:pPr>
            <w:r w:rsidRPr="008023C3">
              <w:rPr>
                <w:rFonts w:eastAsia="Arial"/>
                <w:szCs w:val="24"/>
              </w:rPr>
              <w:t>registration of food businesses</w:t>
            </w:r>
          </w:p>
        </w:tc>
      </w:tr>
      <w:tr w:rsidR="000A3B4D" w14:paraId="0D1B5547" w14:textId="77777777" w:rsidTr="006A2851">
        <w:tc>
          <w:tcPr>
            <w:tcW w:w="4531" w:type="dxa"/>
          </w:tcPr>
          <w:p w14:paraId="3ECFE80E" w14:textId="77777777" w:rsidR="000A3B4D" w:rsidRPr="000A3B4D" w:rsidRDefault="000A3B4D" w:rsidP="000A3B4D">
            <w:pPr>
              <w:numPr>
                <w:ilvl w:val="0"/>
                <w:numId w:val="19"/>
              </w:numPr>
              <w:spacing w:after="0" w:line="259" w:lineRule="auto"/>
              <w:jc w:val="both"/>
              <w:rPr>
                <w:rFonts w:eastAsia="Arial"/>
                <w:szCs w:val="24"/>
              </w:rPr>
            </w:pPr>
            <w:r w:rsidRPr="008023C3">
              <w:rPr>
                <w:rFonts w:eastAsia="Arial"/>
                <w:szCs w:val="24"/>
              </w:rPr>
              <w:t>powers of entry</w:t>
            </w:r>
          </w:p>
        </w:tc>
        <w:tc>
          <w:tcPr>
            <w:tcW w:w="5663" w:type="dxa"/>
          </w:tcPr>
          <w:p w14:paraId="49062DE4" w14:textId="77777777" w:rsidR="000A3B4D" w:rsidRPr="000A3B4D" w:rsidRDefault="000A3B4D" w:rsidP="000A3B4D">
            <w:pPr>
              <w:numPr>
                <w:ilvl w:val="0"/>
                <w:numId w:val="19"/>
              </w:numPr>
              <w:spacing w:after="0" w:line="259" w:lineRule="auto"/>
              <w:jc w:val="both"/>
              <w:rPr>
                <w:rFonts w:eastAsia="Arial"/>
                <w:szCs w:val="24"/>
              </w:rPr>
            </w:pPr>
            <w:r w:rsidRPr="008023C3">
              <w:rPr>
                <w:rFonts w:eastAsia="Arial"/>
                <w:szCs w:val="24"/>
              </w:rPr>
              <w:t>administration</w:t>
            </w:r>
          </w:p>
        </w:tc>
      </w:tr>
      <w:tr w:rsidR="000A3B4D" w14:paraId="3F71914E" w14:textId="77777777" w:rsidTr="006A2851">
        <w:tc>
          <w:tcPr>
            <w:tcW w:w="4531" w:type="dxa"/>
          </w:tcPr>
          <w:p w14:paraId="6CA34946" w14:textId="77777777" w:rsidR="000A3B4D" w:rsidRPr="000A3B4D" w:rsidRDefault="000A3B4D" w:rsidP="000A3B4D">
            <w:pPr>
              <w:numPr>
                <w:ilvl w:val="0"/>
                <w:numId w:val="19"/>
              </w:numPr>
              <w:spacing w:after="0" w:line="259" w:lineRule="auto"/>
              <w:jc w:val="both"/>
              <w:rPr>
                <w:rFonts w:eastAsia="Arial"/>
                <w:szCs w:val="24"/>
              </w:rPr>
            </w:pPr>
            <w:r w:rsidRPr="008023C3">
              <w:rPr>
                <w:rFonts w:eastAsia="Arial"/>
                <w:szCs w:val="24"/>
              </w:rPr>
              <w:t>inspection and seizure</w:t>
            </w:r>
          </w:p>
        </w:tc>
        <w:tc>
          <w:tcPr>
            <w:tcW w:w="5663" w:type="dxa"/>
          </w:tcPr>
          <w:p w14:paraId="4F3F0361" w14:textId="77777777" w:rsidR="000A3B4D" w:rsidRPr="000A3B4D" w:rsidRDefault="000A3B4D" w:rsidP="000A3B4D">
            <w:pPr>
              <w:numPr>
                <w:ilvl w:val="0"/>
                <w:numId w:val="19"/>
              </w:numPr>
              <w:spacing w:after="0" w:line="259" w:lineRule="auto"/>
              <w:jc w:val="both"/>
              <w:rPr>
                <w:rFonts w:eastAsia="Arial"/>
                <w:szCs w:val="24"/>
              </w:rPr>
            </w:pPr>
            <w:r w:rsidRPr="008023C3">
              <w:rPr>
                <w:rFonts w:eastAsia="Arial"/>
                <w:szCs w:val="24"/>
              </w:rPr>
              <w:t>procedural and evidentiary provisions</w:t>
            </w:r>
          </w:p>
        </w:tc>
      </w:tr>
      <w:tr w:rsidR="000A3B4D" w14:paraId="47A95CDA" w14:textId="77777777" w:rsidTr="006A2851">
        <w:tc>
          <w:tcPr>
            <w:tcW w:w="4531" w:type="dxa"/>
          </w:tcPr>
          <w:p w14:paraId="02E03ADA" w14:textId="77777777" w:rsidR="000A3B4D" w:rsidRPr="000A3B4D" w:rsidRDefault="000A3B4D" w:rsidP="004E4D49">
            <w:pPr>
              <w:pStyle w:val="ListParagraph"/>
              <w:numPr>
                <w:ilvl w:val="0"/>
                <w:numId w:val="19"/>
              </w:numPr>
              <w:spacing w:after="0" w:line="259" w:lineRule="auto"/>
              <w:rPr>
                <w:rFonts w:eastAsia="Arial"/>
                <w:szCs w:val="24"/>
              </w:rPr>
            </w:pPr>
            <w:r w:rsidRPr="000A3B4D">
              <w:rPr>
                <w:rFonts w:eastAsia="Arial"/>
                <w:szCs w:val="24"/>
              </w:rPr>
              <w:t>improvement notices and prohibition orders</w:t>
            </w:r>
          </w:p>
        </w:tc>
        <w:tc>
          <w:tcPr>
            <w:tcW w:w="5663" w:type="dxa"/>
          </w:tcPr>
          <w:p w14:paraId="6F3E64AE" w14:textId="77777777" w:rsidR="000A3B4D" w:rsidRPr="000A3B4D" w:rsidRDefault="000A3B4D" w:rsidP="000A3B4D">
            <w:pPr>
              <w:numPr>
                <w:ilvl w:val="0"/>
                <w:numId w:val="19"/>
              </w:numPr>
              <w:spacing w:after="0" w:line="259" w:lineRule="auto"/>
              <w:jc w:val="both"/>
              <w:rPr>
                <w:rFonts w:eastAsia="Arial"/>
                <w:szCs w:val="24"/>
              </w:rPr>
            </w:pPr>
            <w:r w:rsidRPr="008023C3">
              <w:rPr>
                <w:rFonts w:eastAsia="Arial"/>
                <w:szCs w:val="24"/>
              </w:rPr>
              <w:t xml:space="preserve">any other relevant matter. </w:t>
            </w:r>
          </w:p>
        </w:tc>
      </w:tr>
    </w:tbl>
    <w:p w14:paraId="475BE87E" w14:textId="77777777" w:rsidR="008023C3" w:rsidRPr="008023C3" w:rsidRDefault="008023C3" w:rsidP="003F293E">
      <w:pPr>
        <w:numPr>
          <w:ilvl w:val="0"/>
          <w:numId w:val="17"/>
        </w:numPr>
        <w:spacing w:before="160" w:after="160" w:line="259" w:lineRule="auto"/>
        <w:ind w:left="357" w:hanging="357"/>
        <w:jc w:val="both"/>
        <w:rPr>
          <w:rFonts w:eastAsia="Arial"/>
          <w:szCs w:val="24"/>
        </w:rPr>
      </w:pPr>
      <w:r w:rsidRPr="008023C3">
        <w:rPr>
          <w:rFonts w:eastAsia="Arial"/>
          <w:szCs w:val="24"/>
        </w:rPr>
        <w:t>Make recommendations that will:</w:t>
      </w:r>
    </w:p>
    <w:p w14:paraId="2BF306B0" w14:textId="77777777" w:rsidR="008023C3" w:rsidRPr="008023C3" w:rsidRDefault="008023C3" w:rsidP="00071714">
      <w:pPr>
        <w:numPr>
          <w:ilvl w:val="0"/>
          <w:numId w:val="19"/>
        </w:numPr>
        <w:spacing w:after="0" w:line="259" w:lineRule="auto"/>
        <w:jc w:val="both"/>
        <w:rPr>
          <w:rFonts w:eastAsia="Arial"/>
          <w:szCs w:val="24"/>
        </w:rPr>
      </w:pPr>
      <w:r w:rsidRPr="008023C3">
        <w:rPr>
          <w:rFonts w:eastAsia="Arial"/>
          <w:szCs w:val="24"/>
        </w:rPr>
        <w:t xml:space="preserve">strengthen and support the objects of the Act being met; and </w:t>
      </w:r>
    </w:p>
    <w:p w14:paraId="25544A68" w14:textId="77777777" w:rsidR="008023C3" w:rsidRPr="008023C3" w:rsidRDefault="008023C3" w:rsidP="00071714">
      <w:pPr>
        <w:numPr>
          <w:ilvl w:val="0"/>
          <w:numId w:val="19"/>
        </w:numPr>
        <w:spacing w:after="0" w:line="259" w:lineRule="auto"/>
        <w:jc w:val="both"/>
        <w:rPr>
          <w:rFonts w:eastAsia="Arial"/>
          <w:szCs w:val="24"/>
        </w:rPr>
      </w:pPr>
      <w:r w:rsidRPr="008023C3">
        <w:rPr>
          <w:rFonts w:eastAsia="Arial"/>
          <w:szCs w:val="24"/>
        </w:rPr>
        <w:t xml:space="preserve">promote greater regulatory effectiveness. </w:t>
      </w:r>
    </w:p>
    <w:bookmarkEnd w:id="11"/>
    <w:p w14:paraId="2DB741A9" w14:textId="77777777" w:rsidR="00B37C6A" w:rsidRDefault="00E93F37" w:rsidP="00631419">
      <w:pPr>
        <w:spacing w:before="160" w:after="160"/>
        <w:jc w:val="both"/>
      </w:pPr>
      <w:r>
        <w:t xml:space="preserve">The </w:t>
      </w:r>
      <w:r w:rsidR="00364995">
        <w:t>r</w:t>
      </w:r>
      <w:r>
        <w:t xml:space="preserve">eview will not capture </w:t>
      </w:r>
      <w:r w:rsidR="003A219A">
        <w:t>documents</w:t>
      </w:r>
      <w:r w:rsidR="007B55E2">
        <w:t xml:space="preserve"> outside of the Parts of the Act</w:t>
      </w:r>
      <w:r w:rsidR="00EC5054">
        <w:t>,</w:t>
      </w:r>
      <w:r w:rsidR="007B55E2">
        <w:t xml:space="preserve"> </w:t>
      </w:r>
      <w:r w:rsidR="00807225">
        <w:t>including</w:t>
      </w:r>
      <w:r w:rsidR="007B55E2">
        <w:t xml:space="preserve"> an</w:t>
      </w:r>
      <w:r w:rsidR="00375CF4">
        <w:t>y external documents such as the Australian Standards, guidelines or policies.</w:t>
      </w:r>
      <w:r w:rsidR="007B55E2">
        <w:t xml:space="preserve"> </w:t>
      </w:r>
      <w:bookmarkEnd w:id="10"/>
    </w:p>
    <w:p w14:paraId="6A5ECDFA" w14:textId="77777777" w:rsidR="006425BA" w:rsidRDefault="006425BA" w:rsidP="00631419">
      <w:pPr>
        <w:pStyle w:val="Heading2"/>
        <w:numPr>
          <w:ilvl w:val="1"/>
          <w:numId w:val="31"/>
        </w:numPr>
        <w:ind w:left="851" w:hanging="851"/>
        <w:jc w:val="both"/>
      </w:pPr>
      <w:bookmarkStart w:id="12" w:name="_Toc84422021"/>
      <w:bookmarkStart w:id="13" w:name="_Toc84422172"/>
      <w:bookmarkStart w:id="14" w:name="_Toc88124676"/>
      <w:r>
        <w:t>The review process</w:t>
      </w:r>
      <w:bookmarkEnd w:id="12"/>
      <w:bookmarkEnd w:id="13"/>
      <w:bookmarkEnd w:id="14"/>
    </w:p>
    <w:p w14:paraId="5210EB00" w14:textId="77777777" w:rsidR="00190BBD" w:rsidRDefault="00BF78FB" w:rsidP="00190BBD">
      <w:pPr>
        <w:spacing w:before="160" w:after="160"/>
        <w:jc w:val="both"/>
      </w:pPr>
      <w:r>
        <w:t xml:space="preserve">The </w:t>
      </w:r>
      <w:r w:rsidR="00364995">
        <w:t>r</w:t>
      </w:r>
      <w:r w:rsidR="006425BA">
        <w:t>eview</w:t>
      </w:r>
      <w:r w:rsidR="00375CF4">
        <w:t xml:space="preserve"> commences on 1 December</w:t>
      </w:r>
      <w:r w:rsidR="00F81FCB">
        <w:t xml:space="preserve"> 202</w:t>
      </w:r>
      <w:r w:rsidR="00375CF4">
        <w:t>1</w:t>
      </w:r>
      <w:r w:rsidR="00455884">
        <w:t>.</w:t>
      </w:r>
      <w:r w:rsidR="00B41D02">
        <w:t xml:space="preserve"> </w:t>
      </w:r>
      <w:r w:rsidR="00870D55">
        <w:t>Interested persons and organisations are invited to provide their written submissions</w:t>
      </w:r>
      <w:r w:rsidR="00F81FCB">
        <w:t xml:space="preserve"> before the deadline of </w:t>
      </w:r>
      <w:r w:rsidR="00375CF4">
        <w:t>14</w:t>
      </w:r>
      <w:r w:rsidR="00F81FCB">
        <w:t xml:space="preserve"> March </w:t>
      </w:r>
      <w:r w:rsidR="00C9627A">
        <w:t>202</w:t>
      </w:r>
      <w:r>
        <w:t>2</w:t>
      </w:r>
      <w:r w:rsidR="00B41D02">
        <w:t>.</w:t>
      </w:r>
      <w:r w:rsidR="00C9627A">
        <w:t xml:space="preserve">  </w:t>
      </w:r>
      <w:bookmarkStart w:id="15" w:name="_Toc84422022"/>
      <w:bookmarkStart w:id="16" w:name="_Toc84422173"/>
    </w:p>
    <w:p w14:paraId="6E145084" w14:textId="77777777" w:rsidR="008506D8" w:rsidRDefault="008506D8" w:rsidP="00190BBD">
      <w:pPr>
        <w:pStyle w:val="Heading2"/>
        <w:numPr>
          <w:ilvl w:val="1"/>
          <w:numId w:val="31"/>
        </w:numPr>
        <w:ind w:left="851" w:hanging="851"/>
        <w:jc w:val="both"/>
      </w:pPr>
      <w:bookmarkStart w:id="17" w:name="_Toc88124677"/>
      <w:r>
        <w:t xml:space="preserve">Background to the </w:t>
      </w:r>
      <w:r w:rsidRPr="00F81FCB">
        <w:rPr>
          <w:i/>
        </w:rPr>
        <w:t>Food Act 2008</w:t>
      </w:r>
      <w:bookmarkEnd w:id="15"/>
      <w:bookmarkEnd w:id="16"/>
      <w:bookmarkEnd w:id="17"/>
    </w:p>
    <w:p w14:paraId="1C61B8EA" w14:textId="77777777" w:rsidR="00475773" w:rsidRDefault="00B37C6A" w:rsidP="00631419">
      <w:pPr>
        <w:spacing w:before="160" w:after="160"/>
        <w:jc w:val="both"/>
      </w:pPr>
      <w:r>
        <w:t>In Australia</w:t>
      </w:r>
      <w:r w:rsidR="00B33449">
        <w:t>,</w:t>
      </w:r>
      <w:r>
        <w:t xml:space="preserve"> the</w:t>
      </w:r>
      <w:r w:rsidR="00AC0EFA">
        <w:t xml:space="preserve"> </w:t>
      </w:r>
      <w:r w:rsidR="00D5457E">
        <w:t>three levels of</w:t>
      </w:r>
      <w:r>
        <w:t xml:space="preserve"> government </w:t>
      </w:r>
      <w:r w:rsidR="00BA657B">
        <w:t xml:space="preserve">operate </w:t>
      </w:r>
      <w:r w:rsidR="008E4EAB">
        <w:t>under</w:t>
      </w:r>
      <w:r w:rsidR="00BA657B">
        <w:t xml:space="preserve"> a </w:t>
      </w:r>
      <w:r w:rsidR="009F1F3B">
        <w:t>Joint Food System</w:t>
      </w:r>
      <w:r w:rsidR="0014151D">
        <w:t xml:space="preserve"> which</w:t>
      </w:r>
      <w:r w:rsidR="009F1F3B">
        <w:t xml:space="preserve"> incorporat</w:t>
      </w:r>
      <w:r w:rsidR="00FF6F53">
        <w:t>es</w:t>
      </w:r>
      <w:r w:rsidR="009F1F3B">
        <w:t xml:space="preserve"> </w:t>
      </w:r>
      <w:r w:rsidR="00FF6F53">
        <w:t xml:space="preserve">elements of </w:t>
      </w:r>
      <w:r w:rsidR="00BA657B">
        <w:t>policy</w:t>
      </w:r>
      <w:r w:rsidR="00FF6F53">
        <w:t xml:space="preserve"> and </w:t>
      </w:r>
      <w:r w:rsidR="00BA657B">
        <w:t>food standards development, implementation and enforcement</w:t>
      </w:r>
      <w:r w:rsidR="0083355C">
        <w:t>,</w:t>
      </w:r>
      <w:r w:rsidR="00BA657B">
        <w:t xml:space="preserve"> and incident response to en</w:t>
      </w:r>
      <w:r w:rsidR="003660F4">
        <w:t>s</w:t>
      </w:r>
      <w:r w:rsidR="00BA657B">
        <w:t xml:space="preserve">ure food </w:t>
      </w:r>
      <w:r w:rsidR="003660F4">
        <w:t xml:space="preserve">in Australia </w:t>
      </w:r>
      <w:r w:rsidR="00BA657B">
        <w:t>is safe to eat</w:t>
      </w:r>
      <w:r w:rsidR="00D5457E">
        <w:t>.</w:t>
      </w:r>
    </w:p>
    <w:p w14:paraId="6BFF9E48" w14:textId="77777777" w:rsidR="00702899" w:rsidRDefault="003660F4" w:rsidP="00631419">
      <w:pPr>
        <w:spacing w:before="160" w:after="160"/>
        <w:jc w:val="both"/>
      </w:pPr>
      <w:r>
        <w:lastRenderedPageBreak/>
        <w:t xml:space="preserve">At the </w:t>
      </w:r>
      <w:r w:rsidR="009F1F3B">
        <w:t>f</w:t>
      </w:r>
      <w:r>
        <w:t xml:space="preserve">ederal </w:t>
      </w:r>
      <w:r w:rsidR="0014151D">
        <w:t>level,</w:t>
      </w:r>
      <w:r w:rsidR="009F1F3B">
        <w:t xml:space="preserve"> the</w:t>
      </w:r>
      <w:r>
        <w:t xml:space="preserve"> Food Minister</w:t>
      </w:r>
      <w:r w:rsidR="007418A3">
        <w:t>s</w:t>
      </w:r>
      <w:r w:rsidR="009F1F3B">
        <w:t xml:space="preserve"> from </w:t>
      </w:r>
      <w:r w:rsidR="00821A9E">
        <w:t xml:space="preserve">New Zealand </w:t>
      </w:r>
      <w:r w:rsidR="00B33449">
        <w:t xml:space="preserve">and </w:t>
      </w:r>
      <w:r w:rsidR="009F1F3B">
        <w:t xml:space="preserve">each </w:t>
      </w:r>
      <w:r w:rsidR="003C434A">
        <w:t xml:space="preserve">Australian Minister for </w:t>
      </w:r>
      <w:r w:rsidR="0083355C">
        <w:t>Commonwealth</w:t>
      </w:r>
      <w:r w:rsidR="0008046D">
        <w:t xml:space="preserve">, </w:t>
      </w:r>
      <w:r w:rsidR="009F1F3B">
        <w:t xml:space="preserve">State </w:t>
      </w:r>
      <w:r w:rsidR="0008046D">
        <w:t xml:space="preserve">and Territory </w:t>
      </w:r>
      <w:r w:rsidR="000C0771">
        <w:t>g</w:t>
      </w:r>
      <w:r w:rsidR="0008046D">
        <w:t xml:space="preserve">overnments </w:t>
      </w:r>
      <w:r w:rsidR="007418A3">
        <w:t xml:space="preserve">meet to </w:t>
      </w:r>
      <w:r w:rsidR="0008046D">
        <w:t>develop food</w:t>
      </w:r>
      <w:r w:rsidR="003C434A">
        <w:t xml:space="preserve"> policy guidelines. </w:t>
      </w:r>
    </w:p>
    <w:p w14:paraId="48680F9D" w14:textId="77777777" w:rsidR="008E4EAB" w:rsidRDefault="008E4EAB" w:rsidP="00631419">
      <w:pPr>
        <w:spacing w:before="160" w:after="160"/>
        <w:jc w:val="both"/>
      </w:pPr>
      <w:r w:rsidRPr="008E4EAB">
        <w:t>In 200</w:t>
      </w:r>
      <w:r w:rsidR="00497B6B">
        <w:t>0</w:t>
      </w:r>
      <w:r w:rsidRPr="008E4EAB">
        <w:t xml:space="preserve"> the Food Regulation Agreement (FRA) </w:t>
      </w:r>
      <w:r w:rsidR="00AA1146">
        <w:t xml:space="preserve">became the basis of a national approach to food regulation and included </w:t>
      </w:r>
      <w:r w:rsidRPr="008E4EAB">
        <w:t>Model Food Provisions Annex A and Annex B</w:t>
      </w:r>
      <w:r w:rsidR="00AA1146">
        <w:t xml:space="preserve"> for State and Territory legislation</w:t>
      </w:r>
      <w:r w:rsidR="004E4D49">
        <w:rPr>
          <w:rStyle w:val="FootnoteReference"/>
        </w:rPr>
        <w:footnoteReference w:id="1"/>
      </w:r>
      <w:r w:rsidR="0083355C">
        <w:t>.</w:t>
      </w:r>
      <w:r w:rsidRPr="008E4EAB">
        <w:t xml:space="preserve">  State and Territory governments</w:t>
      </w:r>
      <w:r w:rsidR="0083355C">
        <w:t>,</w:t>
      </w:r>
      <w:r w:rsidRPr="008E4EAB">
        <w:t xml:space="preserve"> including Western Australia</w:t>
      </w:r>
      <w:r w:rsidR="0083355C">
        <w:t>,</w:t>
      </w:r>
      <w:r w:rsidRPr="008E4EAB">
        <w:t xml:space="preserve"> committed to implement the cooperative national regulatory requirements and adopt the Model Food Provisions.</w:t>
      </w:r>
      <w:r w:rsidR="0008046D">
        <w:t xml:space="preserve"> In 2002 the FRA was amended to commit the Commonwealth, State and Territory Governments to national food regulation</w:t>
      </w:r>
      <w:r w:rsidR="009C265E">
        <w:rPr>
          <w:rStyle w:val="FootnoteReference"/>
        </w:rPr>
        <w:footnoteReference w:id="2"/>
      </w:r>
      <w:r w:rsidR="0083355C">
        <w:t>.</w:t>
      </w:r>
    </w:p>
    <w:p w14:paraId="5B2BE3C2" w14:textId="77777777" w:rsidR="00C023BB" w:rsidRDefault="0016115F" w:rsidP="00631419">
      <w:pPr>
        <w:spacing w:before="160" w:after="160"/>
        <w:jc w:val="both"/>
      </w:pPr>
      <w:r>
        <w:t xml:space="preserve">To implement the </w:t>
      </w:r>
      <w:r w:rsidR="0082252D">
        <w:t xml:space="preserve">requirements of the </w:t>
      </w:r>
      <w:r>
        <w:t>FRA</w:t>
      </w:r>
      <w:r w:rsidR="0008046D">
        <w:t xml:space="preserve">, </w:t>
      </w:r>
      <w:r w:rsidR="00821A9E">
        <w:t xml:space="preserve">the </w:t>
      </w:r>
      <w:r w:rsidRPr="004E4D49">
        <w:rPr>
          <w:i/>
        </w:rPr>
        <w:t>Food Bill</w:t>
      </w:r>
      <w:r w:rsidR="0060417E" w:rsidRPr="004E4D49">
        <w:rPr>
          <w:i/>
        </w:rPr>
        <w:t xml:space="preserve"> </w:t>
      </w:r>
      <w:r w:rsidR="00C90049" w:rsidRPr="004E4D49">
        <w:rPr>
          <w:i/>
        </w:rPr>
        <w:t>2005</w:t>
      </w:r>
      <w:r w:rsidR="00C90049">
        <w:t xml:space="preserve"> </w:t>
      </w:r>
      <w:r w:rsidR="0060417E">
        <w:t>(the Bill)</w:t>
      </w:r>
      <w:r>
        <w:t xml:space="preserve"> was </w:t>
      </w:r>
      <w:r w:rsidR="000D27E0">
        <w:t xml:space="preserve">read into the </w:t>
      </w:r>
      <w:r w:rsidR="007A2EDF">
        <w:t>W</w:t>
      </w:r>
      <w:r w:rsidR="008E4EAB">
        <w:t xml:space="preserve">estern Australian </w:t>
      </w:r>
      <w:r w:rsidR="00BC5DFA">
        <w:t xml:space="preserve">Parliament </w:t>
      </w:r>
      <w:r w:rsidR="0060417E">
        <w:t>on 23</w:t>
      </w:r>
      <w:r w:rsidR="00BC5DFA">
        <w:t xml:space="preserve"> November 2005. </w:t>
      </w:r>
    </w:p>
    <w:p w14:paraId="3DCD6EA1" w14:textId="77777777" w:rsidR="00367432" w:rsidRDefault="00367432" w:rsidP="00631419">
      <w:pPr>
        <w:spacing w:before="160" w:after="160"/>
        <w:jc w:val="both"/>
      </w:pPr>
      <w:r>
        <w:t xml:space="preserve">The Second Reading Speech and the Explanatory Memorandum </w:t>
      </w:r>
      <w:hyperlink r:id="rId18" w:history="1">
        <w:r w:rsidRPr="00C2631A">
          <w:rPr>
            <w:rStyle w:val="Hyperlink"/>
          </w:rPr>
          <w:t>here</w:t>
        </w:r>
      </w:hyperlink>
      <w:r>
        <w:t xml:space="preserve"> explains the intent </w:t>
      </w:r>
      <w:r w:rsidR="00C90049">
        <w:t>of the Bill</w:t>
      </w:r>
      <w:r>
        <w:t>.</w:t>
      </w:r>
    </w:p>
    <w:p w14:paraId="0D19F893" w14:textId="77777777" w:rsidR="00331DEE" w:rsidRDefault="004924EA" w:rsidP="00631419">
      <w:pPr>
        <w:spacing w:before="160" w:after="160"/>
        <w:jc w:val="both"/>
      </w:pPr>
      <w:r>
        <w:t>The Bill was referred to the</w:t>
      </w:r>
      <w:r w:rsidR="00FB60E0">
        <w:t xml:space="preserve"> Standing Committee on Uniform Legislation and Statutes Review</w:t>
      </w:r>
      <w:r w:rsidR="00367432">
        <w:t xml:space="preserve">. The report of the Standing Committee can be found </w:t>
      </w:r>
      <w:hyperlink r:id="rId19" w:history="1">
        <w:r w:rsidR="00367432" w:rsidRPr="00C2631A">
          <w:rPr>
            <w:rStyle w:val="Hyperlink"/>
          </w:rPr>
          <w:t>here</w:t>
        </w:r>
      </w:hyperlink>
      <w:r w:rsidR="00367432">
        <w:t>.</w:t>
      </w:r>
      <w:r w:rsidR="00FB60E0">
        <w:t xml:space="preserve"> </w:t>
      </w:r>
    </w:p>
    <w:p w14:paraId="3861C9F6" w14:textId="77777777" w:rsidR="008E4EAB" w:rsidRDefault="0016115F" w:rsidP="00631419">
      <w:pPr>
        <w:spacing w:before="160" w:after="160"/>
        <w:jc w:val="both"/>
      </w:pPr>
      <w:r>
        <w:t xml:space="preserve">The Western Australian </w:t>
      </w:r>
      <w:r w:rsidRPr="00EB7E22">
        <w:rPr>
          <w:i/>
        </w:rPr>
        <w:t>Food Act 2008</w:t>
      </w:r>
      <w:r>
        <w:t xml:space="preserve"> came into effe</w:t>
      </w:r>
      <w:r w:rsidR="00AF387B">
        <w:t xml:space="preserve">ct in </w:t>
      </w:r>
      <w:r>
        <w:t>2009</w:t>
      </w:r>
      <w:r w:rsidR="0024642B">
        <w:t>.</w:t>
      </w:r>
      <w:r w:rsidR="00EB7E22">
        <w:t xml:space="preserve"> During that time the provisions have been applied to all food businesses and </w:t>
      </w:r>
      <w:r w:rsidR="00496749">
        <w:t>specific</w:t>
      </w:r>
      <w:r w:rsidR="00EB7E22">
        <w:t xml:space="preserve"> primary production and processing activities.  </w:t>
      </w:r>
      <w:r w:rsidR="00496749">
        <w:t>T</w:t>
      </w:r>
      <w:r w:rsidR="008E4EAB" w:rsidRPr="008E4EAB">
        <w:t xml:space="preserve">he administration and enforcement of </w:t>
      </w:r>
      <w:r w:rsidR="00496749">
        <w:t>the Act is carried out by the Department of Health and Local Government</w:t>
      </w:r>
      <w:r w:rsidR="008E4EAB" w:rsidRPr="008E4EAB">
        <w:t xml:space="preserve"> </w:t>
      </w:r>
      <w:r w:rsidR="00496749">
        <w:t xml:space="preserve">agencies. </w:t>
      </w:r>
    </w:p>
    <w:p w14:paraId="1A8DC2CD" w14:textId="77777777" w:rsidR="003806F4" w:rsidRDefault="00BA7E85" w:rsidP="00C2631A">
      <w:pPr>
        <w:pStyle w:val="CommentText"/>
      </w:pPr>
      <w:r w:rsidRPr="006F21D0">
        <w:rPr>
          <w:sz w:val="24"/>
          <w:szCs w:val="24"/>
        </w:rPr>
        <w:t xml:space="preserve">The </w:t>
      </w:r>
      <w:r w:rsidRPr="0096131C">
        <w:rPr>
          <w:i/>
          <w:sz w:val="24"/>
          <w:szCs w:val="24"/>
        </w:rPr>
        <w:t>Food Act 2008</w:t>
      </w:r>
      <w:r w:rsidRPr="006F21D0">
        <w:rPr>
          <w:sz w:val="24"/>
          <w:szCs w:val="24"/>
        </w:rPr>
        <w:t xml:space="preserve"> can be located </w:t>
      </w:r>
      <w:hyperlink r:id="rId20" w:history="1">
        <w:r w:rsidRPr="00C2631A">
          <w:rPr>
            <w:rStyle w:val="Hyperlink"/>
            <w:szCs w:val="24"/>
          </w:rPr>
          <w:t>here</w:t>
        </w:r>
      </w:hyperlink>
      <w:r w:rsidR="002F201A">
        <w:t>.</w:t>
      </w:r>
      <w:r w:rsidR="003806F4">
        <w:t xml:space="preserve"> </w:t>
      </w:r>
    </w:p>
    <w:p w14:paraId="4B77038B" w14:textId="77777777" w:rsidR="003806F4" w:rsidRDefault="003806F4">
      <w:pPr>
        <w:spacing w:after="0"/>
        <w:rPr>
          <w:highlight w:val="lightGray"/>
        </w:rPr>
      </w:pPr>
      <w:bookmarkStart w:id="18" w:name="_Toc84422023"/>
      <w:bookmarkStart w:id="19" w:name="_Toc84422174"/>
    </w:p>
    <w:p w14:paraId="2FCFD9DE" w14:textId="77777777" w:rsidR="003806F4" w:rsidRDefault="003806F4">
      <w:pPr>
        <w:spacing w:after="0"/>
        <w:rPr>
          <w:highlight w:val="lightGray"/>
        </w:rPr>
      </w:pPr>
      <w:r>
        <w:rPr>
          <w:highlight w:val="lightGray"/>
        </w:rPr>
        <w:br w:type="page"/>
      </w:r>
    </w:p>
    <w:p w14:paraId="53E5E27A" w14:textId="77777777" w:rsidR="00BF4BD6" w:rsidRPr="00364995" w:rsidRDefault="00BF4BD6" w:rsidP="00364995">
      <w:pPr>
        <w:rPr>
          <w:b/>
          <w:i/>
        </w:rPr>
      </w:pPr>
      <w:r w:rsidRPr="00364995">
        <w:rPr>
          <w:b/>
          <w:i/>
        </w:rPr>
        <w:lastRenderedPageBreak/>
        <w:t>Food Act 2008</w:t>
      </w:r>
      <w:bookmarkEnd w:id="18"/>
      <w:bookmarkEnd w:id="19"/>
      <w:r w:rsidRPr="00364995">
        <w:rPr>
          <w:b/>
          <w:i/>
        </w:rPr>
        <w:t xml:space="preserve"> </w:t>
      </w:r>
    </w:p>
    <w:p w14:paraId="352E5171" w14:textId="77777777" w:rsidR="00B33449" w:rsidRDefault="006B2FD9" w:rsidP="002F201A">
      <w:pPr>
        <w:spacing w:before="160" w:after="160"/>
        <w:jc w:val="both"/>
      </w:pPr>
      <w:r>
        <w:rPr>
          <w:noProof/>
        </w:rPr>
        <w:drawing>
          <wp:inline distT="0" distB="0" distL="0" distR="0" wp14:anchorId="37AF9EF3" wp14:editId="677196DC">
            <wp:extent cx="6477000" cy="7429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7000" cy="7429500"/>
                    </a:xfrm>
                    <a:prstGeom prst="rect">
                      <a:avLst/>
                    </a:prstGeom>
                    <a:noFill/>
                    <a:ln>
                      <a:noFill/>
                    </a:ln>
                  </pic:spPr>
                </pic:pic>
              </a:graphicData>
            </a:graphic>
          </wp:inline>
        </w:drawing>
      </w:r>
    </w:p>
    <w:p w14:paraId="4CF71DD6" w14:textId="77777777" w:rsidR="007E5104" w:rsidRDefault="007E5104" w:rsidP="007E5104">
      <w:pPr>
        <w:spacing w:after="0"/>
        <w:jc w:val="both"/>
      </w:pPr>
    </w:p>
    <w:p w14:paraId="3F408704" w14:textId="77777777" w:rsidR="007E5104" w:rsidRDefault="007E5104" w:rsidP="007E5104">
      <w:pPr>
        <w:spacing w:after="0"/>
        <w:jc w:val="both"/>
      </w:pPr>
      <w:r>
        <w:t xml:space="preserve"> [Note that Part 13 was omitted under the </w:t>
      </w:r>
      <w:r w:rsidRPr="00D21C8E">
        <w:rPr>
          <w:i/>
        </w:rPr>
        <w:t>Reprints Act 1984</w:t>
      </w:r>
      <w:r>
        <w:t xml:space="preserve"> section 7(4)(e).]</w:t>
      </w:r>
    </w:p>
    <w:p w14:paraId="298869FD" w14:textId="77777777" w:rsidR="00E66641" w:rsidRDefault="00E66641" w:rsidP="002F201A">
      <w:pPr>
        <w:spacing w:before="160" w:after="160"/>
        <w:jc w:val="both"/>
      </w:pPr>
    </w:p>
    <w:p w14:paraId="7156D7F6" w14:textId="77777777" w:rsidR="00E66641" w:rsidRDefault="00E66641" w:rsidP="002F201A">
      <w:pPr>
        <w:spacing w:before="160" w:after="160"/>
        <w:jc w:val="both"/>
      </w:pPr>
    </w:p>
    <w:p w14:paraId="2BA7FC64" w14:textId="77777777" w:rsidR="00E66641" w:rsidRDefault="00E66641" w:rsidP="002F201A">
      <w:pPr>
        <w:spacing w:before="160" w:after="160"/>
        <w:jc w:val="both"/>
      </w:pPr>
    </w:p>
    <w:p w14:paraId="668A6443" w14:textId="77777777" w:rsidR="00B33449" w:rsidRPr="006F21D0" w:rsidRDefault="00B33449" w:rsidP="00336F3B">
      <w:pPr>
        <w:shd w:val="clear" w:color="auto" w:fill="095489" w:themeFill="accent1"/>
        <w:rPr>
          <w:color w:val="FFFFFF" w:themeColor="background1"/>
          <w:sz w:val="28"/>
          <w:szCs w:val="28"/>
        </w:rPr>
      </w:pPr>
      <w:r w:rsidRPr="006F21D0">
        <w:rPr>
          <w:color w:val="FFFFFF" w:themeColor="background1"/>
          <w:sz w:val="28"/>
          <w:szCs w:val="28"/>
        </w:rPr>
        <w:lastRenderedPageBreak/>
        <w:t xml:space="preserve">Questions  </w:t>
      </w:r>
    </w:p>
    <w:p w14:paraId="663559AB" w14:textId="77777777" w:rsidR="00B33449" w:rsidRPr="006F21D0" w:rsidRDefault="00E66641" w:rsidP="00F124A5">
      <w:pPr>
        <w:shd w:val="clear" w:color="auto" w:fill="095489" w:themeFill="accent1"/>
        <w:spacing w:before="160" w:after="160"/>
        <w:ind w:left="630" w:hanging="630"/>
        <w:rPr>
          <w:color w:val="FFFFFF" w:themeColor="background1"/>
          <w:sz w:val="28"/>
          <w:szCs w:val="28"/>
        </w:rPr>
      </w:pPr>
      <w:r>
        <w:rPr>
          <w:color w:val="FFFFFF" w:themeColor="background1"/>
          <w:sz w:val="28"/>
          <w:szCs w:val="28"/>
        </w:rPr>
        <w:t xml:space="preserve">1.  </w:t>
      </w:r>
      <w:r w:rsidR="00A8541D">
        <w:rPr>
          <w:color w:val="FFFFFF" w:themeColor="background1"/>
          <w:sz w:val="28"/>
          <w:szCs w:val="28"/>
        </w:rPr>
        <w:t>What is working well with the Act</w:t>
      </w:r>
      <w:r w:rsidR="00B33449" w:rsidRPr="006F21D0">
        <w:rPr>
          <w:color w:val="FFFFFF" w:themeColor="background1"/>
          <w:sz w:val="28"/>
          <w:szCs w:val="28"/>
        </w:rPr>
        <w:t>?</w:t>
      </w:r>
    </w:p>
    <w:p w14:paraId="27BDF493" w14:textId="77777777" w:rsidR="00B33449" w:rsidRPr="006F21D0" w:rsidRDefault="00E66641" w:rsidP="00F124A5">
      <w:pPr>
        <w:shd w:val="clear" w:color="auto" w:fill="095489" w:themeFill="accent1"/>
        <w:spacing w:before="160" w:after="160"/>
        <w:ind w:left="567" w:hanging="567"/>
        <w:rPr>
          <w:color w:val="FFFFFF" w:themeColor="background1"/>
          <w:sz w:val="28"/>
          <w:szCs w:val="28"/>
        </w:rPr>
      </w:pPr>
      <w:r>
        <w:rPr>
          <w:color w:val="FFFFFF" w:themeColor="background1"/>
          <w:sz w:val="28"/>
          <w:szCs w:val="28"/>
        </w:rPr>
        <w:t xml:space="preserve">2. </w:t>
      </w:r>
      <w:r w:rsidR="006563E6">
        <w:rPr>
          <w:color w:val="FFFFFF" w:themeColor="background1"/>
          <w:sz w:val="28"/>
          <w:szCs w:val="28"/>
        </w:rPr>
        <w:t xml:space="preserve"> </w:t>
      </w:r>
      <w:r w:rsidR="003E754F">
        <w:rPr>
          <w:color w:val="FFFFFF" w:themeColor="background1"/>
          <w:sz w:val="28"/>
          <w:szCs w:val="28"/>
        </w:rPr>
        <w:t>What, if any, changes should be made to the</w:t>
      </w:r>
      <w:r w:rsidR="00F337D5">
        <w:rPr>
          <w:color w:val="FFFFFF" w:themeColor="background1"/>
          <w:sz w:val="28"/>
          <w:szCs w:val="28"/>
        </w:rPr>
        <w:t xml:space="preserve"> Act</w:t>
      </w:r>
      <w:r w:rsidR="00B50C53">
        <w:rPr>
          <w:color w:val="FFFFFF" w:themeColor="background1"/>
          <w:sz w:val="28"/>
          <w:szCs w:val="28"/>
        </w:rPr>
        <w:t>?</w:t>
      </w:r>
      <w:r w:rsidR="003E754F">
        <w:rPr>
          <w:color w:val="FFFFFF" w:themeColor="background1"/>
          <w:sz w:val="28"/>
          <w:szCs w:val="28"/>
        </w:rPr>
        <w:t xml:space="preserve"> </w:t>
      </w:r>
    </w:p>
    <w:p w14:paraId="3D5C841E" w14:textId="77777777" w:rsidR="006F21D0" w:rsidRDefault="006563E6" w:rsidP="00F124A5">
      <w:pPr>
        <w:shd w:val="clear" w:color="auto" w:fill="095489" w:themeFill="accent1"/>
        <w:spacing w:before="160" w:after="160"/>
        <w:ind w:left="567" w:hanging="567"/>
        <w:rPr>
          <w:color w:val="FFFFFF" w:themeColor="background1"/>
          <w:sz w:val="28"/>
          <w:szCs w:val="28"/>
        </w:rPr>
      </w:pPr>
      <w:r>
        <w:rPr>
          <w:color w:val="FFFFFF" w:themeColor="background1"/>
          <w:sz w:val="28"/>
          <w:szCs w:val="28"/>
        </w:rPr>
        <w:t xml:space="preserve"> </w:t>
      </w:r>
      <w:r w:rsidR="00853B43">
        <w:rPr>
          <w:color w:val="FFFFFF" w:themeColor="background1"/>
          <w:sz w:val="28"/>
          <w:szCs w:val="28"/>
        </w:rPr>
        <w:t xml:space="preserve">      </w:t>
      </w:r>
      <w:r w:rsidR="00B33449" w:rsidRPr="006F21D0">
        <w:rPr>
          <w:color w:val="FFFFFF" w:themeColor="background1"/>
          <w:sz w:val="28"/>
          <w:szCs w:val="28"/>
        </w:rPr>
        <w:t>If you have suggested improvements</w:t>
      </w:r>
      <w:r w:rsidR="00063D1E">
        <w:rPr>
          <w:color w:val="FFFFFF" w:themeColor="background1"/>
          <w:sz w:val="28"/>
          <w:szCs w:val="28"/>
        </w:rPr>
        <w:t xml:space="preserve"> please include</w:t>
      </w:r>
      <w:r w:rsidR="00B33449" w:rsidRPr="006F21D0">
        <w:rPr>
          <w:color w:val="FFFFFF" w:themeColor="background1"/>
          <w:sz w:val="28"/>
          <w:szCs w:val="28"/>
        </w:rPr>
        <w:t xml:space="preserve"> any examples </w:t>
      </w:r>
      <w:r w:rsidR="00D46857">
        <w:rPr>
          <w:color w:val="FFFFFF" w:themeColor="background1"/>
          <w:sz w:val="28"/>
          <w:szCs w:val="28"/>
        </w:rPr>
        <w:t>and</w:t>
      </w:r>
      <w:r w:rsidR="00B33449" w:rsidRPr="006F21D0">
        <w:rPr>
          <w:color w:val="FFFFFF" w:themeColor="background1"/>
          <w:sz w:val="28"/>
          <w:szCs w:val="28"/>
        </w:rPr>
        <w:t xml:space="preserve"> studies </w:t>
      </w:r>
      <w:r w:rsidR="00D46857">
        <w:rPr>
          <w:color w:val="FFFFFF" w:themeColor="background1"/>
          <w:sz w:val="28"/>
          <w:szCs w:val="28"/>
        </w:rPr>
        <w:t>that</w:t>
      </w:r>
      <w:r w:rsidR="00B33449" w:rsidRPr="006F21D0">
        <w:rPr>
          <w:color w:val="FFFFFF" w:themeColor="background1"/>
          <w:sz w:val="28"/>
          <w:szCs w:val="28"/>
        </w:rPr>
        <w:t xml:space="preserve"> support your suggestions</w:t>
      </w:r>
      <w:r w:rsidR="00063D1E">
        <w:rPr>
          <w:color w:val="FFFFFF" w:themeColor="background1"/>
          <w:sz w:val="28"/>
          <w:szCs w:val="28"/>
        </w:rPr>
        <w:t>.</w:t>
      </w:r>
    </w:p>
    <w:p w14:paraId="21454F23" w14:textId="77777777" w:rsidR="00F337D5" w:rsidRPr="006F21D0" w:rsidRDefault="00F337D5" w:rsidP="00F124A5">
      <w:pPr>
        <w:shd w:val="clear" w:color="auto" w:fill="095489" w:themeFill="accent1"/>
        <w:spacing w:before="160" w:after="160"/>
        <w:ind w:left="567" w:hanging="567"/>
        <w:rPr>
          <w:color w:val="FFFFFF" w:themeColor="background1"/>
          <w:sz w:val="28"/>
          <w:szCs w:val="28"/>
        </w:rPr>
      </w:pPr>
    </w:p>
    <w:p w14:paraId="7AF9BC31" w14:textId="77777777" w:rsidR="008C4430" w:rsidRDefault="008C4430" w:rsidP="000C46CB">
      <w:pPr>
        <w:pStyle w:val="Heading1"/>
        <w:spacing w:before="160" w:after="160"/>
        <w:ind w:left="851" w:hanging="851"/>
      </w:pPr>
      <w:bookmarkStart w:id="20" w:name="_Toc84422188"/>
      <w:bookmarkStart w:id="21" w:name="_Toc84422189"/>
      <w:bookmarkStart w:id="22" w:name="_Toc84422190"/>
      <w:bookmarkStart w:id="23" w:name="_Toc84422191"/>
      <w:bookmarkStart w:id="24" w:name="_Toc84422192"/>
      <w:bookmarkStart w:id="25" w:name="_Toc84422193"/>
      <w:bookmarkStart w:id="26" w:name="_Toc84422194"/>
      <w:bookmarkStart w:id="27" w:name="_Toc84422195"/>
      <w:bookmarkStart w:id="28" w:name="_Toc84422196"/>
      <w:bookmarkStart w:id="29" w:name="_Toc84422038"/>
      <w:bookmarkStart w:id="30" w:name="_Toc84422198"/>
      <w:bookmarkStart w:id="31" w:name="_Toc88124678"/>
      <w:bookmarkEnd w:id="20"/>
      <w:bookmarkEnd w:id="21"/>
      <w:bookmarkEnd w:id="22"/>
      <w:bookmarkEnd w:id="23"/>
      <w:bookmarkEnd w:id="24"/>
      <w:bookmarkEnd w:id="25"/>
      <w:bookmarkEnd w:id="26"/>
      <w:bookmarkEnd w:id="27"/>
      <w:bookmarkEnd w:id="28"/>
      <w:r>
        <w:t>How to make a submission</w:t>
      </w:r>
      <w:bookmarkEnd w:id="29"/>
      <w:bookmarkEnd w:id="30"/>
      <w:bookmarkEnd w:id="31"/>
    </w:p>
    <w:p w14:paraId="59B592C5" w14:textId="77777777" w:rsidR="007C297E" w:rsidRDefault="00BD0744" w:rsidP="002F201A">
      <w:pPr>
        <w:spacing w:before="160" w:after="160"/>
        <w:jc w:val="both"/>
        <w:rPr>
          <w:szCs w:val="24"/>
        </w:rPr>
      </w:pPr>
      <w:bookmarkStart w:id="32" w:name="_Hlk87516643"/>
      <w:r w:rsidRPr="000325B5">
        <w:rPr>
          <w:szCs w:val="24"/>
        </w:rPr>
        <w:t>Written submissions are invited from interested persons</w:t>
      </w:r>
      <w:r w:rsidR="003A219A">
        <w:rPr>
          <w:szCs w:val="24"/>
        </w:rPr>
        <w:t>,</w:t>
      </w:r>
      <w:r w:rsidRPr="000325B5">
        <w:rPr>
          <w:szCs w:val="24"/>
        </w:rPr>
        <w:t xml:space="preserve"> organisations</w:t>
      </w:r>
      <w:r w:rsidR="003A219A">
        <w:rPr>
          <w:szCs w:val="24"/>
        </w:rPr>
        <w:t>, and local government</w:t>
      </w:r>
      <w:r w:rsidR="007C297E">
        <w:rPr>
          <w:szCs w:val="24"/>
        </w:rPr>
        <w:t xml:space="preserve">. </w:t>
      </w:r>
      <w:r w:rsidR="003A219A" w:rsidRPr="00614ED3">
        <w:rPr>
          <w:rFonts w:asciiTheme="minorHAnsi" w:hAnsiTheme="minorHAnsi" w:cstheme="minorHAnsi"/>
          <w:b/>
          <w:szCs w:val="24"/>
        </w:rPr>
        <w:t xml:space="preserve">For those working in local government, please ensure that your submission is Council endorsed.   </w:t>
      </w:r>
      <w:r w:rsidR="000F2159">
        <w:rPr>
          <w:rFonts w:asciiTheme="minorHAnsi" w:hAnsiTheme="minorHAnsi" w:cstheme="minorHAnsi"/>
          <w:b/>
          <w:szCs w:val="24"/>
        </w:rPr>
        <w:t xml:space="preserve">If you are responding on behalf of an organisation, please ensure </w:t>
      </w:r>
      <w:r w:rsidR="00111D07">
        <w:rPr>
          <w:rFonts w:asciiTheme="minorHAnsi" w:hAnsiTheme="minorHAnsi" w:cstheme="minorHAnsi"/>
          <w:b/>
          <w:szCs w:val="24"/>
        </w:rPr>
        <w:t>the</w:t>
      </w:r>
      <w:r w:rsidR="000F2159">
        <w:rPr>
          <w:rFonts w:asciiTheme="minorHAnsi" w:hAnsiTheme="minorHAnsi" w:cstheme="minorHAnsi"/>
          <w:b/>
          <w:szCs w:val="24"/>
        </w:rPr>
        <w:t xml:space="preserve"> submission has </w:t>
      </w:r>
      <w:r w:rsidR="00111D07">
        <w:rPr>
          <w:rFonts w:asciiTheme="minorHAnsi" w:hAnsiTheme="minorHAnsi" w:cstheme="minorHAnsi"/>
          <w:b/>
          <w:szCs w:val="24"/>
        </w:rPr>
        <w:t>your</w:t>
      </w:r>
      <w:r w:rsidR="000F2159">
        <w:rPr>
          <w:rFonts w:asciiTheme="minorHAnsi" w:hAnsiTheme="minorHAnsi" w:cstheme="minorHAnsi"/>
          <w:b/>
          <w:szCs w:val="24"/>
        </w:rPr>
        <w:t xml:space="preserve"> </w:t>
      </w:r>
      <w:r w:rsidR="00FB6BD7">
        <w:rPr>
          <w:rFonts w:asciiTheme="minorHAnsi" w:hAnsiTheme="minorHAnsi" w:cstheme="minorHAnsi"/>
          <w:b/>
          <w:szCs w:val="24"/>
        </w:rPr>
        <w:t xml:space="preserve">organisation’s </w:t>
      </w:r>
      <w:r w:rsidR="000F2159">
        <w:rPr>
          <w:rFonts w:asciiTheme="minorHAnsi" w:hAnsiTheme="minorHAnsi" w:cstheme="minorHAnsi"/>
          <w:b/>
          <w:szCs w:val="24"/>
        </w:rPr>
        <w:t xml:space="preserve">endorsement and </w:t>
      </w:r>
      <w:r w:rsidR="00FB6BD7">
        <w:rPr>
          <w:rFonts w:asciiTheme="minorHAnsi" w:hAnsiTheme="minorHAnsi" w:cstheme="minorHAnsi"/>
          <w:b/>
          <w:szCs w:val="24"/>
        </w:rPr>
        <w:t xml:space="preserve">authorisation.  Please allow time for the approval process </w:t>
      </w:r>
      <w:r w:rsidR="00540FD9">
        <w:rPr>
          <w:rFonts w:asciiTheme="minorHAnsi" w:hAnsiTheme="minorHAnsi" w:cstheme="minorHAnsi"/>
          <w:b/>
          <w:szCs w:val="24"/>
        </w:rPr>
        <w:t xml:space="preserve">of </w:t>
      </w:r>
      <w:r w:rsidR="00FB6BD7">
        <w:rPr>
          <w:rFonts w:asciiTheme="minorHAnsi" w:hAnsiTheme="minorHAnsi" w:cstheme="minorHAnsi"/>
          <w:b/>
          <w:szCs w:val="24"/>
        </w:rPr>
        <w:t xml:space="preserve">your organisation before the submission deadline. </w:t>
      </w:r>
    </w:p>
    <w:bookmarkEnd w:id="32"/>
    <w:p w14:paraId="25CC69DB" w14:textId="77777777" w:rsidR="00BD0744" w:rsidRDefault="007C297E" w:rsidP="002F201A">
      <w:pPr>
        <w:spacing w:before="160" w:after="160"/>
        <w:jc w:val="both"/>
        <w:rPr>
          <w:szCs w:val="24"/>
        </w:rPr>
      </w:pPr>
      <w:r>
        <w:rPr>
          <w:szCs w:val="24"/>
        </w:rPr>
        <w:t>Any</w:t>
      </w:r>
      <w:r w:rsidR="00BD0744" w:rsidRPr="000325B5">
        <w:rPr>
          <w:szCs w:val="24"/>
        </w:rPr>
        <w:t xml:space="preserve"> relevant </w:t>
      </w:r>
      <w:r w:rsidR="00BD0744" w:rsidRPr="002F201A">
        <w:t>evidence</w:t>
      </w:r>
      <w:r w:rsidR="00BD0744" w:rsidRPr="000325B5">
        <w:rPr>
          <w:szCs w:val="24"/>
        </w:rPr>
        <w:t xml:space="preserve">-based research or studies that inform your submission are welcomed.  </w:t>
      </w:r>
    </w:p>
    <w:p w14:paraId="2E05CBAE" w14:textId="77777777" w:rsidR="003A219A" w:rsidRDefault="003A219A" w:rsidP="003A219A">
      <w:pPr>
        <w:spacing w:before="160" w:after="160"/>
        <w:jc w:val="both"/>
        <w:rPr>
          <w:b/>
        </w:rPr>
      </w:pPr>
      <w:r>
        <w:rPr>
          <w:b/>
        </w:rPr>
        <w:t>Written s</w:t>
      </w:r>
      <w:r w:rsidRPr="00BF78FB">
        <w:rPr>
          <w:b/>
        </w:rPr>
        <w:t>ubmissions can address any aspect of the Act and you are not required to com</w:t>
      </w:r>
      <w:r>
        <w:rPr>
          <w:b/>
        </w:rPr>
        <w:t>ment on</w:t>
      </w:r>
      <w:r w:rsidRPr="00BF78FB">
        <w:rPr>
          <w:b/>
        </w:rPr>
        <w:t xml:space="preserve"> all </w:t>
      </w:r>
      <w:r w:rsidR="006E6964">
        <w:rPr>
          <w:b/>
        </w:rPr>
        <w:t>parts of the Act</w:t>
      </w:r>
      <w:r w:rsidRPr="00BF78FB">
        <w:rPr>
          <w:b/>
        </w:rPr>
        <w:t>.</w:t>
      </w:r>
      <w:r>
        <w:rPr>
          <w:b/>
        </w:rPr>
        <w:t xml:space="preserve"> </w:t>
      </w:r>
    </w:p>
    <w:p w14:paraId="2F6392E0" w14:textId="77777777" w:rsidR="00BD0744" w:rsidRDefault="003A219A" w:rsidP="003A219A">
      <w:pPr>
        <w:jc w:val="both"/>
      </w:pPr>
      <w:r w:rsidRPr="003A219A">
        <w:rPr>
          <w:szCs w:val="24"/>
        </w:rPr>
        <w:t>Y</w:t>
      </w:r>
      <w:r w:rsidR="00BD0744" w:rsidRPr="003A219A">
        <w:t>our submission will be part of a public consultation process and it may be quoted in the final</w:t>
      </w:r>
      <w:r w:rsidR="00BD0744">
        <w:t xml:space="preserve"> report</w:t>
      </w:r>
      <w:r>
        <w:t>.</w:t>
      </w:r>
      <w:r w:rsidR="00BD0744">
        <w:t xml:space="preserve"> Individuals or organisations who wish their comments to be treated confidentially should indicate this on their submission. Please note submissions may be subject to release under the </w:t>
      </w:r>
      <w:r w:rsidR="00BD0744" w:rsidRPr="00955BA3">
        <w:rPr>
          <w:i/>
        </w:rPr>
        <w:t>Freedom of Information Act</w:t>
      </w:r>
      <w:r w:rsidR="00BD0744">
        <w:t xml:space="preserve"> </w:t>
      </w:r>
      <w:r w:rsidR="00BD0744" w:rsidRPr="00675C3D">
        <w:rPr>
          <w:i/>
          <w:iCs/>
        </w:rPr>
        <w:t>1992</w:t>
      </w:r>
      <w:r w:rsidR="00BD0744">
        <w:t>.</w:t>
      </w:r>
    </w:p>
    <w:p w14:paraId="1A066BDA" w14:textId="77777777" w:rsidR="00675C3D" w:rsidRDefault="00C579AF" w:rsidP="00450CCD">
      <w:pPr>
        <w:spacing w:before="160" w:after="160"/>
        <w:jc w:val="both"/>
      </w:pPr>
      <w:r>
        <w:t>Anonymous submissions will not be accepted.</w:t>
      </w:r>
      <w:r w:rsidR="006A6FEB">
        <w:t xml:space="preserve"> Submissions that address matters outside the scope of this Review will not be accepted.</w:t>
      </w:r>
    </w:p>
    <w:p w14:paraId="036440D2" w14:textId="77777777" w:rsidR="00C579AF" w:rsidRDefault="00C579AF" w:rsidP="002F201A">
      <w:pPr>
        <w:spacing w:before="160" w:after="160"/>
        <w:jc w:val="both"/>
      </w:pPr>
      <w:r>
        <w:t>Submission</w:t>
      </w:r>
      <w:r w:rsidR="001C2509">
        <w:t>s</w:t>
      </w:r>
      <w:r>
        <w:t xml:space="preserve"> </w:t>
      </w:r>
      <w:r w:rsidR="00134996">
        <w:t>can</w:t>
      </w:r>
      <w:r>
        <w:t xml:space="preserve"> be </w:t>
      </w:r>
      <w:r w:rsidR="006115C0">
        <w:t>made</w:t>
      </w:r>
      <w:r w:rsidR="001C2509">
        <w:t xml:space="preserve"> </w:t>
      </w:r>
      <w:r w:rsidR="00134996">
        <w:t xml:space="preserve"> </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639"/>
      </w:tblGrid>
      <w:tr w:rsidR="00C579AF" w:rsidRPr="00675C3D" w14:paraId="7BDE31C4" w14:textId="77777777" w:rsidTr="006115C0">
        <w:tc>
          <w:tcPr>
            <w:tcW w:w="1555" w:type="dxa"/>
          </w:tcPr>
          <w:p w14:paraId="38177BBA" w14:textId="77777777" w:rsidR="00C579AF" w:rsidRPr="00675C3D" w:rsidRDefault="00C579AF" w:rsidP="007A1B22">
            <w:pPr>
              <w:jc w:val="both"/>
              <w:rPr>
                <w:b/>
                <w:color w:val="095489" w:themeColor="accent1"/>
                <w:szCs w:val="24"/>
              </w:rPr>
            </w:pPr>
            <w:r w:rsidRPr="00675C3D">
              <w:rPr>
                <w:b/>
                <w:color w:val="095489" w:themeColor="accent1"/>
                <w:szCs w:val="24"/>
              </w:rPr>
              <w:t>Online</w:t>
            </w:r>
          </w:p>
        </w:tc>
        <w:tc>
          <w:tcPr>
            <w:tcW w:w="8639" w:type="dxa"/>
          </w:tcPr>
          <w:p w14:paraId="77F25453" w14:textId="73E46DB7" w:rsidR="00C579AF" w:rsidRPr="00675C3D" w:rsidRDefault="00C579AF" w:rsidP="007A1B22">
            <w:pPr>
              <w:jc w:val="both"/>
              <w:rPr>
                <w:color w:val="063E66" w:themeColor="accent1" w:themeShade="BF"/>
                <w:szCs w:val="24"/>
              </w:rPr>
            </w:pPr>
            <w:r w:rsidRPr="00675C3D">
              <w:rPr>
                <w:color w:val="063E66" w:themeColor="accent1" w:themeShade="BF"/>
                <w:szCs w:val="24"/>
              </w:rPr>
              <w:t xml:space="preserve">Complete </w:t>
            </w:r>
            <w:r w:rsidR="00781496">
              <w:rPr>
                <w:color w:val="063E66" w:themeColor="accent1" w:themeShade="BF"/>
                <w:szCs w:val="24"/>
              </w:rPr>
              <w:t xml:space="preserve">the Food Act Review </w:t>
            </w:r>
            <w:r w:rsidR="004F737E">
              <w:rPr>
                <w:color w:val="063E66" w:themeColor="accent1" w:themeShade="BF"/>
                <w:szCs w:val="24"/>
              </w:rPr>
              <w:t>comments section o</w:t>
            </w:r>
            <w:r w:rsidR="00781496">
              <w:rPr>
                <w:color w:val="063E66" w:themeColor="accent1" w:themeShade="BF"/>
                <w:szCs w:val="24"/>
              </w:rPr>
              <w:t>n</w:t>
            </w:r>
            <w:r w:rsidR="004F737E">
              <w:rPr>
                <w:color w:val="063E66" w:themeColor="accent1" w:themeShade="BF"/>
                <w:szCs w:val="24"/>
              </w:rPr>
              <w:t xml:space="preserve"> the </w:t>
            </w:r>
            <w:hyperlink r:id="rId22" w:history="1">
              <w:r w:rsidRPr="00CC4002">
                <w:rPr>
                  <w:rStyle w:val="Hyperlink"/>
                  <w:szCs w:val="24"/>
                </w:rPr>
                <w:t>Consultation Hub</w:t>
              </w:r>
            </w:hyperlink>
            <w:r w:rsidR="0032364F">
              <w:rPr>
                <w:color w:val="063E66" w:themeColor="accent1" w:themeShade="BF"/>
                <w:szCs w:val="24"/>
              </w:rPr>
              <w:t xml:space="preserve"> </w:t>
            </w:r>
          </w:p>
          <w:p w14:paraId="2699F87A" w14:textId="77777777" w:rsidR="00C579AF" w:rsidRPr="00675C3D" w:rsidRDefault="00C579AF" w:rsidP="007A1B22">
            <w:pPr>
              <w:jc w:val="both"/>
              <w:rPr>
                <w:color w:val="063E66" w:themeColor="accent1" w:themeShade="BF"/>
                <w:szCs w:val="24"/>
              </w:rPr>
            </w:pPr>
          </w:p>
        </w:tc>
      </w:tr>
      <w:tr w:rsidR="00C579AF" w:rsidRPr="00675C3D" w14:paraId="078743D9" w14:textId="77777777" w:rsidTr="006115C0">
        <w:tc>
          <w:tcPr>
            <w:tcW w:w="1555" w:type="dxa"/>
          </w:tcPr>
          <w:p w14:paraId="1628170E" w14:textId="77777777" w:rsidR="00C579AF" w:rsidRPr="00675C3D" w:rsidRDefault="00C579AF" w:rsidP="00955BA3">
            <w:pPr>
              <w:jc w:val="both"/>
              <w:rPr>
                <w:b/>
                <w:color w:val="095489" w:themeColor="accent1"/>
                <w:szCs w:val="24"/>
              </w:rPr>
            </w:pPr>
            <w:r w:rsidRPr="00675C3D">
              <w:rPr>
                <w:b/>
                <w:color w:val="095489" w:themeColor="accent1"/>
                <w:szCs w:val="24"/>
              </w:rPr>
              <w:t>Email</w:t>
            </w:r>
          </w:p>
        </w:tc>
        <w:tc>
          <w:tcPr>
            <w:tcW w:w="8639" w:type="dxa"/>
          </w:tcPr>
          <w:p w14:paraId="1B092877" w14:textId="77777777" w:rsidR="00C579AF" w:rsidRPr="00675C3D" w:rsidRDefault="0004505E" w:rsidP="00955BA3">
            <w:pPr>
              <w:spacing w:after="0"/>
              <w:jc w:val="both"/>
              <w:rPr>
                <w:color w:val="063E66" w:themeColor="accent1" w:themeShade="BF"/>
                <w:szCs w:val="24"/>
              </w:rPr>
            </w:pPr>
            <w:r>
              <w:rPr>
                <w:color w:val="063E66" w:themeColor="accent1" w:themeShade="BF"/>
                <w:szCs w:val="24"/>
              </w:rPr>
              <w:t xml:space="preserve">Submit your </w:t>
            </w:r>
            <w:r w:rsidR="00C579AF" w:rsidRPr="00675C3D">
              <w:rPr>
                <w:color w:val="063E66" w:themeColor="accent1" w:themeShade="BF"/>
                <w:szCs w:val="24"/>
              </w:rPr>
              <w:t xml:space="preserve">written response and email to  </w:t>
            </w:r>
          </w:p>
          <w:p w14:paraId="49620F6F" w14:textId="77777777" w:rsidR="00C579AF" w:rsidRPr="00675C3D" w:rsidRDefault="00CC4002" w:rsidP="00955BA3">
            <w:pPr>
              <w:spacing w:after="0"/>
              <w:jc w:val="both"/>
              <w:rPr>
                <w:color w:val="063E66" w:themeColor="accent1" w:themeShade="BF"/>
                <w:szCs w:val="24"/>
              </w:rPr>
            </w:pPr>
            <w:hyperlink r:id="rId23" w:history="1">
              <w:r w:rsidR="00C579AF" w:rsidRPr="00675C3D">
                <w:rPr>
                  <w:rStyle w:val="Hyperlink"/>
                  <w:color w:val="063E66" w:themeColor="accent1" w:themeShade="BF"/>
                  <w:szCs w:val="24"/>
                </w:rPr>
                <w:t>reviewfoodact@health.wa.gov.au</w:t>
              </w:r>
            </w:hyperlink>
            <w:bookmarkStart w:id="33" w:name="_GoBack"/>
            <w:bookmarkEnd w:id="33"/>
          </w:p>
          <w:p w14:paraId="51F6E3A0" w14:textId="77777777" w:rsidR="00C579AF" w:rsidRPr="00675C3D" w:rsidRDefault="00C579AF" w:rsidP="00955BA3">
            <w:pPr>
              <w:jc w:val="both"/>
              <w:rPr>
                <w:color w:val="063E66" w:themeColor="accent1" w:themeShade="BF"/>
                <w:szCs w:val="24"/>
              </w:rPr>
            </w:pPr>
          </w:p>
        </w:tc>
      </w:tr>
      <w:tr w:rsidR="00C579AF" w:rsidRPr="00675C3D" w14:paraId="297E8352" w14:textId="77777777" w:rsidTr="006115C0">
        <w:tc>
          <w:tcPr>
            <w:tcW w:w="1555" w:type="dxa"/>
          </w:tcPr>
          <w:p w14:paraId="6B42A3B0" w14:textId="77777777" w:rsidR="00C579AF" w:rsidRPr="00675C3D" w:rsidRDefault="006A6FEB" w:rsidP="00955BA3">
            <w:pPr>
              <w:jc w:val="both"/>
              <w:rPr>
                <w:b/>
                <w:color w:val="095489" w:themeColor="accent1"/>
                <w:szCs w:val="24"/>
              </w:rPr>
            </w:pPr>
            <w:r>
              <w:rPr>
                <w:b/>
                <w:color w:val="095489" w:themeColor="accent1"/>
                <w:szCs w:val="24"/>
              </w:rPr>
              <w:t>Post</w:t>
            </w:r>
          </w:p>
        </w:tc>
        <w:tc>
          <w:tcPr>
            <w:tcW w:w="8639" w:type="dxa"/>
          </w:tcPr>
          <w:tbl>
            <w:tblPr>
              <w:tblW w:w="0" w:type="auto"/>
              <w:tblBorders>
                <w:top w:val="nil"/>
                <w:left w:val="nil"/>
                <w:bottom w:val="nil"/>
                <w:right w:val="nil"/>
              </w:tblBorders>
              <w:tblLook w:val="0000" w:firstRow="0" w:lastRow="0" w:firstColumn="0" w:lastColumn="0" w:noHBand="0" w:noVBand="0"/>
            </w:tblPr>
            <w:tblGrid>
              <w:gridCol w:w="7833"/>
            </w:tblGrid>
            <w:tr w:rsidR="00233391" w:rsidRPr="00675C3D" w14:paraId="108C7969" w14:textId="77777777" w:rsidTr="006115C0">
              <w:trPr>
                <w:trHeight w:val="1227"/>
              </w:trPr>
              <w:tc>
                <w:tcPr>
                  <w:tcW w:w="7833" w:type="dxa"/>
                </w:tcPr>
                <w:p w14:paraId="768E7831" w14:textId="77777777" w:rsidR="006115C0" w:rsidRPr="00675C3D" w:rsidRDefault="006A6FEB" w:rsidP="00955BA3">
                  <w:pPr>
                    <w:autoSpaceDE w:val="0"/>
                    <w:autoSpaceDN w:val="0"/>
                    <w:adjustRightInd w:val="0"/>
                    <w:spacing w:after="0"/>
                    <w:jc w:val="both"/>
                    <w:rPr>
                      <w:rFonts w:cs="Arial"/>
                      <w:color w:val="063E66" w:themeColor="accent1" w:themeShade="BF"/>
                      <w:szCs w:val="24"/>
                    </w:rPr>
                  </w:pPr>
                  <w:r>
                    <w:rPr>
                      <w:rFonts w:cs="Arial"/>
                      <w:color w:val="063E66" w:themeColor="accent1" w:themeShade="BF"/>
                      <w:szCs w:val="24"/>
                    </w:rPr>
                    <w:t>P</w:t>
                  </w:r>
                  <w:r w:rsidR="006115C0" w:rsidRPr="00675C3D">
                    <w:rPr>
                      <w:rFonts w:cs="Arial"/>
                      <w:color w:val="063E66" w:themeColor="accent1" w:themeShade="BF"/>
                      <w:szCs w:val="24"/>
                    </w:rPr>
                    <w:t xml:space="preserve">ost </w:t>
                  </w:r>
                  <w:r w:rsidR="00D90E00">
                    <w:rPr>
                      <w:rFonts w:cs="Arial"/>
                      <w:color w:val="063E66" w:themeColor="accent1" w:themeShade="BF"/>
                      <w:szCs w:val="24"/>
                    </w:rPr>
                    <w:t xml:space="preserve">your submission </w:t>
                  </w:r>
                  <w:r w:rsidR="006115C0" w:rsidRPr="00675C3D">
                    <w:rPr>
                      <w:rFonts w:cs="Arial"/>
                      <w:color w:val="063E66" w:themeColor="accent1" w:themeShade="BF"/>
                      <w:szCs w:val="24"/>
                    </w:rPr>
                    <w:t xml:space="preserve">to - </w:t>
                  </w:r>
                </w:p>
                <w:p w14:paraId="52A5E750" w14:textId="77777777" w:rsidR="006115C0" w:rsidRPr="00675C3D" w:rsidRDefault="006115C0" w:rsidP="00955BA3">
                  <w:pPr>
                    <w:autoSpaceDE w:val="0"/>
                    <w:autoSpaceDN w:val="0"/>
                    <w:adjustRightInd w:val="0"/>
                    <w:spacing w:after="0"/>
                    <w:jc w:val="both"/>
                    <w:rPr>
                      <w:rFonts w:cs="Arial"/>
                      <w:color w:val="063E66" w:themeColor="accent1" w:themeShade="BF"/>
                      <w:szCs w:val="24"/>
                    </w:rPr>
                  </w:pPr>
                </w:p>
                <w:p w14:paraId="41A7B71D" w14:textId="77777777" w:rsidR="00327283" w:rsidRPr="00675C3D" w:rsidRDefault="00C579AF" w:rsidP="00955BA3">
                  <w:pPr>
                    <w:autoSpaceDE w:val="0"/>
                    <w:autoSpaceDN w:val="0"/>
                    <w:adjustRightInd w:val="0"/>
                    <w:spacing w:after="0"/>
                    <w:jc w:val="both"/>
                    <w:rPr>
                      <w:rFonts w:cs="Arial"/>
                      <w:color w:val="063E66" w:themeColor="accent1" w:themeShade="BF"/>
                      <w:szCs w:val="24"/>
                    </w:rPr>
                  </w:pPr>
                  <w:r w:rsidRPr="00675C3D">
                    <w:rPr>
                      <w:rFonts w:cs="Arial"/>
                      <w:color w:val="063E66" w:themeColor="accent1" w:themeShade="BF"/>
                      <w:szCs w:val="24"/>
                    </w:rPr>
                    <w:t xml:space="preserve">Review of the </w:t>
                  </w:r>
                  <w:r w:rsidRPr="00F9512A">
                    <w:rPr>
                      <w:rFonts w:cs="Arial"/>
                      <w:i/>
                      <w:color w:val="063E66" w:themeColor="accent1" w:themeShade="BF"/>
                      <w:szCs w:val="24"/>
                    </w:rPr>
                    <w:t xml:space="preserve">Food Act </w:t>
                  </w:r>
                  <w:r w:rsidR="00F9512A" w:rsidRPr="00F9512A">
                    <w:rPr>
                      <w:rFonts w:cs="Arial"/>
                      <w:i/>
                      <w:color w:val="063E66" w:themeColor="accent1" w:themeShade="BF"/>
                      <w:szCs w:val="24"/>
                    </w:rPr>
                    <w:t>2008</w:t>
                  </w:r>
                </w:p>
                <w:p w14:paraId="5A289F36" w14:textId="77777777" w:rsidR="00C579AF" w:rsidRPr="00675C3D" w:rsidRDefault="00C579AF" w:rsidP="00955BA3">
                  <w:pPr>
                    <w:autoSpaceDE w:val="0"/>
                    <w:autoSpaceDN w:val="0"/>
                    <w:adjustRightInd w:val="0"/>
                    <w:spacing w:after="0"/>
                    <w:jc w:val="both"/>
                    <w:rPr>
                      <w:rFonts w:cs="Arial"/>
                      <w:color w:val="063E66" w:themeColor="accent1" w:themeShade="BF"/>
                      <w:szCs w:val="24"/>
                    </w:rPr>
                  </w:pPr>
                  <w:r w:rsidRPr="00675C3D">
                    <w:rPr>
                      <w:rFonts w:cs="Arial"/>
                      <w:color w:val="063E66" w:themeColor="accent1" w:themeShade="BF"/>
                      <w:szCs w:val="24"/>
                    </w:rPr>
                    <w:t>Environmental Health</w:t>
                  </w:r>
                  <w:r w:rsidR="00327283" w:rsidRPr="00675C3D">
                    <w:rPr>
                      <w:rFonts w:cs="Arial"/>
                      <w:color w:val="063E66" w:themeColor="accent1" w:themeShade="BF"/>
                      <w:szCs w:val="24"/>
                    </w:rPr>
                    <w:t xml:space="preserve">, </w:t>
                  </w:r>
                  <w:r w:rsidRPr="00675C3D">
                    <w:rPr>
                      <w:rFonts w:cs="Arial"/>
                      <w:color w:val="063E66" w:themeColor="accent1" w:themeShade="BF"/>
                      <w:szCs w:val="24"/>
                    </w:rPr>
                    <w:t xml:space="preserve">Public and Aboriginal Health Division </w:t>
                  </w:r>
                </w:p>
                <w:p w14:paraId="6370C5FD" w14:textId="77777777" w:rsidR="00C579AF" w:rsidRPr="00675C3D" w:rsidRDefault="00C579AF" w:rsidP="00955BA3">
                  <w:pPr>
                    <w:autoSpaceDE w:val="0"/>
                    <w:autoSpaceDN w:val="0"/>
                    <w:adjustRightInd w:val="0"/>
                    <w:spacing w:after="0"/>
                    <w:jc w:val="both"/>
                    <w:rPr>
                      <w:rFonts w:cs="Arial"/>
                      <w:color w:val="063E66" w:themeColor="accent1" w:themeShade="BF"/>
                      <w:szCs w:val="24"/>
                    </w:rPr>
                  </w:pPr>
                  <w:r w:rsidRPr="00675C3D">
                    <w:rPr>
                      <w:rFonts w:cs="Arial"/>
                      <w:color w:val="063E66" w:themeColor="accent1" w:themeShade="BF"/>
                      <w:szCs w:val="24"/>
                    </w:rPr>
                    <w:t xml:space="preserve">Department of Health </w:t>
                  </w:r>
                </w:p>
                <w:p w14:paraId="78685FE9" w14:textId="77777777" w:rsidR="00C579AF" w:rsidRPr="00675C3D" w:rsidRDefault="00C579AF" w:rsidP="00955BA3">
                  <w:pPr>
                    <w:autoSpaceDE w:val="0"/>
                    <w:autoSpaceDN w:val="0"/>
                    <w:adjustRightInd w:val="0"/>
                    <w:spacing w:after="0"/>
                    <w:jc w:val="both"/>
                    <w:rPr>
                      <w:rFonts w:cs="Arial"/>
                      <w:color w:val="063E66" w:themeColor="accent1" w:themeShade="BF"/>
                      <w:szCs w:val="24"/>
                    </w:rPr>
                  </w:pPr>
                  <w:r w:rsidRPr="00675C3D">
                    <w:rPr>
                      <w:rFonts w:cs="Arial"/>
                      <w:color w:val="063E66" w:themeColor="accent1" w:themeShade="BF"/>
                      <w:szCs w:val="24"/>
                    </w:rPr>
                    <w:t xml:space="preserve">PO Box 8172 </w:t>
                  </w:r>
                </w:p>
                <w:p w14:paraId="57346827" w14:textId="77777777" w:rsidR="00C579AF" w:rsidRPr="00675C3D" w:rsidRDefault="00C579AF" w:rsidP="00955BA3">
                  <w:pPr>
                    <w:autoSpaceDE w:val="0"/>
                    <w:autoSpaceDN w:val="0"/>
                    <w:adjustRightInd w:val="0"/>
                    <w:spacing w:after="0"/>
                    <w:jc w:val="both"/>
                    <w:rPr>
                      <w:rFonts w:cs="Arial"/>
                      <w:color w:val="063E66" w:themeColor="accent1" w:themeShade="BF"/>
                      <w:szCs w:val="24"/>
                    </w:rPr>
                  </w:pPr>
                  <w:r w:rsidRPr="00675C3D">
                    <w:rPr>
                      <w:rFonts w:cs="Arial"/>
                      <w:color w:val="063E66" w:themeColor="accent1" w:themeShade="BF"/>
                      <w:szCs w:val="24"/>
                    </w:rPr>
                    <w:t xml:space="preserve">Perth Business Centre WA 6849 </w:t>
                  </w:r>
                </w:p>
              </w:tc>
            </w:tr>
          </w:tbl>
          <w:p w14:paraId="781A716E" w14:textId="77777777" w:rsidR="00C579AF" w:rsidRPr="00675C3D" w:rsidRDefault="00C579AF" w:rsidP="00955BA3">
            <w:pPr>
              <w:jc w:val="both"/>
              <w:rPr>
                <w:color w:val="063E66" w:themeColor="accent1" w:themeShade="BF"/>
                <w:szCs w:val="24"/>
              </w:rPr>
            </w:pPr>
          </w:p>
        </w:tc>
      </w:tr>
    </w:tbl>
    <w:p w14:paraId="7580AC17" w14:textId="77777777" w:rsidR="006115C0" w:rsidRDefault="006115C0" w:rsidP="00675C3D">
      <w:pPr>
        <w:pStyle w:val="Heading1"/>
        <w:spacing w:before="160" w:after="160"/>
      </w:pPr>
      <w:bookmarkStart w:id="34" w:name="_Toc84422039"/>
      <w:bookmarkStart w:id="35" w:name="_Toc84422199"/>
      <w:bookmarkStart w:id="36" w:name="_Toc88124679"/>
      <w:r>
        <w:t>What happens next?</w:t>
      </w:r>
      <w:bookmarkEnd w:id="34"/>
      <w:bookmarkEnd w:id="35"/>
      <w:bookmarkEnd w:id="36"/>
    </w:p>
    <w:p w14:paraId="6456DD3F" w14:textId="77777777" w:rsidR="00233391" w:rsidRDefault="00233391" w:rsidP="002F201A">
      <w:pPr>
        <w:spacing w:before="160" w:after="160"/>
        <w:jc w:val="both"/>
      </w:pPr>
      <w:r>
        <w:t>At the close of the consultation period</w:t>
      </w:r>
      <w:r w:rsidR="00E47003">
        <w:t xml:space="preserve"> on 14 March 2022,</w:t>
      </w:r>
      <w:r>
        <w:t xml:space="preserve"> submissions will be </w:t>
      </w:r>
      <w:r w:rsidR="00332DA2">
        <w:t>analysed,</w:t>
      </w:r>
      <w:r w:rsidR="00150FEC">
        <w:t xml:space="preserve"> </w:t>
      </w:r>
      <w:r>
        <w:t>and</w:t>
      </w:r>
      <w:r w:rsidR="00DA20CF">
        <w:t xml:space="preserve"> a report prepared for the Minister. </w:t>
      </w:r>
    </w:p>
    <w:p w14:paraId="7372B37E" w14:textId="77777777" w:rsidR="00955BA3" w:rsidRDefault="00B33449" w:rsidP="002F201A">
      <w:pPr>
        <w:spacing w:before="160" w:after="160"/>
        <w:jc w:val="both"/>
      </w:pPr>
      <w:r>
        <w:t xml:space="preserve">The Minister will </w:t>
      </w:r>
      <w:r w:rsidR="005E2906">
        <w:t xml:space="preserve">consider and </w:t>
      </w:r>
      <w:r>
        <w:t xml:space="preserve">table the report of the Review in the </w:t>
      </w:r>
      <w:r w:rsidR="00955BA3">
        <w:t>Parliament</w:t>
      </w:r>
      <w:r w:rsidR="00DA20CF">
        <w:t xml:space="preserve"> at a date to be set</w:t>
      </w:r>
      <w:r w:rsidR="00955BA3">
        <w:t>.</w:t>
      </w:r>
    </w:p>
    <w:p w14:paraId="125CE169" w14:textId="77777777" w:rsidR="00375931" w:rsidRDefault="00743BE0" w:rsidP="00955BA3">
      <w:pPr>
        <w:spacing w:after="240"/>
        <w:jc w:val="both"/>
        <w:rPr>
          <w:b/>
        </w:rPr>
      </w:pPr>
      <w:r w:rsidRPr="00AF7C07">
        <w:rPr>
          <w:b/>
        </w:rPr>
        <w:t>This document can be made avai</w:t>
      </w:r>
      <w:r w:rsidR="00427800" w:rsidRPr="00AF7C07">
        <w:rPr>
          <w:b/>
        </w:rPr>
        <w:t>lable in alternative formats</w:t>
      </w:r>
      <w:r w:rsidR="003F293E">
        <w:rPr>
          <w:b/>
        </w:rPr>
        <w:t xml:space="preserve"> </w:t>
      </w:r>
      <w:r w:rsidR="00427800" w:rsidRPr="00AF7C07">
        <w:rPr>
          <w:b/>
        </w:rPr>
        <w:t xml:space="preserve">on </w:t>
      </w:r>
      <w:r w:rsidR="00646A90">
        <w:rPr>
          <w:b/>
        </w:rPr>
        <w:t xml:space="preserve">request for a person with </w:t>
      </w:r>
      <w:r w:rsidRPr="00AF7C07">
        <w:rPr>
          <w:b/>
        </w:rPr>
        <w:t>disability.</w:t>
      </w:r>
    </w:p>
    <w:p w14:paraId="10403DB5" w14:textId="77777777" w:rsidR="00675C3D" w:rsidRPr="00AF7C07" w:rsidRDefault="00675C3D" w:rsidP="00955BA3">
      <w:pPr>
        <w:spacing w:after="240"/>
        <w:jc w:val="both"/>
        <w:rPr>
          <w:b/>
        </w:rPr>
      </w:pPr>
    </w:p>
    <w:p w14:paraId="0B8C03F3" w14:textId="77777777" w:rsidR="00743BE0" w:rsidRDefault="00183A46" w:rsidP="00955BA3">
      <w:pPr>
        <w:spacing w:after="300"/>
        <w:ind w:right="-1"/>
        <w:jc w:val="both"/>
      </w:pPr>
      <w:r>
        <w:t>© Department of Health 20</w:t>
      </w:r>
      <w:r w:rsidR="00E87879">
        <w:t>21</w:t>
      </w:r>
    </w:p>
    <w:p w14:paraId="158047CA" w14:textId="77777777" w:rsidR="00EF313F" w:rsidRPr="00EF313F" w:rsidRDefault="0000010A" w:rsidP="00955BA3">
      <w:pPr>
        <w:pStyle w:val="TEXT"/>
        <w:spacing w:line="240" w:lineRule="auto"/>
        <w:ind w:right="-1"/>
        <w:jc w:val="both"/>
        <w:rPr>
          <w:rFonts w:ascii="Arial" w:hAnsi="Arial"/>
          <w:sz w:val="22"/>
          <w:szCs w:val="22"/>
        </w:rPr>
      </w:pPr>
      <w:r w:rsidRPr="0000010A">
        <w:rPr>
          <w:rFonts w:ascii="Arial" w:hAnsi="Arial"/>
          <w:sz w:val="22"/>
          <w:szCs w:val="22"/>
        </w:rPr>
        <w:t>Copyright to this material is vested in the State of Western Australia unless otherwise indicated. Apart from any fair dealing for the purposes of priv</w:t>
      </w:r>
      <w:r>
        <w:rPr>
          <w:rFonts w:ascii="Arial" w:hAnsi="Arial"/>
          <w:sz w:val="22"/>
          <w:szCs w:val="22"/>
        </w:rPr>
        <w:t xml:space="preserve">ate study, research, criticism </w:t>
      </w:r>
      <w:r w:rsidRPr="0000010A">
        <w:rPr>
          <w:rFonts w:ascii="Arial" w:hAnsi="Arial"/>
          <w:sz w:val="22"/>
          <w:szCs w:val="22"/>
        </w:rPr>
        <w:t xml:space="preserve">or review, as permitted under the provisions of the </w:t>
      </w:r>
      <w:r w:rsidRPr="0000010A">
        <w:rPr>
          <w:rFonts w:ascii="Arial" w:hAnsi="Arial" w:cs="ArialMTStd-Italic"/>
          <w:i/>
          <w:iCs/>
          <w:sz w:val="22"/>
          <w:szCs w:val="22"/>
        </w:rPr>
        <w:t>Copyright Act 1968</w:t>
      </w:r>
      <w:r w:rsidRPr="0000010A">
        <w:rPr>
          <w:rFonts w:ascii="Arial" w:hAnsi="Arial"/>
          <w:sz w:val="22"/>
          <w:szCs w:val="22"/>
        </w:rPr>
        <w:t>, no part may be reproduced or re-used for any purposes whatsoever without written permission of the State of Western Australia.</w:t>
      </w:r>
    </w:p>
    <w:sectPr w:rsidR="00EF313F" w:rsidRPr="00EF313F" w:rsidSect="00631419">
      <w:pgSz w:w="11906" w:h="16838"/>
      <w:pgMar w:top="851" w:right="849"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F4FF9" w14:textId="77777777" w:rsidR="00726912" w:rsidRDefault="00726912" w:rsidP="00743BE0">
      <w:pPr>
        <w:spacing w:after="0"/>
      </w:pPr>
      <w:r>
        <w:separator/>
      </w:r>
    </w:p>
  </w:endnote>
  <w:endnote w:type="continuationSeparator" w:id="0">
    <w:p w14:paraId="48929E69" w14:textId="77777777" w:rsidR="00726912" w:rsidRDefault="00726912" w:rsidP="00743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D6175" w14:textId="77777777" w:rsidR="00576A83" w:rsidRPr="004D0A1D" w:rsidRDefault="00576A83" w:rsidP="001D1B70">
    <w:pPr>
      <w:spacing w:after="240"/>
      <w:jc w:val="center"/>
      <w:rPr>
        <w:b/>
        <w:color w:val="005B38"/>
        <w:sz w:val="36"/>
        <w:szCs w:val="3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val="0"/>
      </w:rPr>
      <w:id w:val="-1074575938"/>
      <w:docPartObj>
        <w:docPartGallery w:val="Page Numbers (Bottom of Page)"/>
        <w:docPartUnique/>
      </w:docPartObj>
    </w:sdtPr>
    <w:sdtEndPr>
      <w:rPr>
        <w:b/>
        <w:color w:val="7F7F7F" w:themeColor="background1" w:themeShade="7F"/>
        <w:spacing w:val="60"/>
      </w:rPr>
    </w:sdtEndPr>
    <w:sdtContent>
      <w:p w14:paraId="6516B64F" w14:textId="77777777" w:rsidR="00576A83" w:rsidRDefault="00576A83">
        <w:pPr>
          <w:pStyle w:val="Footer"/>
          <w:pBdr>
            <w:top w:val="single" w:sz="4" w:space="1" w:color="D9D9D9" w:themeColor="background1" w:themeShade="D9"/>
          </w:pBdr>
          <w:rPr>
            <w:b w:val="0"/>
            <w:bCs/>
          </w:rPr>
        </w:pPr>
        <w:r>
          <w:rPr>
            <w:b w:val="0"/>
          </w:rPr>
          <w:fldChar w:fldCharType="begin"/>
        </w:r>
        <w:r>
          <w:instrText xml:space="preserve"> PAGE   \* MERGEFORMAT </w:instrText>
        </w:r>
        <w:r>
          <w:rPr>
            <w:b w:val="0"/>
          </w:rPr>
          <w:fldChar w:fldCharType="separate"/>
        </w:r>
        <w:r>
          <w:rPr>
            <w:bCs/>
            <w:noProof/>
          </w:rPr>
          <w:t>2</w:t>
        </w:r>
        <w:r>
          <w:rPr>
            <w:b w:val="0"/>
            <w:bCs/>
            <w:noProof/>
          </w:rPr>
          <w:fldChar w:fldCharType="end"/>
        </w:r>
        <w:r>
          <w:rPr>
            <w:bCs/>
          </w:rPr>
          <w:t xml:space="preserve"> | </w:t>
        </w:r>
        <w:r>
          <w:rPr>
            <w:color w:val="7F7F7F" w:themeColor="background1" w:themeShade="7F"/>
            <w:spacing w:val="60"/>
          </w:rPr>
          <w:t>Page</w:t>
        </w:r>
      </w:p>
    </w:sdtContent>
  </w:sdt>
  <w:p w14:paraId="335CDA01" w14:textId="77777777" w:rsidR="00576A83" w:rsidRDefault="00576A83" w:rsidP="0037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553CF" w14:textId="77777777" w:rsidR="00726912" w:rsidRDefault="00726912" w:rsidP="00743BE0">
      <w:pPr>
        <w:spacing w:after="0"/>
      </w:pPr>
      <w:r>
        <w:separator/>
      </w:r>
    </w:p>
  </w:footnote>
  <w:footnote w:type="continuationSeparator" w:id="0">
    <w:p w14:paraId="776A7A12" w14:textId="77777777" w:rsidR="00726912" w:rsidRDefault="00726912" w:rsidP="00743BE0">
      <w:pPr>
        <w:spacing w:after="0"/>
      </w:pPr>
      <w:r>
        <w:continuationSeparator/>
      </w:r>
    </w:p>
  </w:footnote>
  <w:footnote w:id="1">
    <w:p w14:paraId="42DE7F73" w14:textId="77777777" w:rsidR="004E4D49" w:rsidRPr="0083355C" w:rsidRDefault="004E4D49" w:rsidP="004E4D49">
      <w:pPr>
        <w:pStyle w:val="FootnoteText"/>
      </w:pPr>
      <w:r>
        <w:rPr>
          <w:rStyle w:val="FootnoteReference"/>
        </w:rPr>
        <w:footnoteRef/>
      </w:r>
      <w:r>
        <w:t xml:space="preserve"> Food Regulation History, </w:t>
      </w:r>
      <w:hyperlink r:id="rId1" w:history="1">
        <w:r w:rsidRPr="00BC150D">
          <w:rPr>
            <w:rStyle w:val="Hyperlink"/>
            <w:sz w:val="20"/>
          </w:rPr>
          <w:t>https://foodregulation.gov.au/internet/fr/publishing.nsf/Content/history-and-governance</w:t>
        </w:r>
      </w:hyperlink>
      <w:r>
        <w:rPr>
          <w:rStyle w:val="Hyperlink"/>
          <w:sz w:val="20"/>
          <w:u w:val="none"/>
        </w:rPr>
        <w:t>.</w:t>
      </w:r>
    </w:p>
  </w:footnote>
  <w:footnote w:id="2">
    <w:p w14:paraId="6CCC2B5A" w14:textId="77777777" w:rsidR="009C265E" w:rsidRDefault="009C265E" w:rsidP="009C265E">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39DE2" w14:textId="77777777" w:rsidR="00576A83" w:rsidRDefault="00576A83">
    <w:pPr>
      <w:pStyle w:val="Header"/>
    </w:pPr>
    <w:r>
      <w:rPr>
        <w:noProof/>
        <w:lang w:eastAsia="en-AU"/>
      </w:rPr>
      <w:drawing>
        <wp:anchor distT="0" distB="0" distL="114300" distR="114300" simplePos="0" relativeHeight="251657216" behindDoc="1" locked="0" layoutInCell="1" allowOverlap="1" wp14:anchorId="04B30353" wp14:editId="62932AD1">
          <wp:simplePos x="0" y="0"/>
          <wp:positionH relativeFrom="page">
            <wp:posOffset>0</wp:posOffset>
          </wp:positionH>
          <wp:positionV relativeFrom="page">
            <wp:posOffset>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image for the Report style 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19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41BB8" w14:textId="77777777" w:rsidR="00576A83" w:rsidRPr="000E22E2" w:rsidRDefault="00576A83" w:rsidP="000E2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D15F4"/>
    <w:multiLevelType w:val="hybridMultilevel"/>
    <w:tmpl w:val="4192F7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4B7C3D"/>
    <w:multiLevelType w:val="hybridMultilevel"/>
    <w:tmpl w:val="287460F6"/>
    <w:lvl w:ilvl="0" w:tplc="4B903A6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E5A4AF5"/>
    <w:multiLevelType w:val="hybridMultilevel"/>
    <w:tmpl w:val="AA1C6E2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F90014"/>
    <w:multiLevelType w:val="hybridMultilevel"/>
    <w:tmpl w:val="5C72187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1023A91"/>
    <w:multiLevelType w:val="hybridMultilevel"/>
    <w:tmpl w:val="28CEE48C"/>
    <w:lvl w:ilvl="0" w:tplc="D1985D50">
      <w:start w:val="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68468C"/>
    <w:multiLevelType w:val="hybridMultilevel"/>
    <w:tmpl w:val="20DABACE"/>
    <w:lvl w:ilvl="0" w:tplc="6F48BA4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69B728F"/>
    <w:multiLevelType w:val="hybridMultilevel"/>
    <w:tmpl w:val="0E089F22"/>
    <w:lvl w:ilvl="0" w:tplc="B568D550">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983F88"/>
    <w:multiLevelType w:val="hybridMultilevel"/>
    <w:tmpl w:val="016E1686"/>
    <w:lvl w:ilvl="0" w:tplc="3E942A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871BAF"/>
    <w:multiLevelType w:val="hybridMultilevel"/>
    <w:tmpl w:val="FD52DE4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5C1DDC"/>
    <w:multiLevelType w:val="hybridMultilevel"/>
    <w:tmpl w:val="93A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B4FA1"/>
    <w:multiLevelType w:val="hybridMultilevel"/>
    <w:tmpl w:val="1CBE2E7C"/>
    <w:lvl w:ilvl="0" w:tplc="872E6CA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5487122"/>
    <w:multiLevelType w:val="hybridMultilevel"/>
    <w:tmpl w:val="C6CE596C"/>
    <w:lvl w:ilvl="0" w:tplc="3E942AA8">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150B17"/>
    <w:multiLevelType w:val="hybridMultilevel"/>
    <w:tmpl w:val="021E8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3A5C0F"/>
    <w:multiLevelType w:val="multilevel"/>
    <w:tmpl w:val="8BA6FE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2E6342EE"/>
    <w:multiLevelType w:val="hybridMultilevel"/>
    <w:tmpl w:val="E9E6BBD6"/>
    <w:lvl w:ilvl="0" w:tplc="0C09000F">
      <w:start w:val="1"/>
      <w:numFmt w:val="decimal"/>
      <w:lvlText w:val="%1."/>
      <w:lvlJc w:val="left"/>
      <w:pPr>
        <w:ind w:left="1080" w:hanging="360"/>
      </w:pPr>
    </w:lvl>
    <w:lvl w:ilvl="1" w:tplc="0C090019">
      <w:start w:val="1"/>
      <w:numFmt w:val="lowerLetter"/>
      <w:lvlText w:val="%2."/>
      <w:lvlJc w:val="left"/>
      <w:pPr>
        <w:ind w:left="1592" w:hanging="360"/>
      </w:pPr>
    </w:lvl>
    <w:lvl w:ilvl="2" w:tplc="0C09001B">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15" w15:restartNumberingAfterBreak="0">
    <w:nsid w:val="317B7947"/>
    <w:multiLevelType w:val="hybridMultilevel"/>
    <w:tmpl w:val="F2C6195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2A273A"/>
    <w:multiLevelType w:val="hybridMultilevel"/>
    <w:tmpl w:val="27787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37486F"/>
    <w:multiLevelType w:val="hybridMultilevel"/>
    <w:tmpl w:val="B490AD70"/>
    <w:lvl w:ilvl="0" w:tplc="2558E7F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5C055F5"/>
    <w:multiLevelType w:val="hybridMultilevel"/>
    <w:tmpl w:val="212E66CE"/>
    <w:lvl w:ilvl="0" w:tplc="6BEA6C0C">
      <w:start w:val="1"/>
      <w:numFmt w:val="bullet"/>
      <w:pStyle w:val="copy"/>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C886EF3"/>
    <w:multiLevelType w:val="hybridMultilevel"/>
    <w:tmpl w:val="5F522D2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D804D6"/>
    <w:multiLevelType w:val="hybridMultilevel"/>
    <w:tmpl w:val="564C0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0F3156"/>
    <w:multiLevelType w:val="hybridMultilevel"/>
    <w:tmpl w:val="AD76F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9C7B04"/>
    <w:multiLevelType w:val="multilevel"/>
    <w:tmpl w:val="12E2BB7A"/>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481D5237"/>
    <w:multiLevelType w:val="hybridMultilevel"/>
    <w:tmpl w:val="7C2C2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C242EE"/>
    <w:multiLevelType w:val="hybridMultilevel"/>
    <w:tmpl w:val="60F6391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9F5ED8"/>
    <w:multiLevelType w:val="multilevel"/>
    <w:tmpl w:val="DB3C2CA8"/>
    <w:lvl w:ilvl="0">
      <w:start w:val="1"/>
      <w:numFmt w:val="decimal"/>
      <w:pStyle w:val="Heading1"/>
      <w:lvlText w:val="%1.0"/>
      <w:lvlJc w:val="left"/>
      <w:pPr>
        <w:ind w:left="500" w:hanging="500"/>
      </w:pPr>
      <w:rPr>
        <w:rFonts w:hint="default"/>
      </w:rPr>
    </w:lvl>
    <w:lvl w:ilvl="1">
      <w:start w:val="1"/>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ED20551"/>
    <w:multiLevelType w:val="hybridMultilevel"/>
    <w:tmpl w:val="626AD61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6BD64B8"/>
    <w:multiLevelType w:val="hybridMultilevel"/>
    <w:tmpl w:val="6B44A7F0"/>
    <w:lvl w:ilvl="0" w:tplc="CEC62892">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922711"/>
    <w:multiLevelType w:val="hybridMultilevel"/>
    <w:tmpl w:val="6EB458F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640863"/>
    <w:multiLevelType w:val="hybridMultilevel"/>
    <w:tmpl w:val="DBCA6CA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4B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4833EF"/>
    <w:multiLevelType w:val="hybridMultilevel"/>
    <w:tmpl w:val="EBA60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2" w15:restartNumberingAfterBreak="0">
    <w:nsid w:val="6E241E80"/>
    <w:multiLevelType w:val="hybridMultilevel"/>
    <w:tmpl w:val="71C877B2"/>
    <w:lvl w:ilvl="0" w:tplc="D1985D50">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CA4B5C"/>
    <w:multiLevelType w:val="hybridMultilevel"/>
    <w:tmpl w:val="28BADFC2"/>
    <w:lvl w:ilvl="0" w:tplc="0C090001">
      <w:start w:val="1"/>
      <w:numFmt w:val="bullet"/>
      <w:lvlText w:val=""/>
      <w:lvlJc w:val="left"/>
      <w:pPr>
        <w:ind w:left="1080" w:hanging="720"/>
      </w:pPr>
      <w:rPr>
        <w:rFonts w:ascii="Symbol" w:hAnsi="Symbol" w:hint="default"/>
        <w:color w:val="004B8D"/>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EC06CC"/>
    <w:multiLevelType w:val="hybridMultilevel"/>
    <w:tmpl w:val="C24A38E0"/>
    <w:lvl w:ilvl="0" w:tplc="CEC62892">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5" w15:restartNumberingAfterBreak="0">
    <w:nsid w:val="7CFA6429"/>
    <w:multiLevelType w:val="hybridMultilevel"/>
    <w:tmpl w:val="E21A81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FDC75A1"/>
    <w:multiLevelType w:val="hybridMultilevel"/>
    <w:tmpl w:val="CF440B56"/>
    <w:lvl w:ilvl="0" w:tplc="CEC62892">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33"/>
  </w:num>
  <w:num w:numId="4">
    <w:abstractNumId w:val="15"/>
  </w:num>
  <w:num w:numId="5">
    <w:abstractNumId w:val="11"/>
  </w:num>
  <w:num w:numId="6">
    <w:abstractNumId w:val="7"/>
  </w:num>
  <w:num w:numId="7">
    <w:abstractNumId w:val="23"/>
  </w:num>
  <w:num w:numId="8">
    <w:abstractNumId w:val="25"/>
  </w:num>
  <w:num w:numId="9">
    <w:abstractNumId w:val="5"/>
  </w:num>
  <w:num w:numId="10">
    <w:abstractNumId w:val="14"/>
  </w:num>
  <w:num w:numId="11">
    <w:abstractNumId w:val="34"/>
  </w:num>
  <w:num w:numId="12">
    <w:abstractNumId w:val="36"/>
  </w:num>
  <w:num w:numId="13">
    <w:abstractNumId w:val="27"/>
  </w:num>
  <w:num w:numId="14">
    <w:abstractNumId w:val="8"/>
  </w:num>
  <w:num w:numId="15">
    <w:abstractNumId w:val="6"/>
  </w:num>
  <w:num w:numId="16">
    <w:abstractNumId w:val="26"/>
  </w:num>
  <w:num w:numId="17">
    <w:abstractNumId w:val="13"/>
  </w:num>
  <w:num w:numId="18">
    <w:abstractNumId w:val="17"/>
  </w:num>
  <w:num w:numId="19">
    <w:abstractNumId w:val="4"/>
  </w:num>
  <w:num w:numId="20">
    <w:abstractNumId w:val="22"/>
  </w:num>
  <w:num w:numId="21">
    <w:abstractNumId w:val="16"/>
  </w:num>
  <w:num w:numId="22">
    <w:abstractNumId w:val="32"/>
  </w:num>
  <w:num w:numId="23">
    <w:abstractNumId w:val="28"/>
  </w:num>
  <w:num w:numId="24">
    <w:abstractNumId w:val="1"/>
  </w:num>
  <w:num w:numId="25">
    <w:abstractNumId w:val="21"/>
  </w:num>
  <w:num w:numId="26">
    <w:abstractNumId w:val="12"/>
  </w:num>
  <w:num w:numId="27">
    <w:abstractNumId w:val="20"/>
  </w:num>
  <w:num w:numId="28">
    <w:abstractNumId w:val="18"/>
  </w:num>
  <w:num w:numId="29">
    <w:abstractNumId w:val="35"/>
  </w:num>
  <w:num w:numId="30">
    <w:abstractNumId w:val="31"/>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0"/>
  </w:num>
  <w:num w:numId="34">
    <w:abstractNumId w:val="29"/>
  </w:num>
  <w:num w:numId="35">
    <w:abstractNumId w:val="2"/>
  </w:num>
  <w:num w:numId="36">
    <w:abstractNumId w:val="19"/>
  </w:num>
  <w:num w:numId="37">
    <w:abstractNumId w:val="24"/>
  </w:num>
  <w:num w:numId="38">
    <w:abstractNumId w:val="2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71"/>
    <w:rsid w:val="0000010A"/>
    <w:rsid w:val="000031F3"/>
    <w:rsid w:val="00027607"/>
    <w:rsid w:val="00032B65"/>
    <w:rsid w:val="00037466"/>
    <w:rsid w:val="00041A9E"/>
    <w:rsid w:val="0004505E"/>
    <w:rsid w:val="0004568E"/>
    <w:rsid w:val="000479D6"/>
    <w:rsid w:val="0005140A"/>
    <w:rsid w:val="00055277"/>
    <w:rsid w:val="00061F50"/>
    <w:rsid w:val="00063D1E"/>
    <w:rsid w:val="00063EC5"/>
    <w:rsid w:val="00065EEE"/>
    <w:rsid w:val="00071714"/>
    <w:rsid w:val="0008046D"/>
    <w:rsid w:val="0008513D"/>
    <w:rsid w:val="0009006D"/>
    <w:rsid w:val="000926EB"/>
    <w:rsid w:val="00094420"/>
    <w:rsid w:val="000A018D"/>
    <w:rsid w:val="000A06FA"/>
    <w:rsid w:val="000A37E5"/>
    <w:rsid w:val="000A3B4D"/>
    <w:rsid w:val="000B0C4C"/>
    <w:rsid w:val="000B3183"/>
    <w:rsid w:val="000C0771"/>
    <w:rsid w:val="000C1184"/>
    <w:rsid w:val="000C46CB"/>
    <w:rsid w:val="000C72BA"/>
    <w:rsid w:val="000C7D26"/>
    <w:rsid w:val="000D27E0"/>
    <w:rsid w:val="000D36AC"/>
    <w:rsid w:val="000D4131"/>
    <w:rsid w:val="000D7289"/>
    <w:rsid w:val="000E22E2"/>
    <w:rsid w:val="000E2B21"/>
    <w:rsid w:val="000E51E7"/>
    <w:rsid w:val="000F2159"/>
    <w:rsid w:val="00111D07"/>
    <w:rsid w:val="00126022"/>
    <w:rsid w:val="00134996"/>
    <w:rsid w:val="0014151D"/>
    <w:rsid w:val="00142E36"/>
    <w:rsid w:val="001437E0"/>
    <w:rsid w:val="001440EE"/>
    <w:rsid w:val="00144C26"/>
    <w:rsid w:val="00146A28"/>
    <w:rsid w:val="00150FEC"/>
    <w:rsid w:val="001520B6"/>
    <w:rsid w:val="0016115F"/>
    <w:rsid w:val="00162C7E"/>
    <w:rsid w:val="0016439E"/>
    <w:rsid w:val="00167285"/>
    <w:rsid w:val="00171B7B"/>
    <w:rsid w:val="001743E6"/>
    <w:rsid w:val="00176F0B"/>
    <w:rsid w:val="00183A46"/>
    <w:rsid w:val="001861A0"/>
    <w:rsid w:val="00190BBD"/>
    <w:rsid w:val="00191BB7"/>
    <w:rsid w:val="0019320C"/>
    <w:rsid w:val="00193A91"/>
    <w:rsid w:val="00197D82"/>
    <w:rsid w:val="001A6DE2"/>
    <w:rsid w:val="001B5510"/>
    <w:rsid w:val="001B5550"/>
    <w:rsid w:val="001B71DA"/>
    <w:rsid w:val="001C2509"/>
    <w:rsid w:val="001C7D1F"/>
    <w:rsid w:val="001D1B70"/>
    <w:rsid w:val="001D4BE6"/>
    <w:rsid w:val="001E61A5"/>
    <w:rsid w:val="001F6030"/>
    <w:rsid w:val="001F68E9"/>
    <w:rsid w:val="00203650"/>
    <w:rsid w:val="00204D71"/>
    <w:rsid w:val="002057D5"/>
    <w:rsid w:val="0021574B"/>
    <w:rsid w:val="002203F2"/>
    <w:rsid w:val="002205EC"/>
    <w:rsid w:val="00220E8F"/>
    <w:rsid w:val="0022399C"/>
    <w:rsid w:val="00233391"/>
    <w:rsid w:val="002345D0"/>
    <w:rsid w:val="0024642B"/>
    <w:rsid w:val="002471A6"/>
    <w:rsid w:val="002506B5"/>
    <w:rsid w:val="00252E01"/>
    <w:rsid w:val="00260B99"/>
    <w:rsid w:val="00264C30"/>
    <w:rsid w:val="002766AA"/>
    <w:rsid w:val="002877AD"/>
    <w:rsid w:val="00295899"/>
    <w:rsid w:val="00295D72"/>
    <w:rsid w:val="002A75B9"/>
    <w:rsid w:val="002B4A88"/>
    <w:rsid w:val="002C2B2A"/>
    <w:rsid w:val="002C66D6"/>
    <w:rsid w:val="002C7D7D"/>
    <w:rsid w:val="002D169F"/>
    <w:rsid w:val="002D2BF9"/>
    <w:rsid w:val="002F201A"/>
    <w:rsid w:val="00300847"/>
    <w:rsid w:val="003037DE"/>
    <w:rsid w:val="003174E9"/>
    <w:rsid w:val="0032364F"/>
    <w:rsid w:val="00323CDF"/>
    <w:rsid w:val="00326584"/>
    <w:rsid w:val="00327283"/>
    <w:rsid w:val="00331DEE"/>
    <w:rsid w:val="00332DA2"/>
    <w:rsid w:val="00336F3B"/>
    <w:rsid w:val="0034305C"/>
    <w:rsid w:val="003434F3"/>
    <w:rsid w:val="003458B7"/>
    <w:rsid w:val="003472CF"/>
    <w:rsid w:val="00352D02"/>
    <w:rsid w:val="00355004"/>
    <w:rsid w:val="00357D91"/>
    <w:rsid w:val="0036195C"/>
    <w:rsid w:val="00364995"/>
    <w:rsid w:val="003660F4"/>
    <w:rsid w:val="00367085"/>
    <w:rsid w:val="00367432"/>
    <w:rsid w:val="003751DA"/>
    <w:rsid w:val="00375931"/>
    <w:rsid w:val="00375CF4"/>
    <w:rsid w:val="003806F4"/>
    <w:rsid w:val="00387AC6"/>
    <w:rsid w:val="00387F34"/>
    <w:rsid w:val="003929E7"/>
    <w:rsid w:val="00394462"/>
    <w:rsid w:val="003A0029"/>
    <w:rsid w:val="003A219A"/>
    <w:rsid w:val="003A5B37"/>
    <w:rsid w:val="003B40C6"/>
    <w:rsid w:val="003B4661"/>
    <w:rsid w:val="003B5DD3"/>
    <w:rsid w:val="003C13DE"/>
    <w:rsid w:val="003C434A"/>
    <w:rsid w:val="003C6B44"/>
    <w:rsid w:val="003C7A6B"/>
    <w:rsid w:val="003D0052"/>
    <w:rsid w:val="003E5503"/>
    <w:rsid w:val="003E754F"/>
    <w:rsid w:val="003E787D"/>
    <w:rsid w:val="003F1109"/>
    <w:rsid w:val="003F293E"/>
    <w:rsid w:val="003F7618"/>
    <w:rsid w:val="00405270"/>
    <w:rsid w:val="00420921"/>
    <w:rsid w:val="00422310"/>
    <w:rsid w:val="00427800"/>
    <w:rsid w:val="00427DBB"/>
    <w:rsid w:val="00433B0D"/>
    <w:rsid w:val="004444FF"/>
    <w:rsid w:val="004447AF"/>
    <w:rsid w:val="00450CCD"/>
    <w:rsid w:val="0045255A"/>
    <w:rsid w:val="00455884"/>
    <w:rsid w:val="00466DA4"/>
    <w:rsid w:val="00466DB9"/>
    <w:rsid w:val="0046771A"/>
    <w:rsid w:val="00470C6D"/>
    <w:rsid w:val="00471692"/>
    <w:rsid w:val="00472576"/>
    <w:rsid w:val="00475773"/>
    <w:rsid w:val="00487B39"/>
    <w:rsid w:val="0049001C"/>
    <w:rsid w:val="004924EA"/>
    <w:rsid w:val="00496749"/>
    <w:rsid w:val="00497B6B"/>
    <w:rsid w:val="004A28B9"/>
    <w:rsid w:val="004A5DA6"/>
    <w:rsid w:val="004A609E"/>
    <w:rsid w:val="004C185D"/>
    <w:rsid w:val="004C2780"/>
    <w:rsid w:val="004C4886"/>
    <w:rsid w:val="004C6976"/>
    <w:rsid w:val="004D0A1D"/>
    <w:rsid w:val="004D23C0"/>
    <w:rsid w:val="004E41C3"/>
    <w:rsid w:val="004E4D49"/>
    <w:rsid w:val="004E6472"/>
    <w:rsid w:val="004E7FEE"/>
    <w:rsid w:val="004F6204"/>
    <w:rsid w:val="004F625E"/>
    <w:rsid w:val="004F6DBF"/>
    <w:rsid w:val="004F70C9"/>
    <w:rsid w:val="004F737E"/>
    <w:rsid w:val="00501CF1"/>
    <w:rsid w:val="0050293F"/>
    <w:rsid w:val="00502CD1"/>
    <w:rsid w:val="0050731C"/>
    <w:rsid w:val="005221BC"/>
    <w:rsid w:val="0052247E"/>
    <w:rsid w:val="00523637"/>
    <w:rsid w:val="005339AC"/>
    <w:rsid w:val="00535E0C"/>
    <w:rsid w:val="00540FD9"/>
    <w:rsid w:val="0054128E"/>
    <w:rsid w:val="00541E88"/>
    <w:rsid w:val="0054290E"/>
    <w:rsid w:val="0056716B"/>
    <w:rsid w:val="00571478"/>
    <w:rsid w:val="00573179"/>
    <w:rsid w:val="0057517F"/>
    <w:rsid w:val="00576A83"/>
    <w:rsid w:val="005834C8"/>
    <w:rsid w:val="00584BE6"/>
    <w:rsid w:val="00593568"/>
    <w:rsid w:val="005949AC"/>
    <w:rsid w:val="0059638A"/>
    <w:rsid w:val="005A409E"/>
    <w:rsid w:val="005C084F"/>
    <w:rsid w:val="005C323E"/>
    <w:rsid w:val="005E2906"/>
    <w:rsid w:val="005F06E4"/>
    <w:rsid w:val="005F0738"/>
    <w:rsid w:val="005F208A"/>
    <w:rsid w:val="005F5780"/>
    <w:rsid w:val="006031AC"/>
    <w:rsid w:val="0060417E"/>
    <w:rsid w:val="006115C0"/>
    <w:rsid w:val="00614ED3"/>
    <w:rsid w:val="006301CB"/>
    <w:rsid w:val="00631419"/>
    <w:rsid w:val="00640A96"/>
    <w:rsid w:val="006425BA"/>
    <w:rsid w:val="0064686E"/>
    <w:rsid w:val="00646A90"/>
    <w:rsid w:val="006563E6"/>
    <w:rsid w:val="00673DD1"/>
    <w:rsid w:val="00673DFE"/>
    <w:rsid w:val="00675C3D"/>
    <w:rsid w:val="0068033E"/>
    <w:rsid w:val="006861CC"/>
    <w:rsid w:val="006865E1"/>
    <w:rsid w:val="006A2851"/>
    <w:rsid w:val="006A5F6D"/>
    <w:rsid w:val="006A6FEB"/>
    <w:rsid w:val="006B2FD9"/>
    <w:rsid w:val="006C4302"/>
    <w:rsid w:val="006D3D54"/>
    <w:rsid w:val="006E6964"/>
    <w:rsid w:val="006F21D0"/>
    <w:rsid w:val="006F25D0"/>
    <w:rsid w:val="006F52D0"/>
    <w:rsid w:val="006F67FE"/>
    <w:rsid w:val="00702899"/>
    <w:rsid w:val="007044C5"/>
    <w:rsid w:val="00705216"/>
    <w:rsid w:val="00711768"/>
    <w:rsid w:val="007144AC"/>
    <w:rsid w:val="00714886"/>
    <w:rsid w:val="00724F6F"/>
    <w:rsid w:val="00726912"/>
    <w:rsid w:val="0073372E"/>
    <w:rsid w:val="00733A78"/>
    <w:rsid w:val="0073594F"/>
    <w:rsid w:val="0073725A"/>
    <w:rsid w:val="007418A3"/>
    <w:rsid w:val="00743BE0"/>
    <w:rsid w:val="007644DA"/>
    <w:rsid w:val="00766589"/>
    <w:rsid w:val="0077027C"/>
    <w:rsid w:val="00771E1C"/>
    <w:rsid w:val="007774D4"/>
    <w:rsid w:val="00777C72"/>
    <w:rsid w:val="00781496"/>
    <w:rsid w:val="007846E2"/>
    <w:rsid w:val="0078759F"/>
    <w:rsid w:val="00791BBD"/>
    <w:rsid w:val="007A1B22"/>
    <w:rsid w:val="007A2EDF"/>
    <w:rsid w:val="007B0A81"/>
    <w:rsid w:val="007B41BF"/>
    <w:rsid w:val="007B55E2"/>
    <w:rsid w:val="007C297E"/>
    <w:rsid w:val="007C2E60"/>
    <w:rsid w:val="007C4818"/>
    <w:rsid w:val="007C4DBB"/>
    <w:rsid w:val="007C6AD0"/>
    <w:rsid w:val="007C7F59"/>
    <w:rsid w:val="007D793C"/>
    <w:rsid w:val="007E5056"/>
    <w:rsid w:val="007E5104"/>
    <w:rsid w:val="007F664D"/>
    <w:rsid w:val="008023C3"/>
    <w:rsid w:val="008028B2"/>
    <w:rsid w:val="00804062"/>
    <w:rsid w:val="00807225"/>
    <w:rsid w:val="00811EE5"/>
    <w:rsid w:val="00811F27"/>
    <w:rsid w:val="00814AB8"/>
    <w:rsid w:val="00815032"/>
    <w:rsid w:val="00815E1A"/>
    <w:rsid w:val="00821A9E"/>
    <w:rsid w:val="0082252D"/>
    <w:rsid w:val="0083355C"/>
    <w:rsid w:val="00836307"/>
    <w:rsid w:val="00836FE3"/>
    <w:rsid w:val="0084702E"/>
    <w:rsid w:val="008506D8"/>
    <w:rsid w:val="00852125"/>
    <w:rsid w:val="00853B43"/>
    <w:rsid w:val="00855E5A"/>
    <w:rsid w:val="00863A06"/>
    <w:rsid w:val="00864A07"/>
    <w:rsid w:val="00870D55"/>
    <w:rsid w:val="00881846"/>
    <w:rsid w:val="00890083"/>
    <w:rsid w:val="00897837"/>
    <w:rsid w:val="008A26A8"/>
    <w:rsid w:val="008A7F47"/>
    <w:rsid w:val="008B5F71"/>
    <w:rsid w:val="008B7207"/>
    <w:rsid w:val="008C0F4D"/>
    <w:rsid w:val="008C4430"/>
    <w:rsid w:val="008C6AE3"/>
    <w:rsid w:val="008D0507"/>
    <w:rsid w:val="008D4A4B"/>
    <w:rsid w:val="008E42F3"/>
    <w:rsid w:val="008E4EAB"/>
    <w:rsid w:val="008E7061"/>
    <w:rsid w:val="008E7E40"/>
    <w:rsid w:val="008F3001"/>
    <w:rsid w:val="008F425F"/>
    <w:rsid w:val="008F535F"/>
    <w:rsid w:val="008F7C2E"/>
    <w:rsid w:val="008F7FE4"/>
    <w:rsid w:val="00906201"/>
    <w:rsid w:val="0091332D"/>
    <w:rsid w:val="0091583A"/>
    <w:rsid w:val="00923655"/>
    <w:rsid w:val="009242A8"/>
    <w:rsid w:val="00925C00"/>
    <w:rsid w:val="00930DF8"/>
    <w:rsid w:val="00931571"/>
    <w:rsid w:val="009362F0"/>
    <w:rsid w:val="00940886"/>
    <w:rsid w:val="0094323F"/>
    <w:rsid w:val="00955B63"/>
    <w:rsid w:val="00955BA3"/>
    <w:rsid w:val="009570CB"/>
    <w:rsid w:val="0096131C"/>
    <w:rsid w:val="009668ED"/>
    <w:rsid w:val="00974C43"/>
    <w:rsid w:val="00981DA1"/>
    <w:rsid w:val="009878DF"/>
    <w:rsid w:val="00990D6C"/>
    <w:rsid w:val="00996557"/>
    <w:rsid w:val="009C265E"/>
    <w:rsid w:val="009C4B2D"/>
    <w:rsid w:val="009C4D99"/>
    <w:rsid w:val="009C72E0"/>
    <w:rsid w:val="009D0807"/>
    <w:rsid w:val="009D0D12"/>
    <w:rsid w:val="009D4BBE"/>
    <w:rsid w:val="009F1F3B"/>
    <w:rsid w:val="00A04819"/>
    <w:rsid w:val="00A13B81"/>
    <w:rsid w:val="00A13FC2"/>
    <w:rsid w:val="00A14C64"/>
    <w:rsid w:val="00A30073"/>
    <w:rsid w:val="00A3300B"/>
    <w:rsid w:val="00A35966"/>
    <w:rsid w:val="00A41ABA"/>
    <w:rsid w:val="00A44866"/>
    <w:rsid w:val="00A530B4"/>
    <w:rsid w:val="00A560B6"/>
    <w:rsid w:val="00A6557D"/>
    <w:rsid w:val="00A67956"/>
    <w:rsid w:val="00A8541D"/>
    <w:rsid w:val="00A86ABF"/>
    <w:rsid w:val="00A8740A"/>
    <w:rsid w:val="00A9145A"/>
    <w:rsid w:val="00A91C4C"/>
    <w:rsid w:val="00A95900"/>
    <w:rsid w:val="00A97AEC"/>
    <w:rsid w:val="00AA1146"/>
    <w:rsid w:val="00AB2EEE"/>
    <w:rsid w:val="00AB72D3"/>
    <w:rsid w:val="00AC0EFA"/>
    <w:rsid w:val="00AC196A"/>
    <w:rsid w:val="00AC647D"/>
    <w:rsid w:val="00AC6FB5"/>
    <w:rsid w:val="00AD2E4A"/>
    <w:rsid w:val="00AD5F42"/>
    <w:rsid w:val="00AF14AD"/>
    <w:rsid w:val="00AF387B"/>
    <w:rsid w:val="00AF389D"/>
    <w:rsid w:val="00AF7C07"/>
    <w:rsid w:val="00B21478"/>
    <w:rsid w:val="00B33449"/>
    <w:rsid w:val="00B3718F"/>
    <w:rsid w:val="00B3724D"/>
    <w:rsid w:val="00B37C6A"/>
    <w:rsid w:val="00B41D02"/>
    <w:rsid w:val="00B44AD3"/>
    <w:rsid w:val="00B456F7"/>
    <w:rsid w:val="00B50C53"/>
    <w:rsid w:val="00B579B4"/>
    <w:rsid w:val="00B61E9F"/>
    <w:rsid w:val="00B64314"/>
    <w:rsid w:val="00B65601"/>
    <w:rsid w:val="00B715C5"/>
    <w:rsid w:val="00B74850"/>
    <w:rsid w:val="00B7739F"/>
    <w:rsid w:val="00B91D0A"/>
    <w:rsid w:val="00B9209A"/>
    <w:rsid w:val="00B9627F"/>
    <w:rsid w:val="00B97193"/>
    <w:rsid w:val="00BA657B"/>
    <w:rsid w:val="00BA6BEB"/>
    <w:rsid w:val="00BA7E85"/>
    <w:rsid w:val="00BB14F9"/>
    <w:rsid w:val="00BB5682"/>
    <w:rsid w:val="00BC3461"/>
    <w:rsid w:val="00BC5DFA"/>
    <w:rsid w:val="00BD0681"/>
    <w:rsid w:val="00BD0744"/>
    <w:rsid w:val="00BD1FB3"/>
    <w:rsid w:val="00BD41EB"/>
    <w:rsid w:val="00BE3C2D"/>
    <w:rsid w:val="00BE710A"/>
    <w:rsid w:val="00BF1C9F"/>
    <w:rsid w:val="00BF1E8A"/>
    <w:rsid w:val="00BF2AB0"/>
    <w:rsid w:val="00BF2FDF"/>
    <w:rsid w:val="00BF4BD6"/>
    <w:rsid w:val="00BF5A03"/>
    <w:rsid w:val="00BF78FB"/>
    <w:rsid w:val="00C023BB"/>
    <w:rsid w:val="00C07EFD"/>
    <w:rsid w:val="00C11069"/>
    <w:rsid w:val="00C135E4"/>
    <w:rsid w:val="00C139A7"/>
    <w:rsid w:val="00C21DFA"/>
    <w:rsid w:val="00C25F1E"/>
    <w:rsid w:val="00C2631A"/>
    <w:rsid w:val="00C32416"/>
    <w:rsid w:val="00C356C1"/>
    <w:rsid w:val="00C45F0B"/>
    <w:rsid w:val="00C501C8"/>
    <w:rsid w:val="00C52390"/>
    <w:rsid w:val="00C55ED8"/>
    <w:rsid w:val="00C579AF"/>
    <w:rsid w:val="00C62A35"/>
    <w:rsid w:val="00C65A28"/>
    <w:rsid w:val="00C7143D"/>
    <w:rsid w:val="00C75B8A"/>
    <w:rsid w:val="00C761B9"/>
    <w:rsid w:val="00C83AE9"/>
    <w:rsid w:val="00C85436"/>
    <w:rsid w:val="00C85C86"/>
    <w:rsid w:val="00C90049"/>
    <w:rsid w:val="00C91079"/>
    <w:rsid w:val="00C94381"/>
    <w:rsid w:val="00C94CEE"/>
    <w:rsid w:val="00C9627A"/>
    <w:rsid w:val="00C96E6B"/>
    <w:rsid w:val="00CB0AC5"/>
    <w:rsid w:val="00CB3765"/>
    <w:rsid w:val="00CC2891"/>
    <w:rsid w:val="00CC4002"/>
    <w:rsid w:val="00CE3B51"/>
    <w:rsid w:val="00CE4029"/>
    <w:rsid w:val="00CF1255"/>
    <w:rsid w:val="00CF42D1"/>
    <w:rsid w:val="00CF64E2"/>
    <w:rsid w:val="00D00F2B"/>
    <w:rsid w:val="00D02F06"/>
    <w:rsid w:val="00D03509"/>
    <w:rsid w:val="00D067DE"/>
    <w:rsid w:val="00D12D9A"/>
    <w:rsid w:val="00D13D51"/>
    <w:rsid w:val="00D147D4"/>
    <w:rsid w:val="00D20A71"/>
    <w:rsid w:val="00D21C8E"/>
    <w:rsid w:val="00D340D9"/>
    <w:rsid w:val="00D46857"/>
    <w:rsid w:val="00D5457E"/>
    <w:rsid w:val="00D56925"/>
    <w:rsid w:val="00D701A9"/>
    <w:rsid w:val="00D741DD"/>
    <w:rsid w:val="00D833E4"/>
    <w:rsid w:val="00D855DB"/>
    <w:rsid w:val="00D90E00"/>
    <w:rsid w:val="00D9301F"/>
    <w:rsid w:val="00D94339"/>
    <w:rsid w:val="00DA20CF"/>
    <w:rsid w:val="00DA7E09"/>
    <w:rsid w:val="00DD6F28"/>
    <w:rsid w:val="00DE0CB7"/>
    <w:rsid w:val="00DE4BFE"/>
    <w:rsid w:val="00DE4FC4"/>
    <w:rsid w:val="00DE633E"/>
    <w:rsid w:val="00DF0939"/>
    <w:rsid w:val="00DF3377"/>
    <w:rsid w:val="00DF77EF"/>
    <w:rsid w:val="00E126A8"/>
    <w:rsid w:val="00E16A69"/>
    <w:rsid w:val="00E219EB"/>
    <w:rsid w:val="00E23E18"/>
    <w:rsid w:val="00E24D5A"/>
    <w:rsid w:val="00E320C0"/>
    <w:rsid w:val="00E40563"/>
    <w:rsid w:val="00E47003"/>
    <w:rsid w:val="00E47483"/>
    <w:rsid w:val="00E53DBB"/>
    <w:rsid w:val="00E5742D"/>
    <w:rsid w:val="00E62270"/>
    <w:rsid w:val="00E647DE"/>
    <w:rsid w:val="00E66641"/>
    <w:rsid w:val="00E678BB"/>
    <w:rsid w:val="00E73A63"/>
    <w:rsid w:val="00E741FF"/>
    <w:rsid w:val="00E87879"/>
    <w:rsid w:val="00E87E5C"/>
    <w:rsid w:val="00E9207A"/>
    <w:rsid w:val="00E93F37"/>
    <w:rsid w:val="00EA153B"/>
    <w:rsid w:val="00EA73F0"/>
    <w:rsid w:val="00EB0B0A"/>
    <w:rsid w:val="00EB3D9D"/>
    <w:rsid w:val="00EB663B"/>
    <w:rsid w:val="00EB7E22"/>
    <w:rsid w:val="00EC5054"/>
    <w:rsid w:val="00ED209E"/>
    <w:rsid w:val="00ED3298"/>
    <w:rsid w:val="00ED4ABF"/>
    <w:rsid w:val="00EE69E2"/>
    <w:rsid w:val="00EF313F"/>
    <w:rsid w:val="00EF3DDA"/>
    <w:rsid w:val="00EF742C"/>
    <w:rsid w:val="00F01075"/>
    <w:rsid w:val="00F0399D"/>
    <w:rsid w:val="00F0499B"/>
    <w:rsid w:val="00F124A5"/>
    <w:rsid w:val="00F21826"/>
    <w:rsid w:val="00F26B43"/>
    <w:rsid w:val="00F27181"/>
    <w:rsid w:val="00F337D5"/>
    <w:rsid w:val="00F34BF2"/>
    <w:rsid w:val="00F35B0E"/>
    <w:rsid w:val="00F43DCC"/>
    <w:rsid w:val="00F57314"/>
    <w:rsid w:val="00F60D2E"/>
    <w:rsid w:val="00F60D58"/>
    <w:rsid w:val="00F60EFA"/>
    <w:rsid w:val="00F62BCC"/>
    <w:rsid w:val="00F66735"/>
    <w:rsid w:val="00F677DF"/>
    <w:rsid w:val="00F73A5B"/>
    <w:rsid w:val="00F81FCB"/>
    <w:rsid w:val="00F86AA2"/>
    <w:rsid w:val="00F86C6B"/>
    <w:rsid w:val="00F9512A"/>
    <w:rsid w:val="00F975AE"/>
    <w:rsid w:val="00FA22FF"/>
    <w:rsid w:val="00FA4A6E"/>
    <w:rsid w:val="00FA537F"/>
    <w:rsid w:val="00FB1EAD"/>
    <w:rsid w:val="00FB5156"/>
    <w:rsid w:val="00FB60E0"/>
    <w:rsid w:val="00FB6BD7"/>
    <w:rsid w:val="00FD059C"/>
    <w:rsid w:val="00FD58D1"/>
    <w:rsid w:val="00FE512E"/>
    <w:rsid w:val="00FE65F9"/>
    <w:rsid w:val="00FF0D8D"/>
    <w:rsid w:val="00FF133A"/>
    <w:rsid w:val="00FF4AB9"/>
    <w:rsid w:val="00FF60E3"/>
    <w:rsid w:val="00FF621F"/>
    <w:rsid w:val="00FF6AE8"/>
    <w:rsid w:val="00FF6F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6DD0B6"/>
  <w15:docId w15:val="{3139D726-0F03-4164-A01E-3CC736B3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9638A"/>
    <w:pPr>
      <w:spacing w:after="170"/>
    </w:pPr>
    <w:rPr>
      <w:rFonts w:ascii="Arial" w:hAnsi="Arial"/>
      <w:sz w:val="24"/>
      <w:szCs w:val="22"/>
    </w:rPr>
  </w:style>
  <w:style w:type="paragraph" w:styleId="Heading1">
    <w:name w:val="heading 1"/>
    <w:basedOn w:val="Normal"/>
    <w:next w:val="Normal"/>
    <w:link w:val="Heading1Char"/>
    <w:uiPriority w:val="9"/>
    <w:qFormat/>
    <w:rsid w:val="00631419"/>
    <w:pPr>
      <w:keepNext/>
      <w:keepLines/>
      <w:numPr>
        <w:numId w:val="8"/>
      </w:numPr>
      <w:spacing w:after="120"/>
      <w:jc w:val="both"/>
      <w:outlineLvl w:val="0"/>
    </w:pPr>
    <w:rPr>
      <w:rFonts w:eastAsia="Times New Roman"/>
      <w:b/>
      <w:bCs/>
      <w:color w:val="095489" w:themeColor="accent1"/>
      <w:sz w:val="30"/>
      <w:szCs w:val="28"/>
    </w:rPr>
  </w:style>
  <w:style w:type="paragraph" w:styleId="Heading2">
    <w:name w:val="heading 2"/>
    <w:basedOn w:val="Normal"/>
    <w:next w:val="Normal"/>
    <w:link w:val="Heading2Char"/>
    <w:uiPriority w:val="9"/>
    <w:qFormat/>
    <w:rsid w:val="00CB3765"/>
    <w:pPr>
      <w:keepNext/>
      <w:keepLines/>
      <w:spacing w:before="240" w:after="60"/>
      <w:outlineLvl w:val="1"/>
    </w:pPr>
    <w:rPr>
      <w:rFonts w:eastAsia="Times New Roman"/>
      <w:b/>
      <w:bCs/>
      <w:color w:val="095489" w:themeColor="accent1"/>
      <w:sz w:val="26"/>
      <w:szCs w:val="26"/>
    </w:rPr>
  </w:style>
  <w:style w:type="paragraph" w:styleId="Heading3">
    <w:name w:val="heading 3"/>
    <w:basedOn w:val="Normal"/>
    <w:next w:val="Normal"/>
    <w:link w:val="Heading3Char"/>
    <w:uiPriority w:val="9"/>
    <w:qFormat/>
    <w:rsid w:val="00CB3765"/>
    <w:pPr>
      <w:keepNext/>
      <w:keepLines/>
      <w:spacing w:before="240" w:after="60"/>
      <w:outlineLvl w:val="2"/>
    </w:pPr>
    <w:rPr>
      <w:rFonts w:eastAsia="Times New Roman"/>
      <w:b/>
      <w:bCs/>
      <w:color w:val="095489" w:themeColor="accent1"/>
    </w:rPr>
  </w:style>
  <w:style w:type="paragraph" w:styleId="Heading4">
    <w:name w:val="heading 4"/>
    <w:basedOn w:val="Normal"/>
    <w:next w:val="Normal"/>
    <w:link w:val="Heading4Char"/>
    <w:uiPriority w:val="9"/>
    <w:qFormat/>
    <w:rsid w:val="00C65A28"/>
    <w:pPr>
      <w:keepNext/>
      <w:keepLines/>
      <w:spacing w:before="240" w:after="60"/>
      <w:outlineLvl w:val="3"/>
    </w:pPr>
    <w:rPr>
      <w:rFonts w:eastAsia="Times New Roman"/>
      <w:b/>
      <w:bCs/>
      <w:iCs/>
      <w:color w:val="464E56"/>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imes New Roman"/>
      <w:color w:val="000000"/>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imes New Roman"/>
      <w:i/>
      <w:iCs/>
      <w:color w:val="000000"/>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imes New Roman"/>
      <w:i/>
      <w:iCs/>
      <w:color w:val="000000"/>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imes New Roman"/>
      <w:color w:val="000000"/>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imes New Roman"/>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A91C4C"/>
    <w:rPr>
      <w:rFonts w:ascii="Arial" w:eastAsia="Times New Roman" w:hAnsi="Arial" w:cs="Times New Roman"/>
      <w:color w:val="000000"/>
      <w:sz w:val="24"/>
    </w:rPr>
  </w:style>
  <w:style w:type="paragraph" w:customStyle="1" w:styleId="Headlines">
    <w:name w:val="Headlines"/>
    <w:basedOn w:val="Normal"/>
    <w:next w:val="Heading1"/>
    <w:qFormat/>
    <w:rsid w:val="00CB3765"/>
    <w:pPr>
      <w:spacing w:before="240" w:after="660"/>
      <w:ind w:left="1134"/>
    </w:pPr>
    <w:rPr>
      <w:color w:val="095489" w:themeColor="accent1"/>
      <w:sz w:val="72"/>
    </w:rPr>
  </w:style>
  <w:style w:type="paragraph" w:customStyle="1" w:styleId="Subheadlines">
    <w:name w:val="Sub headlines"/>
    <w:basedOn w:val="Normal"/>
    <w:next w:val="Normal"/>
    <w:rsid w:val="00A9145A"/>
    <w:rPr>
      <w:b/>
      <w:color w:val="464E56"/>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link w:val="Heading1"/>
    <w:uiPriority w:val="9"/>
    <w:rsid w:val="00631419"/>
    <w:rPr>
      <w:rFonts w:ascii="Arial" w:eastAsia="Times New Roman" w:hAnsi="Arial"/>
      <w:b/>
      <w:bCs/>
      <w:color w:val="095489" w:themeColor="accent1"/>
      <w:sz w:val="30"/>
      <w:szCs w:val="28"/>
    </w:rPr>
  </w:style>
  <w:style w:type="character" w:customStyle="1" w:styleId="Heading2Char">
    <w:name w:val="Heading 2 Char"/>
    <w:link w:val="Heading2"/>
    <w:uiPriority w:val="9"/>
    <w:rsid w:val="00CB3765"/>
    <w:rPr>
      <w:rFonts w:ascii="Arial" w:eastAsia="Times New Roman" w:hAnsi="Arial"/>
      <w:b/>
      <w:bCs/>
      <w:color w:val="095489" w:themeColor="accent1"/>
      <w:sz w:val="26"/>
      <w:szCs w:val="26"/>
      <w:lang w:eastAsia="en-US"/>
    </w:rPr>
  </w:style>
  <w:style w:type="character" w:customStyle="1" w:styleId="Heading3Char">
    <w:name w:val="Heading 3 Char"/>
    <w:link w:val="Heading3"/>
    <w:uiPriority w:val="9"/>
    <w:rsid w:val="00CB3765"/>
    <w:rPr>
      <w:rFonts w:ascii="Arial" w:eastAsia="Times New Roman" w:hAnsi="Arial"/>
      <w:b/>
      <w:bCs/>
      <w:color w:val="095489" w:themeColor="accent1"/>
      <w:sz w:val="24"/>
      <w:szCs w:val="22"/>
      <w:lang w:eastAsia="en-US"/>
    </w:rPr>
  </w:style>
  <w:style w:type="character" w:customStyle="1" w:styleId="Heading4Char">
    <w:name w:val="Heading 4 Char"/>
    <w:link w:val="Heading4"/>
    <w:uiPriority w:val="9"/>
    <w:rsid w:val="00C65A28"/>
    <w:rPr>
      <w:rFonts w:ascii="Arial" w:eastAsia="Times New Roman" w:hAnsi="Arial"/>
      <w:b/>
      <w:bCs/>
      <w:iCs/>
      <w:color w:val="464E56"/>
      <w:sz w:val="24"/>
      <w:szCs w:val="22"/>
      <w:lang w:val="en-AU"/>
    </w:rPr>
  </w:style>
  <w:style w:type="paragraph" w:styleId="TOCHeading">
    <w:name w:val="TOC Heading"/>
    <w:basedOn w:val="Heading1"/>
    <w:next w:val="Normal"/>
    <w:uiPriority w:val="39"/>
    <w:unhideWhenUsed/>
    <w:qFormat/>
    <w:rsid w:val="00CB3765"/>
    <w:pPr>
      <w:spacing w:before="60" w:line="360" w:lineRule="auto"/>
      <w:outlineLvl w:val="9"/>
    </w:pPr>
    <w:rPr>
      <w:rFonts w:cs="Arial"/>
      <w:lang w:eastAsia="ja-JP"/>
    </w:rPr>
  </w:style>
  <w:style w:type="paragraph" w:styleId="TOC1">
    <w:name w:val="toc 1"/>
    <w:basedOn w:val="Normal"/>
    <w:next w:val="Normal"/>
    <w:autoRedefine/>
    <w:uiPriority w:val="39"/>
    <w:qFormat/>
    <w:rsid w:val="0064686E"/>
    <w:pPr>
      <w:tabs>
        <w:tab w:val="right" w:pos="9923"/>
      </w:tabs>
      <w:spacing w:after="100"/>
    </w:pPr>
    <w:rPr>
      <w:noProof/>
    </w:rPr>
  </w:style>
  <w:style w:type="paragraph" w:styleId="TOC2">
    <w:name w:val="toc 2"/>
    <w:basedOn w:val="Normal"/>
    <w:next w:val="Normal"/>
    <w:autoRedefine/>
    <w:uiPriority w:val="39"/>
    <w:qFormat/>
    <w:rsid w:val="0064686E"/>
    <w:pPr>
      <w:tabs>
        <w:tab w:val="right" w:pos="9923"/>
      </w:tabs>
      <w:spacing w:after="100"/>
      <w:ind w:left="240"/>
    </w:pPr>
  </w:style>
  <w:style w:type="paragraph" w:styleId="TOC3">
    <w:name w:val="toc 3"/>
    <w:basedOn w:val="Normal"/>
    <w:next w:val="Normal"/>
    <w:autoRedefine/>
    <w:uiPriority w:val="39"/>
    <w:qFormat/>
    <w:rsid w:val="0064686E"/>
    <w:pPr>
      <w:tabs>
        <w:tab w:val="right" w:pos="9923"/>
      </w:tabs>
      <w:spacing w:after="100"/>
      <w:ind w:left="480"/>
    </w:pPr>
  </w:style>
  <w:style w:type="character" w:styleId="Hyperlink">
    <w:name w:val="Hyperlink"/>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link w:val="BalloonText"/>
    <w:uiPriority w:val="99"/>
    <w:semiHidden/>
    <w:rsid w:val="00981DA1"/>
    <w:rPr>
      <w:rFonts w:ascii="Tahoma" w:hAnsi="Tahoma" w:cs="Tahoma"/>
      <w:sz w:val="16"/>
      <w:szCs w:val="16"/>
    </w:rPr>
  </w:style>
  <w:style w:type="character" w:customStyle="1" w:styleId="Heading6Char">
    <w:name w:val="Heading 6 Char"/>
    <w:link w:val="Heading6"/>
    <w:uiPriority w:val="9"/>
    <w:semiHidden/>
    <w:rsid w:val="00A91C4C"/>
    <w:rPr>
      <w:rFonts w:ascii="Arial" w:eastAsia="Times New Roman" w:hAnsi="Arial" w:cs="Times New Roman"/>
      <w:i/>
      <w:iCs/>
      <w:color w:val="000000"/>
      <w:sz w:val="24"/>
    </w:rPr>
  </w:style>
  <w:style w:type="character" w:customStyle="1" w:styleId="Heading7Char">
    <w:name w:val="Heading 7 Char"/>
    <w:link w:val="Heading7"/>
    <w:uiPriority w:val="9"/>
    <w:semiHidden/>
    <w:rsid w:val="00A91C4C"/>
    <w:rPr>
      <w:rFonts w:ascii="Arial" w:eastAsia="Times New Roman" w:hAnsi="Arial" w:cs="Times New Roman"/>
      <w:i/>
      <w:iCs/>
      <w:color w:val="000000"/>
      <w:sz w:val="24"/>
    </w:rPr>
  </w:style>
  <w:style w:type="character" w:customStyle="1" w:styleId="Heading8Char">
    <w:name w:val="Heading 8 Char"/>
    <w:link w:val="Heading8"/>
    <w:uiPriority w:val="9"/>
    <w:semiHidden/>
    <w:rsid w:val="00A91C4C"/>
    <w:rPr>
      <w:rFonts w:ascii="Arial" w:eastAsia="Times New Roman" w:hAnsi="Arial" w:cs="Times New Roman"/>
      <w:color w:val="000000"/>
      <w:sz w:val="24"/>
      <w:szCs w:val="20"/>
    </w:rPr>
  </w:style>
  <w:style w:type="character" w:customStyle="1" w:styleId="Heading9Char">
    <w:name w:val="Heading 9 Char"/>
    <w:link w:val="Heading9"/>
    <w:uiPriority w:val="9"/>
    <w:semiHidden/>
    <w:rsid w:val="00A91C4C"/>
    <w:rPr>
      <w:rFonts w:ascii="Arial" w:eastAsia="Times New Roman" w:hAnsi="Arial" w:cs="Times New Roman"/>
      <w:i/>
      <w:iCs/>
      <w:color w:val="000000"/>
      <w:sz w:val="24"/>
      <w:szCs w:val="20"/>
    </w:rPr>
  </w:style>
  <w:style w:type="table" w:styleId="TableGrid">
    <w:name w:val="Table Grid"/>
    <w:basedOn w:val="TableNormal"/>
    <w:uiPriority w:val="59"/>
    <w:rsid w:val="001F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sz w:val="24"/>
      <w:lang w:eastAsia="en-AU"/>
    </w:rPr>
    <w:tblPr/>
    <w:tblStylePr w:type="firstRow">
      <w:pPr>
        <w:spacing w:before="0" w:after="0" w:line="240" w:lineRule="auto"/>
      </w:pPr>
      <w:rPr>
        <w:b/>
        <w:bCs/>
      </w:rPr>
      <w:tblPr/>
      <w:trPr>
        <w:tblHeader/>
      </w:tr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B1BCD8"/>
      </w:tcPr>
    </w:tblStylePr>
  </w:style>
  <w:style w:type="table" w:styleId="LightList-Accent1">
    <w:name w:val="Light List Accent 1"/>
    <w:basedOn w:val="TableNormal"/>
    <w:uiPriority w:val="61"/>
    <w:rsid w:val="001F68E9"/>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pPr>
        <w:spacing w:before="0" w:after="0" w:line="240" w:lineRule="auto"/>
      </w:pPr>
      <w:rPr>
        <w:b/>
        <w:bCs/>
        <w:color w:val="FFFFFF"/>
      </w:rPr>
      <w:tbl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Shading-Accent1">
    <w:name w:val="Light Shading Accent 1"/>
    <w:basedOn w:val="TableNormal"/>
    <w:uiPriority w:val="60"/>
    <w:rsid w:val="001F68E9"/>
    <w:rPr>
      <w:color w:val="003769"/>
    </w:rPr>
    <w:tblPr>
      <w:tblStyleRowBandSize w:val="1"/>
      <w:tblStyleColBandSize w:val="1"/>
      <w:tblBorders>
        <w:top w:val="single" w:sz="8" w:space="0" w:color="004B8D"/>
        <w:bottom w:val="single" w:sz="8" w:space="0" w:color="004B8D"/>
      </w:tblBorders>
    </w:tblPr>
    <w:tblStylePr w:type="fir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lastRow">
      <w:pPr>
        <w:spacing w:before="0" w:after="0" w:line="240" w:lineRule="auto"/>
      </w:pPr>
      <w:rPr>
        <w:b/>
        <w:bCs/>
      </w:rPr>
      <w:tblPr/>
      <w:tcPr>
        <w:tcBorders>
          <w:top w:val="single" w:sz="8" w:space="0" w:color="004B8D"/>
          <w:left w:val="nil"/>
          <w:bottom w:val="single" w:sz="8" w:space="0" w:color="004B8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4FF"/>
      </w:tcPr>
    </w:tblStylePr>
    <w:tblStylePr w:type="band1Horz">
      <w:tblPr/>
      <w:tcPr>
        <w:tcBorders>
          <w:left w:val="nil"/>
          <w:right w:val="nil"/>
          <w:insideH w:val="nil"/>
          <w:insideV w:val="nil"/>
        </w:tcBorders>
        <w:shd w:val="clear" w:color="auto" w:fill="A3D4F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rPr>
      <w:tblPr/>
      <w:trPr>
        <w:tblHeader/>
      </w:trPr>
      <w:tcPr>
        <w:shd w:val="clear" w:color="auto" w:fill="004B8D"/>
      </w:tcPr>
    </w:tblStylePr>
    <w:tblStylePr w:type="lastRow">
      <w:pPr>
        <w:spacing w:before="0" w:after="0" w:line="240" w:lineRule="auto"/>
      </w:pPr>
      <w:rPr>
        <w:b/>
        <w:bCs/>
      </w:rPr>
      <w:tblPr/>
      <w:tcPr>
        <w:tcBorders>
          <w:top w:val="double" w:sz="6" w:space="0" w:color="004B8D"/>
          <w:left w:val="single" w:sz="8" w:space="0" w:color="004B8D"/>
          <w:bottom w:val="single" w:sz="8" w:space="0" w:color="004B8D"/>
          <w:right w:val="single" w:sz="8" w:space="0" w:color="004B8D"/>
        </w:tcBorders>
      </w:tcPr>
    </w:tblStylePr>
    <w:tblStylePr w:type="firstCol">
      <w:rPr>
        <w:b/>
        <w:bCs/>
      </w:rPr>
    </w:tblStylePr>
    <w:tblStylePr w:type="lastCol">
      <w:rPr>
        <w:b/>
        <w:bCs/>
      </w:rPr>
    </w:tblStylePr>
    <w:tblStylePr w:type="band1Vert">
      <w:tblPr/>
      <w:tcPr>
        <w:tcBorders>
          <w:top w:val="single" w:sz="8" w:space="0" w:color="004B8D"/>
          <w:left w:val="single" w:sz="8" w:space="0" w:color="004B8D"/>
          <w:bottom w:val="single" w:sz="8" w:space="0" w:color="004B8D"/>
          <w:right w:val="single" w:sz="8" w:space="0" w:color="004B8D"/>
        </w:tcBorders>
      </w:tcPr>
    </w:tblStylePr>
    <w:tblStylePr w:type="band1Horz">
      <w:tblPr/>
      <w:tcPr>
        <w:tcBorders>
          <w:top w:val="single" w:sz="8" w:space="0" w:color="004B8D"/>
          <w:left w:val="single" w:sz="8" w:space="0" w:color="004B8D"/>
          <w:bottom w:val="single" w:sz="8" w:space="0" w:color="004B8D"/>
          <w:right w:val="single" w:sz="8" w:space="0" w:color="004B8D"/>
        </w:tcBorders>
      </w:tcPr>
    </w:tblStylePr>
  </w:style>
  <w:style w:type="table" w:styleId="LightGrid-Accent1">
    <w:name w:val="Light Grid Accent 1"/>
    <w:basedOn w:val="TableNormal"/>
    <w:uiPriority w:val="62"/>
    <w:rsid w:val="001F68E9"/>
    <w:tblPr>
      <w:tblStyleRowBandSize w:val="1"/>
      <w:tblStyleColBandSize w:val="1"/>
      <w:tblBorders>
        <w:top w:val="single" w:sz="8" w:space="0" w:color="004B8D"/>
        <w:left w:val="single" w:sz="8" w:space="0" w:color="004B8D"/>
        <w:bottom w:val="single" w:sz="8" w:space="0" w:color="004B8D"/>
        <w:right w:val="single" w:sz="8" w:space="0" w:color="004B8D"/>
        <w:insideH w:val="single" w:sz="8" w:space="0" w:color="004B8D"/>
        <w:insideV w:val="single" w:sz="8" w:space="0" w:color="004B8D"/>
      </w:tblBorders>
    </w:tblPr>
    <w:tblStylePr w:type="firstRow">
      <w:pPr>
        <w:spacing w:before="0" w:after="0" w:line="240" w:lineRule="auto"/>
      </w:pPr>
      <w:rPr>
        <w:rFonts w:ascii="Cambria Math" w:eastAsia="Times New Roman" w:hAnsi="Cambria Math" w:cs="Times New Roman"/>
        <w:b/>
        <w:bCs/>
      </w:rPr>
      <w:tbl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A3D4FF"/>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Cambria Math" w:eastAsia="Times New Roman" w:hAnsi="Cambria Math" w:cs="Times New Roman"/>
        <w:b/>
        <w:bCs/>
      </w:rPr>
      <w:tblPr/>
      <w:trPr>
        <w:tblHeader/>
      </w:trPr>
      <w:tcPr>
        <w:tcBorders>
          <w:top w:val="single" w:sz="8" w:space="0" w:color="004B8D"/>
          <w:left w:val="single" w:sz="8" w:space="0" w:color="004B8D"/>
          <w:bottom w:val="single" w:sz="18" w:space="0" w:color="004B8D"/>
          <w:right w:val="single" w:sz="8" w:space="0" w:color="004B8D"/>
          <w:insideH w:val="nil"/>
          <w:insideV w:val="single" w:sz="8" w:space="0" w:color="004B8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004B8D"/>
          <w:left w:val="single" w:sz="8" w:space="0" w:color="004B8D"/>
          <w:bottom w:val="single" w:sz="8" w:space="0" w:color="004B8D"/>
          <w:right w:val="single" w:sz="8" w:space="0" w:color="004B8D"/>
          <w:insideH w:val="nil"/>
          <w:insideV w:val="single" w:sz="8" w:space="0" w:color="004B8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004B8D"/>
          <w:left w:val="single" w:sz="8" w:space="0" w:color="004B8D"/>
          <w:bottom w:val="single" w:sz="8" w:space="0" w:color="004B8D"/>
          <w:right w:val="single" w:sz="8" w:space="0" w:color="004B8D"/>
        </w:tcBorders>
      </w:tcPr>
    </w:tblStylePr>
    <w:tblStylePr w:type="band1Vert">
      <w:tblPr/>
      <w:tcPr>
        <w:tcBorders>
          <w:top w:val="single" w:sz="8" w:space="0" w:color="004B8D"/>
          <w:left w:val="single" w:sz="8" w:space="0" w:color="004B8D"/>
          <w:bottom w:val="single" w:sz="8" w:space="0" w:color="004B8D"/>
          <w:right w:val="single" w:sz="8" w:space="0" w:color="004B8D"/>
        </w:tcBorders>
        <w:shd w:val="clear" w:color="auto" w:fill="A3D4FF"/>
      </w:tcPr>
    </w:tblStylePr>
    <w:tblStylePr w:type="band1Horz">
      <w:tblPr/>
      <w:tcPr>
        <w:tcBorders>
          <w:top w:val="single" w:sz="8" w:space="0" w:color="004B8D"/>
          <w:left w:val="single" w:sz="8" w:space="0" w:color="004B8D"/>
          <w:bottom w:val="single" w:sz="8" w:space="0" w:color="004B8D"/>
          <w:right w:val="single" w:sz="8" w:space="0" w:color="004B8D"/>
          <w:insideV w:val="single" w:sz="8" w:space="0" w:color="004B8D"/>
        </w:tcBorders>
        <w:shd w:val="clear" w:color="auto" w:fill="B1BCD8"/>
      </w:tcPr>
    </w:tblStylePr>
    <w:tblStylePr w:type="band2Horz">
      <w:tblPr/>
      <w:tcPr>
        <w:tcBorders>
          <w:top w:val="single" w:sz="8" w:space="0" w:color="004B8D"/>
          <w:left w:val="single" w:sz="8" w:space="0" w:color="004B8D"/>
          <w:bottom w:val="single" w:sz="8" w:space="0" w:color="004B8D"/>
          <w:right w:val="single" w:sz="8" w:space="0" w:color="004B8D"/>
          <w:insideV w:val="single" w:sz="8" w:space="0" w:color="004B8D"/>
        </w:tcBorders>
      </w:tcPr>
    </w:tblStylePr>
  </w:style>
  <w:style w:type="table" w:styleId="MediumShading1-Accent1">
    <w:name w:val="Medium Shading 1 Accent 1"/>
    <w:basedOn w:val="TableNormal"/>
    <w:uiPriority w:val="63"/>
    <w:rsid w:val="001F68E9"/>
    <w:tblPr>
      <w:tblStyleRowBandSize w:val="1"/>
      <w:tblStyleColBandSize w:val="1"/>
      <w:tblBorders>
        <w:top w:val="single" w:sz="8" w:space="0" w:color="007BE9"/>
        <w:left w:val="single" w:sz="8" w:space="0" w:color="007BE9"/>
        <w:bottom w:val="single" w:sz="8" w:space="0" w:color="007BE9"/>
        <w:right w:val="single" w:sz="8" w:space="0" w:color="007BE9"/>
        <w:insideH w:val="single" w:sz="8" w:space="0" w:color="007BE9"/>
      </w:tblBorders>
    </w:tblPr>
    <w:tblStylePr w:type="firstRow">
      <w:pPr>
        <w:spacing w:before="0" w:after="0" w:line="240" w:lineRule="auto"/>
      </w:pPr>
      <w:rPr>
        <w:b/>
        <w:bCs/>
        <w:color w:val="FFFFFF"/>
      </w:rPr>
      <w:tbl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A3D4F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rPr>
      <w:tblPr/>
      <w:trPr>
        <w:tblHeader/>
      </w:trPr>
      <w:tcPr>
        <w:tcBorders>
          <w:top w:val="single" w:sz="8" w:space="0" w:color="007BE9"/>
          <w:left w:val="single" w:sz="8" w:space="0" w:color="007BE9"/>
          <w:bottom w:val="single" w:sz="8" w:space="0" w:color="007BE9"/>
          <w:right w:val="single" w:sz="8" w:space="0" w:color="007BE9"/>
          <w:insideH w:val="nil"/>
          <w:insideV w:val="nil"/>
        </w:tcBorders>
        <w:shd w:val="clear" w:color="auto" w:fill="004B8D"/>
      </w:tcPr>
    </w:tblStylePr>
    <w:tblStylePr w:type="lastRow">
      <w:pPr>
        <w:spacing w:before="0" w:after="0" w:line="240" w:lineRule="auto"/>
      </w:pPr>
      <w:rPr>
        <w:b/>
        <w:bCs/>
      </w:rPr>
      <w:tblPr/>
      <w:tcPr>
        <w:tcBorders>
          <w:top w:val="double" w:sz="6" w:space="0" w:color="007BE9"/>
          <w:left w:val="single" w:sz="8" w:space="0" w:color="007BE9"/>
          <w:bottom w:val="single" w:sz="8" w:space="0" w:color="007BE9"/>
          <w:right w:val="single" w:sz="8" w:space="0" w:color="007BE9"/>
          <w:insideH w:val="nil"/>
          <w:insideV w:val="nil"/>
        </w:tcBorders>
      </w:tcPr>
    </w:tblStylePr>
    <w:tblStylePr w:type="firstCol">
      <w:rPr>
        <w:b/>
        <w:bCs/>
      </w:rPr>
    </w:tblStylePr>
    <w:tblStylePr w:type="lastCol">
      <w:rPr>
        <w:b/>
        <w:bCs/>
      </w:rPr>
    </w:tblStylePr>
    <w:tblStylePr w:type="band1Vert">
      <w:tblPr/>
      <w:tcPr>
        <w:shd w:val="clear" w:color="auto" w:fill="A3D4FF"/>
      </w:tcPr>
    </w:tblStylePr>
    <w:tblStylePr w:type="band1Horz">
      <w:tblPr/>
      <w:tcPr>
        <w:tcBorders>
          <w:insideH w:val="nil"/>
          <w:insideV w:val="nil"/>
        </w:tcBorders>
        <w:shd w:val="clear" w:color="auto" w:fill="FFFFFF"/>
      </w:tcPr>
    </w:tblStylePr>
    <w:tblStylePr w:type="band2Horz">
      <w:tblPr/>
      <w:tcPr>
        <w:tcBorders>
          <w:insideH w:val="nil"/>
          <w:insideV w:val="nil"/>
        </w:tcBorders>
        <w:shd w:val="clear" w:color="auto" w:fill="B1BCD8"/>
      </w:tcPr>
    </w:tblStylePr>
  </w:style>
  <w:style w:type="table" w:styleId="MediumList1-Accent1">
    <w:name w:val="Medium List 1 Accent 1"/>
    <w:basedOn w:val="TableNormal"/>
    <w:uiPriority w:val="65"/>
    <w:rsid w:val="001F68E9"/>
    <w:rPr>
      <w:color w:val="000000"/>
    </w:rPr>
    <w:tblPr>
      <w:tblStyleRowBandSize w:val="1"/>
      <w:tblStyleColBandSize w:val="1"/>
      <w:tblBorders>
        <w:top w:val="single" w:sz="8" w:space="0" w:color="004B8D"/>
        <w:bottom w:val="single" w:sz="8" w:space="0" w:color="004B8D"/>
      </w:tblBorders>
    </w:tblPr>
    <w:tblStylePr w:type="firstRow">
      <w:rPr>
        <w:rFonts w:ascii="Cambria Math" w:eastAsia="Times New Roman" w:hAnsi="Cambria Math" w:cs="Times New Roman"/>
      </w:rPr>
      <w:tbl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A3D4F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Cambria Math" w:eastAsia="Times New Roman" w:hAnsi="Cambria Math" w:cs="Times New Roman"/>
      </w:rPr>
      <w:tblPr/>
      <w:trPr>
        <w:tblHeader/>
      </w:trPr>
      <w:tcPr>
        <w:tcBorders>
          <w:top w:val="nil"/>
          <w:bottom w:val="single" w:sz="8" w:space="0" w:color="004B8D"/>
        </w:tcBorders>
      </w:tcPr>
    </w:tblStylePr>
    <w:tblStylePr w:type="lastRow">
      <w:rPr>
        <w:b/>
        <w:bCs/>
        <w:color w:val="757477"/>
      </w:rPr>
      <w:tblPr/>
      <w:tcPr>
        <w:tcBorders>
          <w:top w:val="single" w:sz="8" w:space="0" w:color="004B8D"/>
          <w:bottom w:val="single" w:sz="8" w:space="0" w:color="004B8D"/>
        </w:tcBorders>
      </w:tcPr>
    </w:tblStylePr>
    <w:tblStylePr w:type="firstCol">
      <w:rPr>
        <w:b/>
        <w:bCs/>
      </w:rPr>
    </w:tblStylePr>
    <w:tblStylePr w:type="lastCol">
      <w:rPr>
        <w:b/>
        <w:bCs/>
      </w:rPr>
      <w:tblPr/>
      <w:tcPr>
        <w:tcBorders>
          <w:top w:val="single" w:sz="8" w:space="0" w:color="004B8D"/>
          <w:bottom w:val="single" w:sz="8" w:space="0" w:color="004B8D"/>
        </w:tcBorders>
      </w:tcPr>
    </w:tblStylePr>
    <w:tblStylePr w:type="band1Vert">
      <w:tblPr/>
      <w:tcPr>
        <w:shd w:val="clear" w:color="auto" w:fill="A3D4FF"/>
      </w:tcPr>
    </w:tblStylePr>
    <w:tblStylePr w:type="band1Horz">
      <w:tblPr/>
      <w:tcPr>
        <w:shd w:val="clear" w:color="auto" w:fill="B1BCD8"/>
      </w:tcPr>
    </w:tblStylePr>
  </w:style>
  <w:style w:type="table" w:customStyle="1" w:styleId="WAHealthTable7">
    <w:name w:val="WA Health Table 7"/>
    <w:basedOn w:val="LightList"/>
    <w:uiPriority w:val="99"/>
    <w:rsid w:val="00930DF8"/>
    <w:rPr>
      <w:rFonts w:ascii="Arial" w:hAnsi="Arial"/>
      <w:sz w:val="24"/>
      <w:lang w:eastAsia="en-AU"/>
    </w:rPr>
    <w:tblPr/>
    <w:tblStylePr w:type="firstRow">
      <w:pPr>
        <w:spacing w:before="0" w:after="0" w:line="240" w:lineRule="auto"/>
      </w:pPr>
      <w:rPr>
        <w:b/>
        <w:bCs/>
        <w:color w:val="000000"/>
      </w:rPr>
      <w:tblPr/>
      <w:trPr>
        <w:tblHeader/>
      </w:trPr>
      <w:tcPr>
        <w:shd w:val="clear" w:color="auto" w:fill="FFFFF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WAHealthTable3">
    <w:name w:val="WA Health Table 3"/>
    <w:basedOn w:val="MediumList2-Accent1"/>
    <w:uiPriority w:val="99"/>
    <w:rsid w:val="00930DF8"/>
    <w:rPr>
      <w:rFonts w:ascii="Arial" w:hAnsi="Arial"/>
      <w:sz w:val="24"/>
      <w:lang w:eastAsia="en-AU"/>
    </w:rPr>
    <w:tblPr/>
    <w:tblStylePr w:type="firstRow">
      <w:rPr>
        <w:sz w:val="24"/>
        <w:szCs w:val="24"/>
      </w:rPr>
      <w:tblPr/>
      <w:trPr>
        <w:tblHeader/>
      </w:tr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B1BCD8"/>
      </w:tcPr>
    </w:tblStylePr>
    <w:tblStylePr w:type="nwCell">
      <w:tblPr/>
      <w:tcPr>
        <w:shd w:val="clear" w:color="auto" w:fill="FFFFFF"/>
      </w:tcPr>
    </w:tblStylePr>
    <w:tblStylePr w:type="swCell">
      <w:tblPr/>
      <w:tcPr>
        <w:tcBorders>
          <w:top w:val="nil"/>
        </w:tcBorders>
      </w:tcPr>
    </w:tblStylePr>
  </w:style>
  <w:style w:type="table" w:styleId="LightList">
    <w:name w:val="Light List"/>
    <w:basedOn w:val="TableNormal"/>
    <w:uiPriority w:val="61"/>
    <w:rsid w:val="00E4056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E40563"/>
    <w:rPr>
      <w:rFonts w:ascii="Cambria" w:eastAsia="Times New Roman" w:hAnsi="Cambria"/>
      <w:color w:val="000000"/>
    </w:rPr>
    <w:tblPr>
      <w:tblStyleRowBandSize w:val="1"/>
      <w:tblStyleColBandSize w:val="1"/>
      <w:tblBorders>
        <w:top w:val="single" w:sz="8" w:space="0" w:color="004B8D"/>
        <w:left w:val="single" w:sz="8" w:space="0" w:color="004B8D"/>
        <w:bottom w:val="single" w:sz="8" w:space="0" w:color="004B8D"/>
        <w:right w:val="single" w:sz="8" w:space="0" w:color="004B8D"/>
      </w:tblBorders>
    </w:tblPr>
    <w:tblStylePr w:type="firstRow">
      <w:rPr>
        <w:sz w:val="24"/>
        <w:szCs w:val="24"/>
      </w:rPr>
      <w:tblPr/>
      <w:tcPr>
        <w:tcBorders>
          <w:top w:val="nil"/>
          <w:left w:val="nil"/>
          <w:bottom w:val="single" w:sz="24" w:space="0" w:color="004B8D"/>
          <w:right w:val="nil"/>
          <w:insideH w:val="nil"/>
          <w:insideV w:val="nil"/>
        </w:tcBorders>
        <w:shd w:val="clear" w:color="auto" w:fill="FFFFFF"/>
      </w:tcPr>
    </w:tblStylePr>
    <w:tblStylePr w:type="lastRow">
      <w:tblPr/>
      <w:tcPr>
        <w:tcBorders>
          <w:top w:val="single" w:sz="8" w:space="0" w:color="004B8D"/>
          <w:left w:val="nil"/>
          <w:bottom w:val="nil"/>
          <w:right w:val="nil"/>
          <w:insideH w:val="nil"/>
          <w:insideV w:val="nil"/>
        </w:tcBorders>
        <w:shd w:val="clear" w:color="auto" w:fill="FFFFFF"/>
      </w:tcPr>
    </w:tblStylePr>
    <w:tblStylePr w:type="firstCol">
      <w:tblPr/>
      <w:tcPr>
        <w:tcBorders>
          <w:top w:val="nil"/>
          <w:left w:val="nil"/>
          <w:bottom w:val="nil"/>
          <w:right w:val="single" w:sz="8" w:space="0" w:color="004B8D"/>
          <w:insideH w:val="nil"/>
          <w:insideV w:val="nil"/>
        </w:tcBorders>
        <w:shd w:val="clear" w:color="auto" w:fill="FFFFFF"/>
      </w:tcPr>
    </w:tblStylePr>
    <w:tblStylePr w:type="lastCol">
      <w:tblPr/>
      <w:tcPr>
        <w:tcBorders>
          <w:top w:val="nil"/>
          <w:left w:val="single" w:sz="8" w:space="0" w:color="004B8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D4FF"/>
      </w:tcPr>
    </w:tblStylePr>
    <w:tblStylePr w:type="band1Horz">
      <w:tblPr/>
      <w:tcPr>
        <w:tcBorders>
          <w:top w:val="nil"/>
          <w:bottom w:val="nil"/>
          <w:insideH w:val="nil"/>
          <w:insideV w:val="nil"/>
        </w:tcBorders>
        <w:shd w:val="clear" w:color="auto" w:fill="A3D4FF"/>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semiHidden/>
    <w:rsid w:val="00743BE0"/>
    <w:pPr>
      <w:tabs>
        <w:tab w:val="center" w:pos="4513"/>
        <w:tab w:val="right" w:pos="9026"/>
      </w:tabs>
      <w:spacing w:after="0"/>
    </w:pPr>
  </w:style>
  <w:style w:type="character" w:customStyle="1" w:styleId="HeaderChar">
    <w:name w:val="Header Char"/>
    <w:link w:val="Header"/>
    <w:uiPriority w:val="99"/>
    <w:semiHidden/>
    <w:rsid w:val="00743BE0"/>
    <w:rPr>
      <w:rFonts w:ascii="Arial" w:hAnsi="Arial"/>
      <w:sz w:val="24"/>
    </w:rPr>
  </w:style>
  <w:style w:type="paragraph" w:styleId="Footer">
    <w:name w:val="footer"/>
    <w:basedOn w:val="Normal"/>
    <w:link w:val="FooterChar"/>
    <w:uiPriority w:val="99"/>
    <w:rsid w:val="00E62270"/>
    <w:pPr>
      <w:tabs>
        <w:tab w:val="center" w:pos="4513"/>
        <w:tab w:val="right" w:pos="9026"/>
      </w:tabs>
      <w:spacing w:after="0"/>
      <w:ind w:right="227"/>
      <w:jc w:val="right"/>
    </w:pPr>
    <w:rPr>
      <w:b/>
      <w:color w:val="000000"/>
    </w:rPr>
  </w:style>
  <w:style w:type="character" w:customStyle="1" w:styleId="FooterChar">
    <w:name w:val="Footer Char"/>
    <w:link w:val="Footer"/>
    <w:uiPriority w:val="99"/>
    <w:rsid w:val="00E62270"/>
    <w:rPr>
      <w:rFonts w:ascii="Arial" w:hAnsi="Arial"/>
      <w:b/>
      <w:color w:val="000000"/>
      <w:sz w:val="24"/>
    </w:rPr>
  </w:style>
  <w:style w:type="paragraph" w:customStyle="1" w:styleId="Subtitle1">
    <w:name w:val="Subtitle 1"/>
    <w:basedOn w:val="Subheadlines"/>
    <w:uiPriority w:val="2"/>
    <w:rsid w:val="00A9145A"/>
    <w:rPr>
      <w:color w:val="005B38"/>
      <w:sz w:val="40"/>
      <w:szCs w:val="40"/>
    </w:rPr>
  </w:style>
  <w:style w:type="paragraph" w:customStyle="1" w:styleId="TEXT">
    <w:name w:val="TEXT"/>
    <w:basedOn w:val="Normal"/>
    <w:uiPriority w:val="99"/>
    <w:rsid w:val="0000010A"/>
    <w:pPr>
      <w:widowControl w:val="0"/>
      <w:suppressAutoHyphens/>
      <w:autoSpaceDE w:val="0"/>
      <w:autoSpaceDN w:val="0"/>
      <w:adjustRightInd w:val="0"/>
      <w:spacing w:after="113" w:line="280" w:lineRule="atLeast"/>
      <w:textAlignment w:val="center"/>
    </w:pPr>
    <w:rPr>
      <w:rFonts w:ascii="ArialMTStd" w:hAnsi="ArialMTStd" w:cs="ArialMTStd"/>
      <w:color w:val="000000"/>
      <w:szCs w:val="24"/>
      <w:lang w:val="en-GB"/>
    </w:rPr>
  </w:style>
  <w:style w:type="character" w:styleId="FollowedHyperlink">
    <w:name w:val="FollowedHyperlink"/>
    <w:uiPriority w:val="99"/>
    <w:semiHidden/>
    <w:rsid w:val="007846E2"/>
    <w:rPr>
      <w:color w:val="095489"/>
      <w:u w:val="single"/>
    </w:rPr>
  </w:style>
  <w:style w:type="paragraph" w:styleId="FootnoteText">
    <w:name w:val="footnote text"/>
    <w:basedOn w:val="Normal"/>
    <w:link w:val="FootnoteTextChar"/>
    <w:uiPriority w:val="99"/>
    <w:semiHidden/>
    <w:unhideWhenUsed/>
    <w:rsid w:val="004924EA"/>
    <w:pPr>
      <w:spacing w:after="0"/>
    </w:pPr>
    <w:rPr>
      <w:sz w:val="20"/>
      <w:szCs w:val="20"/>
    </w:rPr>
  </w:style>
  <w:style w:type="character" w:customStyle="1" w:styleId="FootnoteTextChar">
    <w:name w:val="Footnote Text Char"/>
    <w:basedOn w:val="DefaultParagraphFont"/>
    <w:link w:val="FootnoteText"/>
    <w:uiPriority w:val="99"/>
    <w:semiHidden/>
    <w:rsid w:val="004924EA"/>
    <w:rPr>
      <w:rFonts w:ascii="Arial" w:hAnsi="Arial"/>
    </w:rPr>
  </w:style>
  <w:style w:type="character" w:styleId="FootnoteReference">
    <w:name w:val="footnote reference"/>
    <w:basedOn w:val="DefaultParagraphFont"/>
    <w:uiPriority w:val="99"/>
    <w:semiHidden/>
    <w:unhideWhenUsed/>
    <w:rsid w:val="004924EA"/>
    <w:rPr>
      <w:vertAlign w:val="superscript"/>
    </w:rPr>
  </w:style>
  <w:style w:type="character" w:styleId="UnresolvedMention">
    <w:name w:val="Unresolved Mention"/>
    <w:basedOn w:val="DefaultParagraphFont"/>
    <w:uiPriority w:val="99"/>
    <w:semiHidden/>
    <w:unhideWhenUsed/>
    <w:rsid w:val="004924EA"/>
    <w:rPr>
      <w:color w:val="605E5C"/>
      <w:shd w:val="clear" w:color="auto" w:fill="E1DFDD"/>
    </w:rPr>
  </w:style>
  <w:style w:type="character" w:styleId="CommentReference">
    <w:name w:val="annotation reference"/>
    <w:basedOn w:val="DefaultParagraphFont"/>
    <w:uiPriority w:val="99"/>
    <w:semiHidden/>
    <w:unhideWhenUsed/>
    <w:rsid w:val="005221BC"/>
    <w:rPr>
      <w:sz w:val="16"/>
      <w:szCs w:val="16"/>
    </w:rPr>
  </w:style>
  <w:style w:type="paragraph" w:styleId="CommentText">
    <w:name w:val="annotation text"/>
    <w:basedOn w:val="Normal"/>
    <w:link w:val="CommentTextChar"/>
    <w:uiPriority w:val="99"/>
    <w:unhideWhenUsed/>
    <w:rsid w:val="005221BC"/>
    <w:rPr>
      <w:sz w:val="20"/>
      <w:szCs w:val="20"/>
    </w:rPr>
  </w:style>
  <w:style w:type="character" w:customStyle="1" w:styleId="CommentTextChar">
    <w:name w:val="Comment Text Char"/>
    <w:basedOn w:val="DefaultParagraphFont"/>
    <w:link w:val="CommentText"/>
    <w:uiPriority w:val="99"/>
    <w:rsid w:val="005221BC"/>
    <w:rPr>
      <w:rFonts w:ascii="Arial" w:hAnsi="Arial"/>
    </w:rPr>
  </w:style>
  <w:style w:type="paragraph" w:styleId="CommentSubject">
    <w:name w:val="annotation subject"/>
    <w:basedOn w:val="CommentText"/>
    <w:next w:val="CommentText"/>
    <w:link w:val="CommentSubjectChar"/>
    <w:uiPriority w:val="99"/>
    <w:semiHidden/>
    <w:unhideWhenUsed/>
    <w:rsid w:val="005221BC"/>
    <w:rPr>
      <w:b/>
      <w:bCs/>
    </w:rPr>
  </w:style>
  <w:style w:type="character" w:customStyle="1" w:styleId="CommentSubjectChar">
    <w:name w:val="Comment Subject Char"/>
    <w:basedOn w:val="CommentTextChar"/>
    <w:link w:val="CommentSubject"/>
    <w:uiPriority w:val="99"/>
    <w:semiHidden/>
    <w:rsid w:val="005221BC"/>
    <w:rPr>
      <w:rFonts w:ascii="Arial" w:hAnsi="Arial"/>
      <w:b/>
      <w:bCs/>
    </w:rPr>
  </w:style>
  <w:style w:type="paragraph" w:styleId="NoSpacing">
    <w:name w:val="No Spacing"/>
    <w:link w:val="NoSpacingChar"/>
    <w:uiPriority w:val="1"/>
    <w:qFormat/>
    <w:rsid w:val="002877A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2877AD"/>
    <w:rPr>
      <w:rFonts w:asciiTheme="minorHAnsi" w:eastAsiaTheme="minorEastAsia" w:hAnsiTheme="minorHAnsi" w:cstheme="minorBidi"/>
      <w:sz w:val="22"/>
      <w:szCs w:val="22"/>
      <w:lang w:val="en-US"/>
    </w:rPr>
  </w:style>
  <w:style w:type="paragraph" w:customStyle="1" w:styleId="copy">
    <w:name w:val="copy"/>
    <w:basedOn w:val="Normal"/>
    <w:link w:val="copyChar"/>
    <w:autoRedefine/>
    <w:rsid w:val="00233391"/>
    <w:pPr>
      <w:numPr>
        <w:numId w:val="28"/>
      </w:numPr>
      <w:spacing w:after="0" w:line="300" w:lineRule="exact"/>
    </w:pPr>
    <w:rPr>
      <w:rFonts w:eastAsia="Times New Roman" w:cs="Arial"/>
      <w:szCs w:val="24"/>
    </w:rPr>
  </w:style>
  <w:style w:type="character" w:customStyle="1" w:styleId="copyChar">
    <w:name w:val="copy Char"/>
    <w:basedOn w:val="DefaultParagraphFont"/>
    <w:link w:val="copy"/>
    <w:rsid w:val="00233391"/>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60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g"/><Relationship Id="rId18" Type="http://schemas.openxmlformats.org/officeDocument/2006/relationships/hyperlink" Target="https://www.parliament.wa.gov.au/parliament/bills.nsf/837C0742F56359FC482570C100303A9C/$File/EM-Bill110.pdf"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legislation.wa.gov.au/legislation/prod/filestore.nsf/FileURL/mrdoc_36961.pdf/$FILE/Food%20Act%202008%20-%20%5B01-a0-02%5D.pdf?OpenEl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reviewfoodact@health.wa.gov.au" TargetMode="External"/><Relationship Id="rId10" Type="http://schemas.openxmlformats.org/officeDocument/2006/relationships/footnotes" Target="footnotes.xml"/><Relationship Id="rId19" Type="http://schemas.openxmlformats.org/officeDocument/2006/relationships/hyperlink" Target="https://www.parliament.wa.gov.au/Parliament/commit.nsf/(Report+Lookup+by+Com+ID)/A622D075BB07A9D848257831003E96B1/$file/us.foo.060927.rpf.014.xx.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consultation.health.wa.gov.au/environmental-health-directorate/statutory-review-of-the-western-australia-food-ac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oodregulation.gov.au/internet/fr/publishing.nsf/Content/history-and-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lue PMS 2945 2014">
      <a:dk1>
        <a:sysClr val="windowText" lastClr="000000"/>
      </a:dk1>
      <a:lt1>
        <a:sysClr val="window" lastClr="FFFFFF"/>
      </a:lt1>
      <a:dk2>
        <a:srgbClr val="757477"/>
      </a:dk2>
      <a:lt2>
        <a:srgbClr val="FFFFFF"/>
      </a:lt2>
      <a:accent1>
        <a:srgbClr val="095489"/>
      </a:accent1>
      <a:accent2>
        <a:srgbClr val="095489"/>
      </a:accent2>
      <a:accent3>
        <a:srgbClr val="095489"/>
      </a:accent3>
      <a:accent4>
        <a:srgbClr val="095489"/>
      </a:accent4>
      <a:accent5>
        <a:srgbClr val="095489"/>
      </a:accent5>
      <a:accent6>
        <a:srgbClr val="095489"/>
      </a:accent6>
      <a:hlink>
        <a:srgbClr val="004B8D"/>
      </a:hlink>
      <a:folHlink>
        <a:srgbClr val="6E298D"/>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9713D42DA9124498940919538033CD" ma:contentTypeVersion="1" ma:contentTypeDescription="Create a new document." ma:contentTypeScope="" ma:versionID="ab6268ca93c2781b9c00f9360e3d42e4">
  <xsd:schema xmlns:xsd="http://www.w3.org/2001/XMLSchema" xmlns:xs="http://www.w3.org/2001/XMLSchema" xmlns:p="http://schemas.microsoft.com/office/2006/metadata/properties" xmlns:ns2="c28d392b-250a-46f9-9c6d-396c4cbcde04" targetNamespace="http://schemas.microsoft.com/office/2006/metadata/properties" ma:root="true" ma:fieldsID="0b4df292ba137bac79064bc43b45887b" ns2:_="">
    <xsd:import namespace="c28d392b-250a-46f9-9c6d-396c4cbcd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d392b-250a-46f9-9c6d-396c4cbcd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28d392b-250a-46f9-9c6d-396c4cbcde04">QE4PUQ6XCENJ-169-55</_dlc_DocId>
    <_dlc_DocIdUrl xmlns="c28d392b-250a-46f9-9c6d-396c4cbcde04">
      <Url>https://doh-healthpoint.hdwa.health.wa.gov.au/directory/OfficeOfTheDirectorGeneral/Communications/_layouts/DocIdRedir.aspx?ID=QE4PUQ6XCENJ-169-55</Url>
      <Description>QE4PUQ6XCENJ-169-55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AD68-2EB2-49BF-8AE8-52F912DE82B4}">
  <ds:schemaRefs>
    <ds:schemaRef ds:uri="http://schemas.microsoft.com/sharepoint/v3/contenttype/forms"/>
  </ds:schemaRefs>
</ds:datastoreItem>
</file>

<file path=customXml/itemProps2.xml><?xml version="1.0" encoding="utf-8"?>
<ds:datastoreItem xmlns:ds="http://schemas.openxmlformats.org/officeDocument/2006/customXml" ds:itemID="{B5BB310A-E1A3-47D0-A187-4A2945022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d392b-250a-46f9-9c6d-396c4cbcd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56AD9-2D38-406A-A496-81255D6D0825}">
  <ds:schemaRefs>
    <ds:schemaRef ds:uri="http://schemas.microsoft.com/sharepoint/events"/>
  </ds:schemaRefs>
</ds:datastoreItem>
</file>

<file path=customXml/itemProps4.xml><?xml version="1.0" encoding="utf-8"?>
<ds:datastoreItem xmlns:ds="http://schemas.openxmlformats.org/officeDocument/2006/customXml" ds:itemID="{C9147D27-A951-4E27-825D-BBA3CCDD4775}">
  <ds:schemaRefs>
    <ds:schemaRef ds:uri="http://schemas.microsoft.com/office/2006/metadata/properties"/>
    <ds:schemaRef ds:uri="http://schemas.microsoft.com/office/infopath/2007/PartnerControls"/>
    <ds:schemaRef ds:uri="c28d392b-250a-46f9-9c6d-396c4cbcde04"/>
  </ds:schemaRefs>
</ds:datastoreItem>
</file>

<file path=customXml/itemProps5.xml><?xml version="1.0" encoding="utf-8"?>
<ds:datastoreItem xmlns:ds="http://schemas.openxmlformats.org/officeDocument/2006/customXml" ds:itemID="{74DF4B0C-2361-4F09-887E-41829A42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DoH Multi-page Template</vt:lpstr>
    </vt:vector>
  </TitlesOfParts>
  <Company>WA Health</Company>
  <LinksUpToDate>false</LinksUpToDate>
  <CharactersWithSpaces>7839</CharactersWithSpaces>
  <SharedDoc>false</SharedDoc>
  <HyperlinkBase/>
  <HLinks>
    <vt:vector size="24" baseType="variant">
      <vt:variant>
        <vt:i4>4587612</vt:i4>
      </vt:variant>
      <vt:variant>
        <vt:i4>15</vt:i4>
      </vt:variant>
      <vt:variant>
        <vt:i4>0</vt:i4>
      </vt:variant>
      <vt:variant>
        <vt:i4>5</vt:i4>
      </vt:variant>
      <vt:variant>
        <vt:lpwstr>http://www.health.wa.gov.au/</vt:lpwstr>
      </vt:variant>
      <vt:variant>
        <vt:lpwstr/>
      </vt:variant>
      <vt:variant>
        <vt:i4>1114163</vt:i4>
      </vt:variant>
      <vt:variant>
        <vt:i4>8</vt:i4>
      </vt:variant>
      <vt:variant>
        <vt:i4>0</vt:i4>
      </vt:variant>
      <vt:variant>
        <vt:i4>5</vt:i4>
      </vt:variant>
      <vt:variant>
        <vt:lpwstr/>
      </vt:variant>
      <vt:variant>
        <vt:lpwstr>_Toc412470233</vt:lpwstr>
      </vt:variant>
      <vt:variant>
        <vt:i4>1114163</vt:i4>
      </vt:variant>
      <vt:variant>
        <vt:i4>2</vt:i4>
      </vt:variant>
      <vt:variant>
        <vt:i4>0</vt:i4>
      </vt:variant>
      <vt:variant>
        <vt:i4>5</vt:i4>
      </vt:variant>
      <vt:variant>
        <vt:lpwstr/>
      </vt:variant>
      <vt:variant>
        <vt:lpwstr>_Toc412470232</vt:lpwstr>
      </vt:variant>
      <vt:variant>
        <vt:i4>4587612</vt:i4>
      </vt:variant>
      <vt:variant>
        <vt:i4>6380</vt:i4>
      </vt:variant>
      <vt:variant>
        <vt:i4>1025</vt:i4>
      </vt:variant>
      <vt:variant>
        <vt:i4>4</vt:i4>
      </vt:variant>
      <vt:variant>
        <vt:lpwstr>http://www.health.wa.gov.au/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 Multi-page Template</dc:title>
  <dc:subject>Word Template</dc:subject>
  <dc:creator>Deptartment of Health</dc:creator>
  <cp:keywords>template, report, style guide,</cp:keywords>
  <cp:lastModifiedBy>Tanner, Helen</cp:lastModifiedBy>
  <cp:revision>9</cp:revision>
  <cp:lastPrinted>2014-03-21T07:23:00Z</cp:lastPrinted>
  <dcterms:created xsi:type="dcterms:W3CDTF">2021-11-18T02:44:00Z</dcterms:created>
  <dcterms:modified xsi:type="dcterms:W3CDTF">2021-12-01T00:31:00Z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0x010100369713D42DA9124498940919538033CD</vt:lpwstr>
  </property>
  <property fmtid="{D5CDD505-2E9C-101B-9397-08002B2CF9AE}" pid="3" name="_dlc_DocIdItemGuid">
    <vt:lpwstr>9617c660-02a1-471b-92dd-09641ee4cf49</vt:lpwstr>
  </property>
</Properties>
</file>