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529" w:rsidRPr="00AB6010" w:rsidRDefault="007D0F9E" w:rsidP="00823AA2">
      <w:pPr>
        <w:rPr>
          <w:b/>
          <w:color w:val="808080" w:themeColor="background1" w:themeShade="80"/>
          <w:sz w:val="56"/>
          <w:szCs w:val="56"/>
        </w:rPr>
      </w:pPr>
      <w:bookmarkStart w:id="0" w:name="_GoBack"/>
      <w:bookmarkEnd w:id="0"/>
      <w:r w:rsidRPr="00AB6010">
        <w:rPr>
          <w:b/>
          <w:color w:val="808080" w:themeColor="background1" w:themeShade="80"/>
          <w:sz w:val="56"/>
          <w:szCs w:val="56"/>
        </w:rPr>
        <w:t>W</w:t>
      </w:r>
      <w:r w:rsidR="009E09D7" w:rsidRPr="00AB6010">
        <w:rPr>
          <w:b/>
          <w:color w:val="808080" w:themeColor="background1" w:themeShade="80"/>
          <w:sz w:val="56"/>
          <w:szCs w:val="56"/>
        </w:rPr>
        <w:t>estern Australian</w:t>
      </w:r>
    </w:p>
    <w:p w:rsidR="006C462D" w:rsidRPr="00AB6010" w:rsidRDefault="00D016DC" w:rsidP="00823AA2">
      <w:pPr>
        <w:rPr>
          <w:b/>
          <w:color w:val="808080" w:themeColor="background1" w:themeShade="80"/>
          <w:sz w:val="56"/>
          <w:szCs w:val="56"/>
        </w:rPr>
      </w:pPr>
      <w:r w:rsidRPr="00AB6010">
        <w:rPr>
          <w:b/>
          <w:color w:val="808080" w:themeColor="background1" w:themeShade="80"/>
          <w:sz w:val="56"/>
          <w:szCs w:val="56"/>
        </w:rPr>
        <w:t xml:space="preserve">Health Promotion Strategic Framework </w:t>
      </w:r>
    </w:p>
    <w:p w:rsidR="006C462D" w:rsidRPr="00895FD9" w:rsidRDefault="006C462D" w:rsidP="00823AA2">
      <w:pPr>
        <w:rPr>
          <w:b/>
          <w:sz w:val="56"/>
          <w:szCs w:val="56"/>
        </w:rPr>
      </w:pPr>
    </w:p>
    <w:p w:rsidR="00594657" w:rsidRDefault="00D016DC" w:rsidP="00823AA2">
      <w:pPr>
        <w:rPr>
          <w:b/>
          <w:color w:val="808080" w:themeColor="background1" w:themeShade="80"/>
          <w:sz w:val="56"/>
          <w:szCs w:val="56"/>
        </w:rPr>
      </w:pPr>
      <w:r w:rsidRPr="00AB6010">
        <w:rPr>
          <w:b/>
          <w:color w:val="808080" w:themeColor="background1" w:themeShade="80"/>
          <w:sz w:val="56"/>
          <w:szCs w:val="56"/>
        </w:rPr>
        <w:t>201</w:t>
      </w:r>
      <w:r w:rsidR="000042A7" w:rsidRPr="00AB6010">
        <w:rPr>
          <w:b/>
          <w:color w:val="808080" w:themeColor="background1" w:themeShade="80"/>
          <w:sz w:val="56"/>
          <w:szCs w:val="56"/>
        </w:rPr>
        <w:t>7</w:t>
      </w:r>
      <w:r w:rsidR="00AA38CD" w:rsidRPr="00AB6010">
        <w:rPr>
          <w:b/>
          <w:color w:val="808080" w:themeColor="background1" w:themeShade="80"/>
          <w:sz w:val="56"/>
          <w:szCs w:val="56"/>
        </w:rPr>
        <w:t>–</w:t>
      </w:r>
      <w:r w:rsidRPr="00AB6010">
        <w:rPr>
          <w:b/>
          <w:color w:val="808080" w:themeColor="background1" w:themeShade="80"/>
          <w:sz w:val="56"/>
          <w:szCs w:val="56"/>
        </w:rPr>
        <w:t>2021</w:t>
      </w:r>
      <w:r w:rsidR="00296DE0" w:rsidRPr="00AB6010">
        <w:rPr>
          <w:b/>
          <w:color w:val="808080" w:themeColor="background1" w:themeShade="80"/>
          <w:sz w:val="56"/>
          <w:szCs w:val="56"/>
        </w:rPr>
        <w:t xml:space="preserve"> </w:t>
      </w:r>
    </w:p>
    <w:p w:rsidR="008159A5" w:rsidRDefault="008159A5" w:rsidP="00823AA2">
      <w:pPr>
        <w:rPr>
          <w:b/>
          <w:color w:val="808080" w:themeColor="background1" w:themeShade="80"/>
          <w:sz w:val="56"/>
          <w:szCs w:val="56"/>
        </w:rPr>
      </w:pPr>
    </w:p>
    <w:p w:rsidR="008159A5" w:rsidRDefault="008159A5" w:rsidP="00823AA2">
      <w:pPr>
        <w:rPr>
          <w:b/>
          <w:color w:val="808080" w:themeColor="background1" w:themeShade="80"/>
          <w:sz w:val="56"/>
          <w:szCs w:val="56"/>
        </w:rPr>
      </w:pPr>
    </w:p>
    <w:p w:rsidR="008159A5" w:rsidRDefault="008159A5" w:rsidP="00823AA2">
      <w:pPr>
        <w:rPr>
          <w:color w:val="808080" w:themeColor="background1" w:themeShade="80"/>
        </w:rPr>
      </w:pPr>
    </w:p>
    <w:p w:rsidR="008159A5" w:rsidRDefault="008159A5" w:rsidP="008159A5">
      <w:pPr>
        <w:shd w:val="clear" w:color="auto" w:fill="F2F2F2" w:themeFill="background1" w:themeFillShade="F2"/>
        <w:rPr>
          <w:color w:val="808080" w:themeColor="background1" w:themeShade="80"/>
        </w:rPr>
      </w:pPr>
    </w:p>
    <w:p w:rsidR="008159A5" w:rsidRDefault="008159A5" w:rsidP="008159A5">
      <w:pPr>
        <w:shd w:val="clear" w:color="auto" w:fill="F2F2F2" w:themeFill="background1" w:themeFillShade="F2"/>
        <w:rPr>
          <w:color w:val="808080" w:themeColor="background1" w:themeShade="80"/>
        </w:rPr>
      </w:pPr>
    </w:p>
    <w:p w:rsidR="00D016DC" w:rsidRPr="00AB6010" w:rsidRDefault="00432529" w:rsidP="008159A5">
      <w:pPr>
        <w:shd w:val="clear" w:color="auto" w:fill="F2F2F2" w:themeFill="background1" w:themeFillShade="F2"/>
        <w:jc w:val="center"/>
        <w:rPr>
          <w:color w:val="808080" w:themeColor="background1" w:themeShade="80"/>
          <w:sz w:val="48"/>
          <w:szCs w:val="48"/>
        </w:rPr>
      </w:pPr>
      <w:r w:rsidRPr="00AB6010">
        <w:rPr>
          <w:color w:val="808080" w:themeColor="background1" w:themeShade="80"/>
          <w:sz w:val="48"/>
          <w:szCs w:val="48"/>
        </w:rPr>
        <w:t>DRAFT</w:t>
      </w:r>
      <w:r w:rsidR="00A67F60" w:rsidRPr="00AB6010">
        <w:rPr>
          <w:color w:val="808080" w:themeColor="background1" w:themeShade="80"/>
          <w:sz w:val="48"/>
          <w:szCs w:val="48"/>
        </w:rPr>
        <w:t xml:space="preserve"> FOR CONSULTATION</w:t>
      </w:r>
    </w:p>
    <w:p w:rsidR="00895FD9" w:rsidRPr="00AB6010" w:rsidRDefault="00895FD9" w:rsidP="008159A5">
      <w:pPr>
        <w:shd w:val="clear" w:color="auto" w:fill="F2F2F2" w:themeFill="background1" w:themeFillShade="F2"/>
        <w:jc w:val="center"/>
        <w:rPr>
          <w:color w:val="808080" w:themeColor="background1" w:themeShade="80"/>
          <w:sz w:val="48"/>
          <w:szCs w:val="48"/>
        </w:rPr>
      </w:pPr>
    </w:p>
    <w:p w:rsidR="00895FD9" w:rsidRPr="00AB6010" w:rsidRDefault="001172DB" w:rsidP="008159A5">
      <w:pPr>
        <w:shd w:val="clear" w:color="auto" w:fill="F2F2F2" w:themeFill="background1" w:themeFillShade="F2"/>
        <w:jc w:val="center"/>
        <w:rPr>
          <w:color w:val="808080" w:themeColor="background1" w:themeShade="80"/>
          <w:sz w:val="48"/>
          <w:szCs w:val="48"/>
        </w:rPr>
      </w:pPr>
      <w:r>
        <w:rPr>
          <w:color w:val="808080" w:themeColor="background1" w:themeShade="80"/>
          <w:sz w:val="48"/>
          <w:szCs w:val="48"/>
        </w:rPr>
        <w:t>September</w:t>
      </w:r>
      <w:r w:rsidR="0060139C" w:rsidRPr="00AB6010">
        <w:rPr>
          <w:color w:val="808080" w:themeColor="background1" w:themeShade="80"/>
          <w:sz w:val="48"/>
          <w:szCs w:val="48"/>
        </w:rPr>
        <w:t xml:space="preserve"> 2016</w:t>
      </w:r>
    </w:p>
    <w:p w:rsidR="00A67F60" w:rsidRDefault="00A67F60" w:rsidP="008159A5">
      <w:pPr>
        <w:shd w:val="clear" w:color="auto" w:fill="F2F2F2" w:themeFill="background1" w:themeFillShade="F2"/>
        <w:rPr>
          <w:sz w:val="48"/>
          <w:szCs w:val="48"/>
        </w:rPr>
      </w:pPr>
    </w:p>
    <w:p w:rsidR="00D17724" w:rsidRDefault="00D17724" w:rsidP="008159A5">
      <w:pPr>
        <w:widowControl/>
        <w:shd w:val="clear" w:color="auto" w:fill="F2F2F2" w:themeFill="background1" w:themeFillShade="F2"/>
        <w:spacing w:after="200" w:line="276" w:lineRule="auto"/>
        <w:rPr>
          <w:b/>
        </w:rPr>
      </w:pPr>
    </w:p>
    <w:p w:rsidR="001A38E7" w:rsidRDefault="001A38E7">
      <w:pPr>
        <w:widowControl/>
        <w:spacing w:after="200" w:line="276" w:lineRule="auto"/>
        <w:rPr>
          <w:b/>
        </w:rPr>
      </w:pPr>
    </w:p>
    <w:p w:rsidR="000A133D" w:rsidRDefault="000A133D">
      <w:pPr>
        <w:widowControl/>
        <w:spacing w:after="200" w:line="276" w:lineRule="auto"/>
        <w:rPr>
          <w:color w:val="FF0000"/>
        </w:rPr>
      </w:pPr>
      <w:r>
        <w:rPr>
          <w:color w:val="FF0000"/>
        </w:rPr>
        <w:br w:type="page"/>
      </w:r>
    </w:p>
    <w:p w:rsidR="00A67F60" w:rsidRDefault="00A67F60" w:rsidP="001C65CE">
      <w:pPr>
        <w:spacing w:before="29"/>
        <w:ind w:right="-20"/>
      </w:pPr>
      <w:r w:rsidRPr="00AB6010">
        <w:rPr>
          <w:b/>
          <w:bCs/>
          <w:color w:val="808080" w:themeColor="background1" w:themeShade="80"/>
        </w:rPr>
        <w:lastRenderedPageBreak/>
        <w:t>© Department of Health, Sta</w:t>
      </w:r>
      <w:r w:rsidRPr="00AB6010">
        <w:rPr>
          <w:b/>
          <w:bCs/>
          <w:color w:val="808080" w:themeColor="background1" w:themeShade="80"/>
          <w:spacing w:val="1"/>
        </w:rPr>
        <w:t>t</w:t>
      </w:r>
      <w:r w:rsidRPr="00AB6010">
        <w:rPr>
          <w:b/>
          <w:bCs/>
          <w:color w:val="808080" w:themeColor="background1" w:themeShade="80"/>
        </w:rPr>
        <w:t xml:space="preserve">e of </w:t>
      </w:r>
      <w:r w:rsidR="007D0F9E" w:rsidRPr="00AB6010">
        <w:rPr>
          <w:b/>
          <w:bCs/>
          <w:color w:val="808080" w:themeColor="background1" w:themeShade="80"/>
        </w:rPr>
        <w:t>WA</w:t>
      </w:r>
      <w:r w:rsidRPr="00AB6010">
        <w:rPr>
          <w:b/>
          <w:bCs/>
          <w:color w:val="808080" w:themeColor="background1" w:themeShade="80"/>
        </w:rPr>
        <w:t xml:space="preserve"> (201</w:t>
      </w:r>
      <w:r w:rsidR="00DE7A58" w:rsidRPr="00AB6010">
        <w:rPr>
          <w:b/>
          <w:bCs/>
          <w:color w:val="808080" w:themeColor="background1" w:themeShade="80"/>
        </w:rPr>
        <w:t>6</w:t>
      </w:r>
      <w:r w:rsidRPr="00AB6010">
        <w:rPr>
          <w:b/>
          <w:bCs/>
          <w:color w:val="808080" w:themeColor="background1" w:themeShade="80"/>
        </w:rPr>
        <w:t>)</w:t>
      </w:r>
    </w:p>
    <w:p w:rsidR="00A67F60" w:rsidRDefault="00A67F60" w:rsidP="001C65CE">
      <w:pPr>
        <w:spacing w:before="19" w:line="220" w:lineRule="exact"/>
      </w:pPr>
    </w:p>
    <w:p w:rsidR="00A67F60" w:rsidRDefault="00A67F60" w:rsidP="001C65CE">
      <w:pPr>
        <w:ind w:right="200"/>
      </w:pPr>
      <w:r>
        <w:t>Copyright to</w:t>
      </w:r>
      <w:r>
        <w:rPr>
          <w:spacing w:val="-2"/>
        </w:rPr>
        <w:t xml:space="preserve"> </w:t>
      </w:r>
      <w:r>
        <w:t>this material produ</w:t>
      </w:r>
      <w:r>
        <w:rPr>
          <w:spacing w:val="1"/>
        </w:rPr>
        <w:t>c</w:t>
      </w:r>
      <w:r>
        <w:t xml:space="preserve">ed by </w:t>
      </w:r>
      <w:r>
        <w:rPr>
          <w:spacing w:val="-2"/>
        </w:rPr>
        <w:t>t</w:t>
      </w:r>
      <w:r>
        <w:t>he</w:t>
      </w:r>
      <w:r>
        <w:rPr>
          <w:spacing w:val="-1"/>
        </w:rPr>
        <w:t xml:space="preserve"> </w:t>
      </w:r>
      <w:r w:rsidR="00887BBA">
        <w:t xml:space="preserve">WA </w:t>
      </w:r>
      <w:r>
        <w:rPr>
          <w:spacing w:val="1"/>
        </w:rPr>
        <w:t>D</w:t>
      </w:r>
      <w:r>
        <w:t>epartment of</w:t>
      </w:r>
      <w:r>
        <w:rPr>
          <w:spacing w:val="-2"/>
        </w:rPr>
        <w:t xml:space="preserve"> </w:t>
      </w:r>
      <w:r>
        <w:t>Health belongs to</w:t>
      </w:r>
      <w:r>
        <w:rPr>
          <w:spacing w:val="-2"/>
        </w:rPr>
        <w:t xml:space="preserve"> </w:t>
      </w:r>
      <w:r>
        <w:t>the State</w:t>
      </w:r>
      <w:r>
        <w:rPr>
          <w:spacing w:val="-6"/>
        </w:rPr>
        <w:t xml:space="preserve"> </w:t>
      </w:r>
      <w:r>
        <w:t>of</w:t>
      </w:r>
      <w:r>
        <w:rPr>
          <w:spacing w:val="-2"/>
        </w:rPr>
        <w:t xml:space="preserve"> </w:t>
      </w:r>
      <w:r w:rsidR="007D0F9E">
        <w:t>WA</w:t>
      </w:r>
      <w:r>
        <w:t>,</w:t>
      </w:r>
      <w:r>
        <w:rPr>
          <w:spacing w:val="-2"/>
        </w:rPr>
        <w:t xml:space="preserve"> </w:t>
      </w:r>
      <w:r>
        <w:t>under the provisions of</w:t>
      </w:r>
      <w:r>
        <w:rPr>
          <w:spacing w:val="-2"/>
        </w:rPr>
        <w:t xml:space="preserve"> </w:t>
      </w:r>
      <w:r>
        <w:t>the Copyright Act 1968 (C’w</w:t>
      </w:r>
      <w:r>
        <w:rPr>
          <w:spacing w:val="2"/>
        </w:rPr>
        <w:t>t</w:t>
      </w:r>
      <w:r>
        <w:t>h Australia).</w:t>
      </w:r>
      <w:r w:rsidR="00181A10">
        <w:t xml:space="preserve"> </w:t>
      </w:r>
      <w:r>
        <w:t>Apart from any fair dealing for</w:t>
      </w:r>
      <w:r>
        <w:rPr>
          <w:spacing w:val="-3"/>
        </w:rPr>
        <w:t xml:space="preserve"> </w:t>
      </w:r>
      <w:r>
        <w:t xml:space="preserve">personal, </w:t>
      </w:r>
      <w:r>
        <w:rPr>
          <w:spacing w:val="1"/>
        </w:rPr>
        <w:t>a</w:t>
      </w:r>
      <w:r>
        <w:t xml:space="preserve">cademic, research or non-commercial use, no part may be </w:t>
      </w:r>
      <w:r>
        <w:rPr>
          <w:spacing w:val="-1"/>
        </w:rPr>
        <w:t>r</w:t>
      </w:r>
      <w:r>
        <w:t>eproduced without written permission</w:t>
      </w:r>
      <w:r>
        <w:rPr>
          <w:spacing w:val="1"/>
        </w:rPr>
        <w:t xml:space="preserve"> </w:t>
      </w:r>
      <w:r>
        <w:t>of</w:t>
      </w:r>
      <w:r>
        <w:rPr>
          <w:spacing w:val="-2"/>
        </w:rPr>
        <w:t xml:space="preserve"> </w:t>
      </w:r>
      <w:r>
        <w:t>the Chronic Disease Prevention Directorate, WA</w:t>
      </w:r>
      <w:r>
        <w:rPr>
          <w:spacing w:val="-1"/>
        </w:rPr>
        <w:t xml:space="preserve"> </w:t>
      </w:r>
      <w:r w:rsidR="00347007">
        <w:rPr>
          <w:spacing w:val="-1"/>
        </w:rPr>
        <w:t>D</w:t>
      </w:r>
      <w:r>
        <w:t>epartment of</w:t>
      </w:r>
      <w:r>
        <w:rPr>
          <w:spacing w:val="-2"/>
        </w:rPr>
        <w:t xml:space="preserve"> </w:t>
      </w:r>
      <w:r>
        <w:t>Health. The Department of</w:t>
      </w:r>
      <w:r>
        <w:rPr>
          <w:spacing w:val="-2"/>
        </w:rPr>
        <w:t xml:space="preserve"> </w:t>
      </w:r>
      <w:r>
        <w:t>Health is under no obligation to</w:t>
      </w:r>
      <w:r>
        <w:rPr>
          <w:spacing w:val="-2"/>
        </w:rPr>
        <w:t xml:space="preserve"> </w:t>
      </w:r>
      <w:r>
        <w:t>grant this permission. Please ac</w:t>
      </w:r>
      <w:r>
        <w:rPr>
          <w:spacing w:val="1"/>
        </w:rPr>
        <w:t>k</w:t>
      </w:r>
      <w:r>
        <w:t>nowledge the</w:t>
      </w:r>
      <w:r w:rsidR="00347007">
        <w:t xml:space="preserve"> </w:t>
      </w:r>
      <w:r>
        <w:t>WA</w:t>
      </w:r>
      <w:r>
        <w:rPr>
          <w:spacing w:val="-4"/>
        </w:rPr>
        <w:t xml:space="preserve"> </w:t>
      </w:r>
      <w:r>
        <w:t>Department of</w:t>
      </w:r>
      <w:r>
        <w:rPr>
          <w:spacing w:val="-2"/>
        </w:rPr>
        <w:t xml:space="preserve"> </w:t>
      </w:r>
      <w:r>
        <w:t>Health when reproducing or</w:t>
      </w:r>
      <w:r>
        <w:rPr>
          <w:spacing w:val="-1"/>
        </w:rPr>
        <w:t xml:space="preserve"> </w:t>
      </w:r>
      <w:r>
        <w:t>quoting material from this source.</w:t>
      </w:r>
    </w:p>
    <w:p w:rsidR="00A67F60" w:rsidRDefault="00A67F60" w:rsidP="001C65CE">
      <w:pPr>
        <w:rPr>
          <w:b/>
        </w:rPr>
      </w:pPr>
    </w:p>
    <w:p w:rsidR="00A67F60" w:rsidRDefault="00A67F60" w:rsidP="001C65CE">
      <w:pPr>
        <w:rPr>
          <w:b/>
        </w:rPr>
      </w:pPr>
    </w:p>
    <w:p w:rsidR="00347007" w:rsidRPr="00AB6010" w:rsidRDefault="00347007" w:rsidP="001C65CE">
      <w:pPr>
        <w:ind w:right="-20"/>
        <w:rPr>
          <w:color w:val="808080" w:themeColor="background1" w:themeShade="80"/>
        </w:rPr>
      </w:pPr>
      <w:r w:rsidRPr="00AB6010">
        <w:rPr>
          <w:b/>
          <w:bCs/>
          <w:color w:val="808080" w:themeColor="background1" w:themeShade="80"/>
        </w:rPr>
        <w:t xml:space="preserve">Important </w:t>
      </w:r>
      <w:r w:rsidR="00FF22CC" w:rsidRPr="00AB6010">
        <w:rPr>
          <w:b/>
          <w:bCs/>
          <w:color w:val="808080" w:themeColor="background1" w:themeShade="80"/>
        </w:rPr>
        <w:t>d</w:t>
      </w:r>
      <w:r w:rsidRPr="00AB6010">
        <w:rPr>
          <w:b/>
          <w:bCs/>
          <w:color w:val="808080" w:themeColor="background1" w:themeShade="80"/>
        </w:rPr>
        <w:t>isclaimer</w:t>
      </w:r>
    </w:p>
    <w:p w:rsidR="00347007" w:rsidRDefault="00347007" w:rsidP="001C65CE">
      <w:pPr>
        <w:spacing w:before="19" w:line="220" w:lineRule="exact"/>
      </w:pPr>
    </w:p>
    <w:p w:rsidR="00347007" w:rsidRDefault="00347007" w:rsidP="001C65CE">
      <w:pPr>
        <w:ind w:right="210"/>
      </w:pPr>
      <w:r>
        <w:t>All information and content in this mater</w:t>
      </w:r>
      <w:r>
        <w:rPr>
          <w:spacing w:val="-1"/>
        </w:rPr>
        <w:t>i</w:t>
      </w:r>
      <w:r>
        <w:t>al is provided in good faith by the WA Department of</w:t>
      </w:r>
      <w:r>
        <w:rPr>
          <w:spacing w:val="-2"/>
        </w:rPr>
        <w:t xml:space="preserve"> </w:t>
      </w:r>
      <w:r>
        <w:t>Health, and is based on sou</w:t>
      </w:r>
      <w:r>
        <w:rPr>
          <w:spacing w:val="-2"/>
        </w:rPr>
        <w:t>r</w:t>
      </w:r>
      <w:r>
        <w:t>ces belie</w:t>
      </w:r>
      <w:r>
        <w:rPr>
          <w:spacing w:val="1"/>
        </w:rPr>
        <w:t>v</w:t>
      </w:r>
      <w:r>
        <w:t>ed to</w:t>
      </w:r>
      <w:r>
        <w:rPr>
          <w:spacing w:val="-2"/>
        </w:rPr>
        <w:t xml:space="preserve"> </w:t>
      </w:r>
      <w:r>
        <w:t>be reliable and ac</w:t>
      </w:r>
      <w:r>
        <w:rPr>
          <w:spacing w:val="1"/>
        </w:rPr>
        <w:t>c</w:t>
      </w:r>
      <w:r>
        <w:t>urate at</w:t>
      </w:r>
      <w:r>
        <w:rPr>
          <w:spacing w:val="-2"/>
        </w:rPr>
        <w:t xml:space="preserve"> </w:t>
      </w:r>
      <w:r>
        <w:t>the time of</w:t>
      </w:r>
      <w:r>
        <w:rPr>
          <w:spacing w:val="-2"/>
        </w:rPr>
        <w:t xml:space="preserve"> </w:t>
      </w:r>
      <w:r>
        <w:t>development.</w:t>
      </w:r>
      <w:r>
        <w:rPr>
          <w:spacing w:val="-1"/>
        </w:rPr>
        <w:t xml:space="preserve"> </w:t>
      </w:r>
      <w:r>
        <w:t>The State</w:t>
      </w:r>
      <w:r>
        <w:rPr>
          <w:spacing w:val="-6"/>
        </w:rPr>
        <w:t xml:space="preserve"> </w:t>
      </w:r>
      <w:r>
        <w:t>of</w:t>
      </w:r>
      <w:r>
        <w:rPr>
          <w:spacing w:val="-2"/>
        </w:rPr>
        <w:t xml:space="preserve"> </w:t>
      </w:r>
      <w:r w:rsidR="007D0F9E">
        <w:t>WA</w:t>
      </w:r>
      <w:r>
        <w:t>,</w:t>
      </w:r>
      <w:r>
        <w:rPr>
          <w:spacing w:val="-5"/>
        </w:rPr>
        <w:t xml:space="preserve"> </w:t>
      </w:r>
      <w:r>
        <w:t>the WA</w:t>
      </w:r>
      <w:r>
        <w:rPr>
          <w:spacing w:val="-4"/>
        </w:rPr>
        <w:t xml:space="preserve"> </w:t>
      </w:r>
      <w:r>
        <w:t>Department of Health and their respective officers,</w:t>
      </w:r>
      <w:r>
        <w:rPr>
          <w:spacing w:val="-7"/>
        </w:rPr>
        <w:t xml:space="preserve"> </w:t>
      </w:r>
      <w:r>
        <w:t>e</w:t>
      </w:r>
      <w:r>
        <w:rPr>
          <w:spacing w:val="-1"/>
        </w:rPr>
        <w:t>m</w:t>
      </w:r>
      <w:r>
        <w:t>ployees and agents, do not accept legal liability or responsibility for</w:t>
      </w:r>
      <w:r>
        <w:rPr>
          <w:spacing w:val="-3"/>
        </w:rPr>
        <w:t xml:space="preserve"> </w:t>
      </w:r>
      <w:r>
        <w:t>the material,</w:t>
      </w:r>
      <w:r>
        <w:rPr>
          <w:spacing w:val="-1"/>
        </w:rPr>
        <w:t xml:space="preserve"> </w:t>
      </w:r>
      <w:r>
        <w:t>or any consequences arising from its use.</w:t>
      </w:r>
    </w:p>
    <w:p w:rsidR="00A67F60" w:rsidRDefault="00A67F60" w:rsidP="001C65CE">
      <w:pPr>
        <w:rPr>
          <w:b/>
        </w:rPr>
      </w:pPr>
    </w:p>
    <w:p w:rsidR="00A67F60" w:rsidRDefault="00A67F60" w:rsidP="001C65CE">
      <w:pPr>
        <w:rPr>
          <w:b/>
        </w:rPr>
      </w:pPr>
    </w:p>
    <w:p w:rsidR="00347007" w:rsidRPr="00AB6010" w:rsidRDefault="00347007" w:rsidP="001C65CE">
      <w:pPr>
        <w:ind w:right="-20"/>
        <w:rPr>
          <w:color w:val="808080" w:themeColor="background1" w:themeShade="80"/>
        </w:rPr>
      </w:pPr>
      <w:r w:rsidRPr="00AB6010">
        <w:rPr>
          <w:b/>
          <w:bCs/>
          <w:color w:val="808080" w:themeColor="background1" w:themeShade="80"/>
        </w:rPr>
        <w:t>Note on terminology</w:t>
      </w:r>
    </w:p>
    <w:p w:rsidR="00347007" w:rsidRDefault="00347007" w:rsidP="001C65CE">
      <w:pPr>
        <w:spacing w:before="15" w:line="260" w:lineRule="exact"/>
        <w:rPr>
          <w:sz w:val="26"/>
          <w:szCs w:val="26"/>
        </w:rPr>
      </w:pPr>
    </w:p>
    <w:p w:rsidR="00347007" w:rsidRDefault="00347007" w:rsidP="001C65CE">
      <w:pPr>
        <w:ind w:right="461"/>
      </w:pPr>
      <w:r>
        <w:t>The use of</w:t>
      </w:r>
      <w:r>
        <w:rPr>
          <w:spacing w:val="-2"/>
        </w:rPr>
        <w:t xml:space="preserve"> </w:t>
      </w:r>
      <w:r>
        <w:t xml:space="preserve">the term </w:t>
      </w:r>
      <w:r w:rsidR="00697362">
        <w:t>‘</w:t>
      </w:r>
      <w:r>
        <w:rPr>
          <w:spacing w:val="-2"/>
        </w:rPr>
        <w:t>A</w:t>
      </w:r>
      <w:r>
        <w:t>boriginal</w:t>
      </w:r>
      <w:r w:rsidR="00697362">
        <w:t>’</w:t>
      </w:r>
      <w:r>
        <w:t xml:space="preserve"> within this document refers to</w:t>
      </w:r>
      <w:r>
        <w:rPr>
          <w:spacing w:val="-2"/>
        </w:rPr>
        <w:t xml:space="preserve"> </w:t>
      </w:r>
      <w:r>
        <w:t>Australians of</w:t>
      </w:r>
      <w:r>
        <w:rPr>
          <w:spacing w:val="-2"/>
        </w:rPr>
        <w:t xml:space="preserve"> </w:t>
      </w:r>
      <w:r>
        <w:t>both Aboriginal and Torres Strait</w:t>
      </w:r>
      <w:r>
        <w:rPr>
          <w:spacing w:val="-5"/>
        </w:rPr>
        <w:t xml:space="preserve"> </w:t>
      </w:r>
      <w:r>
        <w:t>Islander desc</w:t>
      </w:r>
      <w:r>
        <w:rPr>
          <w:spacing w:val="-1"/>
        </w:rPr>
        <w:t>e</w:t>
      </w:r>
      <w:r>
        <w:t>nt.</w:t>
      </w:r>
      <w:r>
        <w:rPr>
          <w:spacing w:val="-3"/>
        </w:rPr>
        <w:t xml:space="preserve"> </w:t>
      </w:r>
      <w:r>
        <w:t xml:space="preserve">The word </w:t>
      </w:r>
      <w:r w:rsidR="002C0CA3">
        <w:t>‘</w:t>
      </w:r>
      <w:r>
        <w:t>Indigenous</w:t>
      </w:r>
      <w:r w:rsidR="002C0CA3">
        <w:t>’</w:t>
      </w:r>
      <w:r>
        <w:t xml:space="preserve"> is retained where it is included as part of</w:t>
      </w:r>
      <w:r>
        <w:rPr>
          <w:spacing w:val="-3"/>
        </w:rPr>
        <w:t xml:space="preserve"> </w:t>
      </w:r>
      <w:r>
        <w:t>an already</w:t>
      </w:r>
      <w:r w:rsidR="002C0CA3">
        <w:t>-</w:t>
      </w:r>
      <w:r>
        <w:t>existing formal title.</w:t>
      </w:r>
    </w:p>
    <w:p w:rsidR="004D1F13" w:rsidRDefault="004D1F13">
      <w:pPr>
        <w:widowControl/>
        <w:spacing w:after="200" w:line="276" w:lineRule="auto"/>
      </w:pPr>
      <w:r>
        <w:br w:type="page"/>
      </w:r>
    </w:p>
    <w:sdt>
      <w:sdtPr>
        <w:rPr>
          <w:rFonts w:asciiTheme="minorHAnsi" w:eastAsia="Times New Roman" w:hAnsiTheme="minorHAnsi" w:cs="Times New Roman"/>
          <w:color w:val="auto"/>
          <w:sz w:val="22"/>
          <w:szCs w:val="22"/>
        </w:rPr>
        <w:id w:val="-1878156241"/>
        <w:docPartObj>
          <w:docPartGallery w:val="Table of Contents"/>
          <w:docPartUnique/>
        </w:docPartObj>
      </w:sdtPr>
      <w:sdtEndPr>
        <w:rPr>
          <w:rFonts w:ascii="Arial" w:hAnsi="Arial" w:cs="Arial"/>
          <w:noProof/>
          <w:sz w:val="24"/>
          <w:szCs w:val="24"/>
        </w:rPr>
      </w:sdtEndPr>
      <w:sdtContent>
        <w:p w:rsidR="00EB5A77" w:rsidRPr="00AB6010" w:rsidRDefault="00EB5A77" w:rsidP="000466B8">
          <w:pPr>
            <w:pStyle w:val="TOCHeading"/>
            <w:rPr>
              <w:color w:val="808080" w:themeColor="background1" w:themeShade="80"/>
            </w:rPr>
          </w:pPr>
          <w:r w:rsidRPr="00AB6010">
            <w:rPr>
              <w:color w:val="808080" w:themeColor="background1" w:themeShade="80"/>
            </w:rPr>
            <w:t>Contents</w:t>
          </w:r>
        </w:p>
        <w:p w:rsidR="00F65DF4" w:rsidRDefault="00973EF2">
          <w:pPr>
            <w:pStyle w:val="TOC1"/>
            <w:tabs>
              <w:tab w:val="right" w:leader="dot" w:pos="9016"/>
            </w:tabs>
            <w:rPr>
              <w:noProof/>
            </w:rPr>
          </w:pPr>
          <w:r>
            <w:t xml:space="preserve">      </w:t>
          </w:r>
          <w:r w:rsidR="00EB5A77">
            <w:fldChar w:fldCharType="begin"/>
          </w:r>
          <w:r w:rsidR="00EB5A77">
            <w:instrText xml:space="preserve"> TOC \o "1-3" \h \z \u </w:instrText>
          </w:r>
          <w:r w:rsidR="00EB5A77">
            <w:fldChar w:fldCharType="separate"/>
          </w:r>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01" w:history="1">
            <w:r w:rsidR="00F65DF4" w:rsidRPr="00F73D4B">
              <w:rPr>
                <w:rStyle w:val="Hyperlink"/>
                <w:noProof/>
              </w:rPr>
              <w:t>Text boxes, tables and figures</w:t>
            </w:r>
            <w:r w:rsidR="00F65DF4">
              <w:rPr>
                <w:noProof/>
                <w:webHidden/>
              </w:rPr>
              <w:tab/>
            </w:r>
            <w:r w:rsidR="00F65DF4">
              <w:rPr>
                <w:noProof/>
                <w:webHidden/>
              </w:rPr>
              <w:fldChar w:fldCharType="begin"/>
            </w:r>
            <w:r w:rsidR="00F65DF4">
              <w:rPr>
                <w:noProof/>
                <w:webHidden/>
              </w:rPr>
              <w:instrText xml:space="preserve"> PAGEREF _Toc462049301 \h </w:instrText>
            </w:r>
            <w:r w:rsidR="00F65DF4">
              <w:rPr>
                <w:noProof/>
                <w:webHidden/>
              </w:rPr>
            </w:r>
            <w:r w:rsidR="00F65DF4">
              <w:rPr>
                <w:noProof/>
                <w:webHidden/>
              </w:rPr>
              <w:fldChar w:fldCharType="separate"/>
            </w:r>
            <w:r w:rsidR="00B4460D">
              <w:rPr>
                <w:noProof/>
                <w:webHidden/>
              </w:rPr>
              <w:t>5</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02" w:history="1">
            <w:r w:rsidR="00F65DF4" w:rsidRPr="00F73D4B">
              <w:rPr>
                <w:rStyle w:val="Hyperlink"/>
                <w:noProof/>
              </w:rPr>
              <w:t>Foreword</w:t>
            </w:r>
            <w:r w:rsidR="00F65DF4">
              <w:rPr>
                <w:noProof/>
                <w:webHidden/>
              </w:rPr>
              <w:tab/>
            </w:r>
            <w:r w:rsidR="00F65DF4">
              <w:rPr>
                <w:noProof/>
                <w:webHidden/>
              </w:rPr>
              <w:fldChar w:fldCharType="begin"/>
            </w:r>
            <w:r w:rsidR="00F65DF4">
              <w:rPr>
                <w:noProof/>
                <w:webHidden/>
              </w:rPr>
              <w:instrText xml:space="preserve"> PAGEREF _Toc462049302 \h </w:instrText>
            </w:r>
            <w:r w:rsidR="00F65DF4">
              <w:rPr>
                <w:noProof/>
                <w:webHidden/>
              </w:rPr>
            </w:r>
            <w:r w:rsidR="00F65DF4">
              <w:rPr>
                <w:noProof/>
                <w:webHidden/>
              </w:rPr>
              <w:fldChar w:fldCharType="separate"/>
            </w:r>
            <w:r w:rsidR="00B4460D">
              <w:rPr>
                <w:noProof/>
                <w:webHidden/>
              </w:rPr>
              <w:t>6</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03" w:history="1">
            <w:r w:rsidR="00F65DF4" w:rsidRPr="00F73D4B">
              <w:rPr>
                <w:rStyle w:val="Hyperlink"/>
                <w:noProof/>
              </w:rPr>
              <w:t>Executive summary</w:t>
            </w:r>
            <w:r w:rsidR="00F65DF4">
              <w:rPr>
                <w:noProof/>
                <w:webHidden/>
              </w:rPr>
              <w:tab/>
            </w:r>
            <w:r w:rsidR="00F65DF4">
              <w:rPr>
                <w:noProof/>
                <w:webHidden/>
              </w:rPr>
              <w:fldChar w:fldCharType="begin"/>
            </w:r>
            <w:r w:rsidR="00F65DF4">
              <w:rPr>
                <w:noProof/>
                <w:webHidden/>
              </w:rPr>
              <w:instrText xml:space="preserve"> PAGEREF _Toc462049303 \h </w:instrText>
            </w:r>
            <w:r w:rsidR="00F65DF4">
              <w:rPr>
                <w:noProof/>
                <w:webHidden/>
              </w:rPr>
            </w:r>
            <w:r w:rsidR="00F65DF4">
              <w:rPr>
                <w:noProof/>
                <w:webHidden/>
              </w:rPr>
              <w:fldChar w:fldCharType="separate"/>
            </w:r>
            <w:r w:rsidR="00B4460D">
              <w:rPr>
                <w:noProof/>
                <w:webHidden/>
              </w:rPr>
              <w:t>7</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04" w:history="1">
            <w:r w:rsidR="00F65DF4" w:rsidRPr="00F73D4B">
              <w:rPr>
                <w:rStyle w:val="Hyperlink"/>
                <w:noProof/>
              </w:rPr>
              <w:t>Part 1: Introduction</w:t>
            </w:r>
            <w:r w:rsidR="00F65DF4">
              <w:rPr>
                <w:noProof/>
                <w:webHidden/>
              </w:rPr>
              <w:tab/>
            </w:r>
            <w:r w:rsidR="00F65DF4">
              <w:rPr>
                <w:noProof/>
                <w:webHidden/>
              </w:rPr>
              <w:fldChar w:fldCharType="begin"/>
            </w:r>
            <w:r w:rsidR="00F65DF4">
              <w:rPr>
                <w:noProof/>
                <w:webHidden/>
              </w:rPr>
              <w:instrText xml:space="preserve"> PAGEREF _Toc462049304 \h </w:instrText>
            </w:r>
            <w:r w:rsidR="00F65DF4">
              <w:rPr>
                <w:noProof/>
                <w:webHidden/>
              </w:rPr>
            </w:r>
            <w:r w:rsidR="00F65DF4">
              <w:rPr>
                <w:noProof/>
                <w:webHidden/>
              </w:rPr>
              <w:fldChar w:fldCharType="separate"/>
            </w:r>
            <w:r w:rsidR="00B4460D">
              <w:rPr>
                <w:noProof/>
                <w:webHidden/>
              </w:rPr>
              <w:t>12</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05" w:history="1">
            <w:r w:rsidR="00F65DF4" w:rsidRPr="00F73D4B">
              <w:rPr>
                <w:rStyle w:val="Hyperlink"/>
                <w:noProof/>
              </w:rPr>
              <w:t xml:space="preserve">1.1  About the </w:t>
            </w:r>
            <w:r w:rsidR="00F65DF4" w:rsidRPr="00F73D4B">
              <w:rPr>
                <w:rStyle w:val="Hyperlink"/>
                <w:i/>
                <w:noProof/>
              </w:rPr>
              <w:t>Health Promotion Strategic Framework 2017–2021</w:t>
            </w:r>
            <w:r w:rsidR="00F65DF4">
              <w:rPr>
                <w:noProof/>
                <w:webHidden/>
              </w:rPr>
              <w:tab/>
            </w:r>
            <w:r w:rsidR="00F65DF4">
              <w:rPr>
                <w:noProof/>
                <w:webHidden/>
              </w:rPr>
              <w:fldChar w:fldCharType="begin"/>
            </w:r>
            <w:r w:rsidR="00F65DF4">
              <w:rPr>
                <w:noProof/>
                <w:webHidden/>
              </w:rPr>
              <w:instrText xml:space="preserve"> PAGEREF _Toc462049305 \h </w:instrText>
            </w:r>
            <w:r w:rsidR="00F65DF4">
              <w:rPr>
                <w:noProof/>
                <w:webHidden/>
              </w:rPr>
            </w:r>
            <w:r w:rsidR="00F65DF4">
              <w:rPr>
                <w:noProof/>
                <w:webHidden/>
              </w:rPr>
              <w:fldChar w:fldCharType="separate"/>
            </w:r>
            <w:r w:rsidR="00B4460D">
              <w:rPr>
                <w:noProof/>
                <w:webHidden/>
              </w:rPr>
              <w:t>12</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06" w:history="1">
            <w:r w:rsidR="00F65DF4" w:rsidRPr="00F73D4B">
              <w:rPr>
                <w:rStyle w:val="Hyperlink"/>
                <w:noProof/>
              </w:rPr>
              <w:t>1.2  Understanding chronic disease and injury</w:t>
            </w:r>
            <w:r w:rsidR="00F65DF4">
              <w:rPr>
                <w:noProof/>
                <w:webHidden/>
              </w:rPr>
              <w:tab/>
            </w:r>
            <w:r w:rsidR="00F65DF4">
              <w:rPr>
                <w:noProof/>
                <w:webHidden/>
              </w:rPr>
              <w:fldChar w:fldCharType="begin"/>
            </w:r>
            <w:r w:rsidR="00F65DF4">
              <w:rPr>
                <w:noProof/>
                <w:webHidden/>
              </w:rPr>
              <w:instrText xml:space="preserve"> PAGEREF _Toc462049306 \h </w:instrText>
            </w:r>
            <w:r w:rsidR="00F65DF4">
              <w:rPr>
                <w:noProof/>
                <w:webHidden/>
              </w:rPr>
            </w:r>
            <w:r w:rsidR="00F65DF4">
              <w:rPr>
                <w:noProof/>
                <w:webHidden/>
              </w:rPr>
              <w:fldChar w:fldCharType="separate"/>
            </w:r>
            <w:r w:rsidR="00B4460D">
              <w:rPr>
                <w:noProof/>
                <w:webHidden/>
              </w:rPr>
              <w:t>12</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07" w:history="1">
            <w:r w:rsidR="00F65DF4" w:rsidRPr="00F73D4B">
              <w:rPr>
                <w:rStyle w:val="Hyperlink"/>
                <w:noProof/>
              </w:rPr>
              <w:t>1.3  Understanding health promotion and disease prevention</w:t>
            </w:r>
            <w:r w:rsidR="00F65DF4">
              <w:rPr>
                <w:noProof/>
                <w:webHidden/>
              </w:rPr>
              <w:tab/>
            </w:r>
            <w:r w:rsidR="00F65DF4">
              <w:rPr>
                <w:noProof/>
                <w:webHidden/>
              </w:rPr>
              <w:fldChar w:fldCharType="begin"/>
            </w:r>
            <w:r w:rsidR="00F65DF4">
              <w:rPr>
                <w:noProof/>
                <w:webHidden/>
              </w:rPr>
              <w:instrText xml:space="preserve"> PAGEREF _Toc462049307 \h </w:instrText>
            </w:r>
            <w:r w:rsidR="00F65DF4">
              <w:rPr>
                <w:noProof/>
                <w:webHidden/>
              </w:rPr>
            </w:r>
            <w:r w:rsidR="00F65DF4">
              <w:rPr>
                <w:noProof/>
                <w:webHidden/>
              </w:rPr>
              <w:fldChar w:fldCharType="separate"/>
            </w:r>
            <w:r w:rsidR="00B4460D">
              <w:rPr>
                <w:noProof/>
                <w:webHidden/>
              </w:rPr>
              <w:t>15</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08" w:history="1">
            <w:r w:rsidR="00F65DF4" w:rsidRPr="00F73D4B">
              <w:rPr>
                <w:rStyle w:val="Hyperlink"/>
                <w:noProof/>
              </w:rPr>
              <w:t xml:space="preserve">1.4  Who can use the </w:t>
            </w:r>
            <w:r w:rsidR="00F65DF4" w:rsidRPr="00F73D4B">
              <w:rPr>
                <w:rStyle w:val="Hyperlink"/>
                <w:i/>
                <w:noProof/>
              </w:rPr>
              <w:t>WA Health Promotion Strategic Framework</w:t>
            </w:r>
            <w:r w:rsidR="00F65DF4" w:rsidRPr="00F73D4B">
              <w:rPr>
                <w:rStyle w:val="Hyperlink"/>
                <w:noProof/>
              </w:rPr>
              <w:t>?</w:t>
            </w:r>
            <w:r w:rsidR="00F65DF4">
              <w:rPr>
                <w:noProof/>
                <w:webHidden/>
              </w:rPr>
              <w:tab/>
            </w:r>
            <w:r w:rsidR="00F65DF4">
              <w:rPr>
                <w:noProof/>
                <w:webHidden/>
              </w:rPr>
              <w:fldChar w:fldCharType="begin"/>
            </w:r>
            <w:r w:rsidR="00F65DF4">
              <w:rPr>
                <w:noProof/>
                <w:webHidden/>
              </w:rPr>
              <w:instrText xml:space="preserve"> PAGEREF _Toc462049308 \h </w:instrText>
            </w:r>
            <w:r w:rsidR="00F65DF4">
              <w:rPr>
                <w:noProof/>
                <w:webHidden/>
              </w:rPr>
            </w:r>
            <w:r w:rsidR="00F65DF4">
              <w:rPr>
                <w:noProof/>
                <w:webHidden/>
              </w:rPr>
              <w:fldChar w:fldCharType="separate"/>
            </w:r>
            <w:r w:rsidR="00B4460D">
              <w:rPr>
                <w:noProof/>
                <w:webHidden/>
              </w:rPr>
              <w:t>16</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09" w:history="1">
            <w:r w:rsidR="00F65DF4" w:rsidRPr="00F73D4B">
              <w:rPr>
                <w:rStyle w:val="Hyperlink"/>
                <w:noProof/>
              </w:rPr>
              <w:t>1.5  Complementary policies and strategies</w:t>
            </w:r>
            <w:r w:rsidR="00F65DF4">
              <w:rPr>
                <w:noProof/>
                <w:webHidden/>
              </w:rPr>
              <w:tab/>
            </w:r>
            <w:r w:rsidR="00F65DF4">
              <w:rPr>
                <w:noProof/>
                <w:webHidden/>
              </w:rPr>
              <w:fldChar w:fldCharType="begin"/>
            </w:r>
            <w:r w:rsidR="00F65DF4">
              <w:rPr>
                <w:noProof/>
                <w:webHidden/>
              </w:rPr>
              <w:instrText xml:space="preserve"> PAGEREF _Toc462049309 \h </w:instrText>
            </w:r>
            <w:r w:rsidR="00F65DF4">
              <w:rPr>
                <w:noProof/>
                <w:webHidden/>
              </w:rPr>
            </w:r>
            <w:r w:rsidR="00F65DF4">
              <w:rPr>
                <w:noProof/>
                <w:webHidden/>
              </w:rPr>
              <w:fldChar w:fldCharType="separate"/>
            </w:r>
            <w:r w:rsidR="00B4460D">
              <w:rPr>
                <w:noProof/>
                <w:webHidden/>
              </w:rPr>
              <w:t>18</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10" w:history="1">
            <w:r w:rsidR="00F65DF4" w:rsidRPr="00F73D4B">
              <w:rPr>
                <w:rStyle w:val="Hyperlink"/>
                <w:noProof/>
              </w:rPr>
              <w:t>Part 2: Our state of health</w:t>
            </w:r>
            <w:r w:rsidR="00F65DF4">
              <w:rPr>
                <w:noProof/>
                <w:webHidden/>
              </w:rPr>
              <w:tab/>
            </w:r>
            <w:r w:rsidR="00F65DF4">
              <w:rPr>
                <w:noProof/>
                <w:webHidden/>
              </w:rPr>
              <w:fldChar w:fldCharType="begin"/>
            </w:r>
            <w:r w:rsidR="00F65DF4">
              <w:rPr>
                <w:noProof/>
                <w:webHidden/>
              </w:rPr>
              <w:instrText xml:space="preserve"> PAGEREF _Toc462049310 \h </w:instrText>
            </w:r>
            <w:r w:rsidR="00F65DF4">
              <w:rPr>
                <w:noProof/>
                <w:webHidden/>
              </w:rPr>
            </w:r>
            <w:r w:rsidR="00F65DF4">
              <w:rPr>
                <w:noProof/>
                <w:webHidden/>
              </w:rPr>
              <w:fldChar w:fldCharType="separate"/>
            </w:r>
            <w:r w:rsidR="00B4460D">
              <w:rPr>
                <w:noProof/>
                <w:webHidden/>
              </w:rPr>
              <w:t>21</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11" w:history="1">
            <w:r w:rsidR="00F65DF4" w:rsidRPr="00F73D4B">
              <w:rPr>
                <w:rStyle w:val="Hyperlink"/>
                <w:noProof/>
              </w:rPr>
              <w:t>Part 3: A framework for action</w:t>
            </w:r>
            <w:r w:rsidR="00F65DF4">
              <w:rPr>
                <w:noProof/>
                <w:webHidden/>
              </w:rPr>
              <w:tab/>
            </w:r>
            <w:r w:rsidR="00F65DF4">
              <w:rPr>
                <w:noProof/>
                <w:webHidden/>
              </w:rPr>
              <w:fldChar w:fldCharType="begin"/>
            </w:r>
            <w:r w:rsidR="00F65DF4">
              <w:rPr>
                <w:noProof/>
                <w:webHidden/>
              </w:rPr>
              <w:instrText xml:space="preserve"> PAGEREF _Toc462049311 \h </w:instrText>
            </w:r>
            <w:r w:rsidR="00F65DF4">
              <w:rPr>
                <w:noProof/>
                <w:webHidden/>
              </w:rPr>
            </w:r>
            <w:r w:rsidR="00F65DF4">
              <w:rPr>
                <w:noProof/>
                <w:webHidden/>
              </w:rPr>
              <w:fldChar w:fldCharType="separate"/>
            </w:r>
            <w:r w:rsidR="00B4460D">
              <w:rPr>
                <w:noProof/>
                <w:webHidden/>
              </w:rPr>
              <w:t>26</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12" w:history="1">
            <w:r w:rsidR="00F65DF4" w:rsidRPr="00F73D4B">
              <w:rPr>
                <w:rStyle w:val="Hyperlink"/>
                <w:rFonts w:eastAsia="Arial"/>
                <w:noProof/>
              </w:rPr>
              <w:t>3.1  Overarching goal</w:t>
            </w:r>
            <w:r w:rsidR="00F65DF4">
              <w:rPr>
                <w:noProof/>
                <w:webHidden/>
              </w:rPr>
              <w:tab/>
            </w:r>
            <w:r w:rsidR="00F65DF4">
              <w:rPr>
                <w:noProof/>
                <w:webHidden/>
              </w:rPr>
              <w:fldChar w:fldCharType="begin"/>
            </w:r>
            <w:r w:rsidR="00F65DF4">
              <w:rPr>
                <w:noProof/>
                <w:webHidden/>
              </w:rPr>
              <w:instrText xml:space="preserve"> PAGEREF _Toc462049312 \h </w:instrText>
            </w:r>
            <w:r w:rsidR="00F65DF4">
              <w:rPr>
                <w:noProof/>
                <w:webHidden/>
              </w:rPr>
            </w:r>
            <w:r w:rsidR="00F65DF4">
              <w:rPr>
                <w:noProof/>
                <w:webHidden/>
              </w:rPr>
              <w:fldChar w:fldCharType="separate"/>
            </w:r>
            <w:r w:rsidR="00B4460D">
              <w:rPr>
                <w:noProof/>
                <w:webHidden/>
              </w:rPr>
              <w:t>26</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13" w:history="1">
            <w:r w:rsidR="00F65DF4" w:rsidRPr="00F73D4B">
              <w:rPr>
                <w:rStyle w:val="Hyperlink"/>
                <w:rFonts w:eastAsia="Arial"/>
                <w:noProof/>
              </w:rPr>
              <w:t>3.2  Priorities</w:t>
            </w:r>
            <w:r w:rsidR="00F65DF4">
              <w:rPr>
                <w:noProof/>
                <w:webHidden/>
              </w:rPr>
              <w:tab/>
            </w:r>
            <w:r w:rsidR="00F65DF4">
              <w:rPr>
                <w:noProof/>
                <w:webHidden/>
              </w:rPr>
              <w:fldChar w:fldCharType="begin"/>
            </w:r>
            <w:r w:rsidR="00F65DF4">
              <w:rPr>
                <w:noProof/>
                <w:webHidden/>
              </w:rPr>
              <w:instrText xml:space="preserve"> PAGEREF _Toc462049313 \h </w:instrText>
            </w:r>
            <w:r w:rsidR="00F65DF4">
              <w:rPr>
                <w:noProof/>
                <w:webHidden/>
              </w:rPr>
            </w:r>
            <w:r w:rsidR="00F65DF4">
              <w:rPr>
                <w:noProof/>
                <w:webHidden/>
              </w:rPr>
              <w:fldChar w:fldCharType="separate"/>
            </w:r>
            <w:r w:rsidR="00B4460D">
              <w:rPr>
                <w:noProof/>
                <w:webHidden/>
              </w:rPr>
              <w:t>26</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14" w:history="1">
            <w:r w:rsidR="00F65DF4" w:rsidRPr="00F73D4B">
              <w:rPr>
                <w:rStyle w:val="Hyperlink"/>
                <w:rFonts w:eastAsia="Arial"/>
                <w:noProof/>
              </w:rPr>
              <w:t>3.3  Target groups</w:t>
            </w:r>
            <w:r w:rsidR="00F65DF4">
              <w:rPr>
                <w:noProof/>
                <w:webHidden/>
              </w:rPr>
              <w:tab/>
            </w:r>
            <w:r w:rsidR="00F65DF4">
              <w:rPr>
                <w:noProof/>
                <w:webHidden/>
              </w:rPr>
              <w:fldChar w:fldCharType="begin"/>
            </w:r>
            <w:r w:rsidR="00F65DF4">
              <w:rPr>
                <w:noProof/>
                <w:webHidden/>
              </w:rPr>
              <w:instrText xml:space="preserve"> PAGEREF _Toc462049314 \h </w:instrText>
            </w:r>
            <w:r w:rsidR="00F65DF4">
              <w:rPr>
                <w:noProof/>
                <w:webHidden/>
              </w:rPr>
            </w:r>
            <w:r w:rsidR="00F65DF4">
              <w:rPr>
                <w:noProof/>
                <w:webHidden/>
              </w:rPr>
              <w:fldChar w:fldCharType="separate"/>
            </w:r>
            <w:r w:rsidR="00B4460D">
              <w:rPr>
                <w:noProof/>
                <w:webHidden/>
              </w:rPr>
              <w:t>26</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15" w:history="1">
            <w:r w:rsidR="00F65DF4" w:rsidRPr="00F73D4B">
              <w:rPr>
                <w:rStyle w:val="Hyperlink"/>
                <w:rFonts w:eastAsia="Arial"/>
                <w:noProof/>
              </w:rPr>
              <w:t>3.4  Guiding principles</w:t>
            </w:r>
            <w:r w:rsidR="00F65DF4">
              <w:rPr>
                <w:noProof/>
                <w:webHidden/>
              </w:rPr>
              <w:tab/>
            </w:r>
            <w:r w:rsidR="00F65DF4">
              <w:rPr>
                <w:noProof/>
                <w:webHidden/>
              </w:rPr>
              <w:fldChar w:fldCharType="begin"/>
            </w:r>
            <w:r w:rsidR="00F65DF4">
              <w:rPr>
                <w:noProof/>
                <w:webHidden/>
              </w:rPr>
              <w:instrText xml:space="preserve"> PAGEREF _Toc462049315 \h </w:instrText>
            </w:r>
            <w:r w:rsidR="00F65DF4">
              <w:rPr>
                <w:noProof/>
                <w:webHidden/>
              </w:rPr>
            </w:r>
            <w:r w:rsidR="00F65DF4">
              <w:rPr>
                <w:noProof/>
                <w:webHidden/>
              </w:rPr>
              <w:fldChar w:fldCharType="separate"/>
            </w:r>
            <w:r w:rsidR="00B4460D">
              <w:rPr>
                <w:noProof/>
                <w:webHidden/>
              </w:rPr>
              <w:t>27</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16" w:history="1">
            <w:r w:rsidR="00F65DF4" w:rsidRPr="00F73D4B">
              <w:rPr>
                <w:rStyle w:val="Hyperlink"/>
                <w:rFonts w:eastAsia="Arial"/>
                <w:noProof/>
              </w:rPr>
              <w:t>3.5  Domains for action</w:t>
            </w:r>
            <w:r w:rsidR="00F65DF4">
              <w:rPr>
                <w:noProof/>
                <w:webHidden/>
              </w:rPr>
              <w:tab/>
            </w:r>
            <w:r w:rsidR="00F65DF4">
              <w:rPr>
                <w:noProof/>
                <w:webHidden/>
              </w:rPr>
              <w:fldChar w:fldCharType="begin"/>
            </w:r>
            <w:r w:rsidR="00F65DF4">
              <w:rPr>
                <w:noProof/>
                <w:webHidden/>
              </w:rPr>
              <w:instrText xml:space="preserve"> PAGEREF _Toc462049316 \h </w:instrText>
            </w:r>
            <w:r w:rsidR="00F65DF4">
              <w:rPr>
                <w:noProof/>
                <w:webHidden/>
              </w:rPr>
            </w:r>
            <w:r w:rsidR="00F65DF4">
              <w:rPr>
                <w:noProof/>
                <w:webHidden/>
              </w:rPr>
              <w:fldChar w:fldCharType="separate"/>
            </w:r>
            <w:r w:rsidR="00B4460D">
              <w:rPr>
                <w:noProof/>
                <w:webHidden/>
              </w:rPr>
              <w:t>31</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17" w:history="1">
            <w:r w:rsidR="00F65DF4" w:rsidRPr="00F73D4B">
              <w:rPr>
                <w:rStyle w:val="Hyperlink"/>
                <w:noProof/>
              </w:rPr>
              <w:t>Part 4: The five-year plan</w:t>
            </w:r>
            <w:r w:rsidR="00F65DF4">
              <w:rPr>
                <w:noProof/>
                <w:webHidden/>
              </w:rPr>
              <w:tab/>
            </w:r>
            <w:r w:rsidR="00F65DF4">
              <w:rPr>
                <w:noProof/>
                <w:webHidden/>
              </w:rPr>
              <w:fldChar w:fldCharType="begin"/>
            </w:r>
            <w:r w:rsidR="00F65DF4">
              <w:rPr>
                <w:noProof/>
                <w:webHidden/>
              </w:rPr>
              <w:instrText xml:space="preserve"> PAGEREF _Toc462049317 \h </w:instrText>
            </w:r>
            <w:r w:rsidR="00F65DF4">
              <w:rPr>
                <w:noProof/>
                <w:webHidden/>
              </w:rPr>
            </w:r>
            <w:r w:rsidR="00F65DF4">
              <w:rPr>
                <w:noProof/>
                <w:webHidden/>
              </w:rPr>
              <w:fldChar w:fldCharType="separate"/>
            </w:r>
            <w:r w:rsidR="00B4460D">
              <w:rPr>
                <w:noProof/>
                <w:webHidden/>
              </w:rPr>
              <w:t>35</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18" w:history="1">
            <w:r w:rsidR="00F65DF4" w:rsidRPr="00F73D4B">
              <w:rPr>
                <w:rStyle w:val="Hyperlink"/>
                <w:noProof/>
              </w:rPr>
              <w:t>Healthy eating</w:t>
            </w:r>
            <w:r w:rsidR="00F65DF4">
              <w:rPr>
                <w:noProof/>
                <w:webHidden/>
              </w:rPr>
              <w:tab/>
            </w:r>
            <w:r w:rsidR="00F65DF4">
              <w:rPr>
                <w:noProof/>
                <w:webHidden/>
              </w:rPr>
              <w:fldChar w:fldCharType="begin"/>
            </w:r>
            <w:r w:rsidR="00F65DF4">
              <w:rPr>
                <w:noProof/>
                <w:webHidden/>
              </w:rPr>
              <w:instrText xml:space="preserve"> PAGEREF _Toc462049318 \h </w:instrText>
            </w:r>
            <w:r w:rsidR="00F65DF4">
              <w:rPr>
                <w:noProof/>
                <w:webHidden/>
              </w:rPr>
            </w:r>
            <w:r w:rsidR="00F65DF4">
              <w:rPr>
                <w:noProof/>
                <w:webHidden/>
              </w:rPr>
              <w:fldChar w:fldCharType="separate"/>
            </w:r>
            <w:r w:rsidR="00B4460D">
              <w:rPr>
                <w:noProof/>
                <w:webHidden/>
              </w:rPr>
              <w:t>35</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19" w:history="1">
            <w:r w:rsidR="00F65DF4" w:rsidRPr="00F73D4B">
              <w:rPr>
                <w:rStyle w:val="Hyperlink"/>
                <w:noProof/>
              </w:rPr>
              <w:t>A snapshot of nutrition and diet in WA</w:t>
            </w:r>
            <w:r w:rsidR="00F65DF4">
              <w:rPr>
                <w:noProof/>
                <w:webHidden/>
              </w:rPr>
              <w:tab/>
            </w:r>
            <w:r w:rsidR="00F65DF4">
              <w:rPr>
                <w:noProof/>
                <w:webHidden/>
              </w:rPr>
              <w:fldChar w:fldCharType="begin"/>
            </w:r>
            <w:r w:rsidR="00F65DF4">
              <w:rPr>
                <w:noProof/>
                <w:webHidden/>
              </w:rPr>
              <w:instrText xml:space="preserve"> PAGEREF _Toc462049319 \h </w:instrText>
            </w:r>
            <w:r w:rsidR="00F65DF4">
              <w:rPr>
                <w:noProof/>
                <w:webHidden/>
              </w:rPr>
            </w:r>
            <w:r w:rsidR="00F65DF4">
              <w:rPr>
                <w:noProof/>
                <w:webHidden/>
              </w:rPr>
              <w:fldChar w:fldCharType="separate"/>
            </w:r>
            <w:r w:rsidR="00B4460D">
              <w:rPr>
                <w:noProof/>
                <w:webHidden/>
              </w:rPr>
              <w:t>35</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0" w:history="1">
            <w:r w:rsidR="00F65DF4" w:rsidRPr="00F73D4B">
              <w:rPr>
                <w:rStyle w:val="Hyperlink"/>
                <w:noProof/>
              </w:rPr>
              <w:t>Priorities for healthier eating in WA</w:t>
            </w:r>
            <w:r w:rsidR="00F65DF4">
              <w:rPr>
                <w:noProof/>
                <w:webHidden/>
              </w:rPr>
              <w:tab/>
            </w:r>
            <w:r w:rsidR="00F65DF4">
              <w:rPr>
                <w:noProof/>
                <w:webHidden/>
              </w:rPr>
              <w:fldChar w:fldCharType="begin"/>
            </w:r>
            <w:r w:rsidR="00F65DF4">
              <w:rPr>
                <w:noProof/>
                <w:webHidden/>
              </w:rPr>
              <w:instrText xml:space="preserve"> PAGEREF _Toc462049320 \h </w:instrText>
            </w:r>
            <w:r w:rsidR="00F65DF4">
              <w:rPr>
                <w:noProof/>
                <w:webHidden/>
              </w:rPr>
            </w:r>
            <w:r w:rsidR="00F65DF4">
              <w:rPr>
                <w:noProof/>
                <w:webHidden/>
              </w:rPr>
              <w:fldChar w:fldCharType="separate"/>
            </w:r>
            <w:r w:rsidR="00B4460D">
              <w:rPr>
                <w:noProof/>
                <w:webHidden/>
              </w:rPr>
              <w:t>36</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1" w:history="1">
            <w:r w:rsidR="00F65DF4" w:rsidRPr="00F73D4B">
              <w:rPr>
                <w:rStyle w:val="Hyperlink"/>
                <w:noProof/>
              </w:rPr>
              <w:t>Strategic directions for healthier eating in WA</w:t>
            </w:r>
            <w:r w:rsidR="00F65DF4">
              <w:rPr>
                <w:noProof/>
                <w:webHidden/>
              </w:rPr>
              <w:tab/>
            </w:r>
            <w:r w:rsidR="00F65DF4">
              <w:rPr>
                <w:noProof/>
                <w:webHidden/>
              </w:rPr>
              <w:fldChar w:fldCharType="begin"/>
            </w:r>
            <w:r w:rsidR="00F65DF4">
              <w:rPr>
                <w:noProof/>
                <w:webHidden/>
              </w:rPr>
              <w:instrText xml:space="preserve"> PAGEREF _Toc462049321 \h </w:instrText>
            </w:r>
            <w:r w:rsidR="00F65DF4">
              <w:rPr>
                <w:noProof/>
                <w:webHidden/>
              </w:rPr>
            </w:r>
            <w:r w:rsidR="00F65DF4">
              <w:rPr>
                <w:noProof/>
                <w:webHidden/>
              </w:rPr>
              <w:fldChar w:fldCharType="separate"/>
            </w:r>
            <w:r w:rsidR="00B4460D">
              <w:rPr>
                <w:noProof/>
                <w:webHidden/>
              </w:rPr>
              <w:t>40</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22" w:history="1">
            <w:r w:rsidR="00F65DF4" w:rsidRPr="00F73D4B">
              <w:rPr>
                <w:rStyle w:val="Hyperlink"/>
                <w:noProof/>
              </w:rPr>
              <w:t>A more active WA</w:t>
            </w:r>
            <w:r w:rsidR="00F65DF4">
              <w:rPr>
                <w:noProof/>
                <w:webHidden/>
              </w:rPr>
              <w:tab/>
            </w:r>
            <w:r w:rsidR="00F65DF4">
              <w:rPr>
                <w:noProof/>
                <w:webHidden/>
              </w:rPr>
              <w:fldChar w:fldCharType="begin"/>
            </w:r>
            <w:r w:rsidR="00F65DF4">
              <w:rPr>
                <w:noProof/>
                <w:webHidden/>
              </w:rPr>
              <w:instrText xml:space="preserve"> PAGEREF _Toc462049322 \h </w:instrText>
            </w:r>
            <w:r w:rsidR="00F65DF4">
              <w:rPr>
                <w:noProof/>
                <w:webHidden/>
              </w:rPr>
            </w:r>
            <w:r w:rsidR="00F65DF4">
              <w:rPr>
                <w:noProof/>
                <w:webHidden/>
              </w:rPr>
              <w:fldChar w:fldCharType="separate"/>
            </w:r>
            <w:r w:rsidR="00B4460D">
              <w:rPr>
                <w:noProof/>
                <w:webHidden/>
              </w:rPr>
              <w:t>42</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3" w:history="1">
            <w:r w:rsidR="00F65DF4" w:rsidRPr="00F73D4B">
              <w:rPr>
                <w:rStyle w:val="Hyperlink"/>
                <w:noProof/>
              </w:rPr>
              <w:t>A snapshot of physical activity and sedentary behaviour in WA</w:t>
            </w:r>
            <w:r w:rsidR="00F65DF4">
              <w:rPr>
                <w:noProof/>
                <w:webHidden/>
              </w:rPr>
              <w:tab/>
            </w:r>
            <w:r w:rsidR="00F65DF4">
              <w:rPr>
                <w:noProof/>
                <w:webHidden/>
              </w:rPr>
              <w:fldChar w:fldCharType="begin"/>
            </w:r>
            <w:r w:rsidR="00F65DF4">
              <w:rPr>
                <w:noProof/>
                <w:webHidden/>
              </w:rPr>
              <w:instrText xml:space="preserve"> PAGEREF _Toc462049323 \h </w:instrText>
            </w:r>
            <w:r w:rsidR="00F65DF4">
              <w:rPr>
                <w:noProof/>
                <w:webHidden/>
              </w:rPr>
            </w:r>
            <w:r w:rsidR="00F65DF4">
              <w:rPr>
                <w:noProof/>
                <w:webHidden/>
              </w:rPr>
              <w:fldChar w:fldCharType="separate"/>
            </w:r>
            <w:r w:rsidR="00B4460D">
              <w:rPr>
                <w:noProof/>
                <w:webHidden/>
              </w:rPr>
              <w:t>42</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4" w:history="1">
            <w:r w:rsidR="00F65DF4" w:rsidRPr="00F73D4B">
              <w:rPr>
                <w:rStyle w:val="Hyperlink"/>
                <w:noProof/>
              </w:rPr>
              <w:t>Priorities for a more active WA</w:t>
            </w:r>
            <w:r w:rsidR="00F65DF4">
              <w:rPr>
                <w:noProof/>
                <w:webHidden/>
              </w:rPr>
              <w:tab/>
            </w:r>
            <w:r w:rsidR="00F65DF4">
              <w:rPr>
                <w:noProof/>
                <w:webHidden/>
              </w:rPr>
              <w:fldChar w:fldCharType="begin"/>
            </w:r>
            <w:r w:rsidR="00F65DF4">
              <w:rPr>
                <w:noProof/>
                <w:webHidden/>
              </w:rPr>
              <w:instrText xml:space="preserve"> PAGEREF _Toc462049324 \h </w:instrText>
            </w:r>
            <w:r w:rsidR="00F65DF4">
              <w:rPr>
                <w:noProof/>
                <w:webHidden/>
              </w:rPr>
            </w:r>
            <w:r w:rsidR="00F65DF4">
              <w:rPr>
                <w:noProof/>
                <w:webHidden/>
              </w:rPr>
              <w:fldChar w:fldCharType="separate"/>
            </w:r>
            <w:r w:rsidR="00B4460D">
              <w:rPr>
                <w:noProof/>
                <w:webHidden/>
              </w:rPr>
              <w:t>43</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5" w:history="1">
            <w:r w:rsidR="00F65DF4" w:rsidRPr="00F73D4B">
              <w:rPr>
                <w:rStyle w:val="Hyperlink"/>
                <w:noProof/>
              </w:rPr>
              <w:t>Strategic directions for a more active WA</w:t>
            </w:r>
            <w:r w:rsidR="00F65DF4">
              <w:rPr>
                <w:noProof/>
                <w:webHidden/>
              </w:rPr>
              <w:tab/>
            </w:r>
            <w:r w:rsidR="00F65DF4">
              <w:rPr>
                <w:noProof/>
                <w:webHidden/>
              </w:rPr>
              <w:fldChar w:fldCharType="begin"/>
            </w:r>
            <w:r w:rsidR="00F65DF4">
              <w:rPr>
                <w:noProof/>
                <w:webHidden/>
              </w:rPr>
              <w:instrText xml:space="preserve"> PAGEREF _Toc462049325 \h </w:instrText>
            </w:r>
            <w:r w:rsidR="00F65DF4">
              <w:rPr>
                <w:noProof/>
                <w:webHidden/>
              </w:rPr>
            </w:r>
            <w:r w:rsidR="00F65DF4">
              <w:rPr>
                <w:noProof/>
                <w:webHidden/>
              </w:rPr>
              <w:fldChar w:fldCharType="separate"/>
            </w:r>
            <w:r w:rsidR="00B4460D">
              <w:rPr>
                <w:noProof/>
                <w:webHidden/>
              </w:rPr>
              <w:t>46</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26" w:history="1">
            <w:r w:rsidR="00F65DF4" w:rsidRPr="00F73D4B">
              <w:rPr>
                <w:rStyle w:val="Hyperlink"/>
                <w:noProof/>
              </w:rPr>
              <w:t>Curbing the rise in overweight and obesity</w:t>
            </w:r>
            <w:r w:rsidR="00F65DF4">
              <w:rPr>
                <w:noProof/>
                <w:webHidden/>
              </w:rPr>
              <w:tab/>
            </w:r>
            <w:r w:rsidR="00F65DF4">
              <w:rPr>
                <w:noProof/>
                <w:webHidden/>
              </w:rPr>
              <w:fldChar w:fldCharType="begin"/>
            </w:r>
            <w:r w:rsidR="00F65DF4">
              <w:rPr>
                <w:noProof/>
                <w:webHidden/>
              </w:rPr>
              <w:instrText xml:space="preserve"> PAGEREF _Toc462049326 \h </w:instrText>
            </w:r>
            <w:r w:rsidR="00F65DF4">
              <w:rPr>
                <w:noProof/>
                <w:webHidden/>
              </w:rPr>
            </w:r>
            <w:r w:rsidR="00F65DF4">
              <w:rPr>
                <w:noProof/>
                <w:webHidden/>
              </w:rPr>
              <w:fldChar w:fldCharType="separate"/>
            </w:r>
            <w:r w:rsidR="00B4460D">
              <w:rPr>
                <w:noProof/>
                <w:webHidden/>
              </w:rPr>
              <w:t>48</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7" w:history="1">
            <w:r w:rsidR="00F65DF4" w:rsidRPr="00F73D4B">
              <w:rPr>
                <w:rStyle w:val="Hyperlink"/>
                <w:noProof/>
              </w:rPr>
              <w:t>A snapshot of overweight and obesity in WA</w:t>
            </w:r>
            <w:r w:rsidR="00F65DF4">
              <w:rPr>
                <w:noProof/>
                <w:webHidden/>
              </w:rPr>
              <w:tab/>
            </w:r>
            <w:r w:rsidR="00F65DF4">
              <w:rPr>
                <w:noProof/>
                <w:webHidden/>
              </w:rPr>
              <w:fldChar w:fldCharType="begin"/>
            </w:r>
            <w:r w:rsidR="00F65DF4">
              <w:rPr>
                <w:noProof/>
                <w:webHidden/>
              </w:rPr>
              <w:instrText xml:space="preserve"> PAGEREF _Toc462049327 \h </w:instrText>
            </w:r>
            <w:r w:rsidR="00F65DF4">
              <w:rPr>
                <w:noProof/>
                <w:webHidden/>
              </w:rPr>
            </w:r>
            <w:r w:rsidR="00F65DF4">
              <w:rPr>
                <w:noProof/>
                <w:webHidden/>
              </w:rPr>
              <w:fldChar w:fldCharType="separate"/>
            </w:r>
            <w:r w:rsidR="00B4460D">
              <w:rPr>
                <w:noProof/>
                <w:webHidden/>
              </w:rPr>
              <w:t>48</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8" w:history="1">
            <w:r w:rsidR="00F65DF4" w:rsidRPr="00F73D4B">
              <w:rPr>
                <w:rStyle w:val="Hyperlink"/>
                <w:noProof/>
              </w:rPr>
              <w:t>Priorities for curbing the rise in overweight and obesity in WA</w:t>
            </w:r>
            <w:r w:rsidR="00F65DF4">
              <w:rPr>
                <w:noProof/>
                <w:webHidden/>
              </w:rPr>
              <w:tab/>
            </w:r>
            <w:r w:rsidR="00F65DF4">
              <w:rPr>
                <w:noProof/>
                <w:webHidden/>
              </w:rPr>
              <w:fldChar w:fldCharType="begin"/>
            </w:r>
            <w:r w:rsidR="00F65DF4">
              <w:rPr>
                <w:noProof/>
                <w:webHidden/>
              </w:rPr>
              <w:instrText xml:space="preserve"> PAGEREF _Toc462049328 \h </w:instrText>
            </w:r>
            <w:r w:rsidR="00F65DF4">
              <w:rPr>
                <w:noProof/>
                <w:webHidden/>
              </w:rPr>
            </w:r>
            <w:r w:rsidR="00F65DF4">
              <w:rPr>
                <w:noProof/>
                <w:webHidden/>
              </w:rPr>
              <w:fldChar w:fldCharType="separate"/>
            </w:r>
            <w:r w:rsidR="00B4460D">
              <w:rPr>
                <w:noProof/>
                <w:webHidden/>
              </w:rPr>
              <w:t>49</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29" w:history="1">
            <w:r w:rsidR="00F65DF4" w:rsidRPr="00F73D4B">
              <w:rPr>
                <w:rStyle w:val="Hyperlink"/>
                <w:noProof/>
              </w:rPr>
              <w:t>Strategic directions for curbing the rise in overweight and obesity in WA</w:t>
            </w:r>
            <w:r w:rsidR="00F65DF4">
              <w:rPr>
                <w:noProof/>
                <w:webHidden/>
              </w:rPr>
              <w:tab/>
            </w:r>
            <w:r w:rsidR="00F65DF4">
              <w:rPr>
                <w:noProof/>
                <w:webHidden/>
              </w:rPr>
              <w:fldChar w:fldCharType="begin"/>
            </w:r>
            <w:r w:rsidR="00F65DF4">
              <w:rPr>
                <w:noProof/>
                <w:webHidden/>
              </w:rPr>
              <w:instrText xml:space="preserve"> PAGEREF _Toc462049329 \h </w:instrText>
            </w:r>
            <w:r w:rsidR="00F65DF4">
              <w:rPr>
                <w:noProof/>
                <w:webHidden/>
              </w:rPr>
            </w:r>
            <w:r w:rsidR="00F65DF4">
              <w:rPr>
                <w:noProof/>
                <w:webHidden/>
              </w:rPr>
              <w:fldChar w:fldCharType="separate"/>
            </w:r>
            <w:r w:rsidR="00B4460D">
              <w:rPr>
                <w:noProof/>
                <w:webHidden/>
              </w:rPr>
              <w:t>52</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30" w:history="1">
            <w:r w:rsidR="00F65DF4" w:rsidRPr="00F73D4B">
              <w:rPr>
                <w:rStyle w:val="Hyperlink"/>
                <w:noProof/>
              </w:rPr>
              <w:t>Making smoking history</w:t>
            </w:r>
            <w:r w:rsidR="00F65DF4">
              <w:rPr>
                <w:noProof/>
                <w:webHidden/>
              </w:rPr>
              <w:tab/>
            </w:r>
            <w:r w:rsidR="00F65DF4">
              <w:rPr>
                <w:noProof/>
                <w:webHidden/>
              </w:rPr>
              <w:fldChar w:fldCharType="begin"/>
            </w:r>
            <w:r w:rsidR="00F65DF4">
              <w:rPr>
                <w:noProof/>
                <w:webHidden/>
              </w:rPr>
              <w:instrText xml:space="preserve"> PAGEREF _Toc462049330 \h </w:instrText>
            </w:r>
            <w:r w:rsidR="00F65DF4">
              <w:rPr>
                <w:noProof/>
                <w:webHidden/>
              </w:rPr>
            </w:r>
            <w:r w:rsidR="00F65DF4">
              <w:rPr>
                <w:noProof/>
                <w:webHidden/>
              </w:rPr>
              <w:fldChar w:fldCharType="separate"/>
            </w:r>
            <w:r w:rsidR="00B4460D">
              <w:rPr>
                <w:noProof/>
                <w:webHidden/>
              </w:rPr>
              <w:t>54</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31" w:history="1">
            <w:r w:rsidR="00F65DF4" w:rsidRPr="00F73D4B">
              <w:rPr>
                <w:rStyle w:val="Hyperlink"/>
                <w:noProof/>
              </w:rPr>
              <w:t>A snapshot of smoking in WA</w:t>
            </w:r>
            <w:r w:rsidR="00F65DF4">
              <w:rPr>
                <w:noProof/>
                <w:webHidden/>
              </w:rPr>
              <w:tab/>
            </w:r>
            <w:r w:rsidR="00F65DF4">
              <w:rPr>
                <w:noProof/>
                <w:webHidden/>
              </w:rPr>
              <w:fldChar w:fldCharType="begin"/>
            </w:r>
            <w:r w:rsidR="00F65DF4">
              <w:rPr>
                <w:noProof/>
                <w:webHidden/>
              </w:rPr>
              <w:instrText xml:space="preserve"> PAGEREF _Toc462049331 \h </w:instrText>
            </w:r>
            <w:r w:rsidR="00F65DF4">
              <w:rPr>
                <w:noProof/>
                <w:webHidden/>
              </w:rPr>
            </w:r>
            <w:r w:rsidR="00F65DF4">
              <w:rPr>
                <w:noProof/>
                <w:webHidden/>
              </w:rPr>
              <w:fldChar w:fldCharType="separate"/>
            </w:r>
            <w:r w:rsidR="00B4460D">
              <w:rPr>
                <w:noProof/>
                <w:webHidden/>
              </w:rPr>
              <w:t>54</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32" w:history="1">
            <w:r w:rsidR="00F65DF4" w:rsidRPr="00F73D4B">
              <w:rPr>
                <w:rStyle w:val="Hyperlink"/>
                <w:noProof/>
              </w:rPr>
              <w:t>Priorities for making smoking history in WA</w:t>
            </w:r>
            <w:r w:rsidR="00F65DF4">
              <w:rPr>
                <w:noProof/>
                <w:webHidden/>
              </w:rPr>
              <w:tab/>
            </w:r>
            <w:r w:rsidR="00F65DF4">
              <w:rPr>
                <w:noProof/>
                <w:webHidden/>
              </w:rPr>
              <w:fldChar w:fldCharType="begin"/>
            </w:r>
            <w:r w:rsidR="00F65DF4">
              <w:rPr>
                <w:noProof/>
                <w:webHidden/>
              </w:rPr>
              <w:instrText xml:space="preserve"> PAGEREF _Toc462049332 \h </w:instrText>
            </w:r>
            <w:r w:rsidR="00F65DF4">
              <w:rPr>
                <w:noProof/>
                <w:webHidden/>
              </w:rPr>
            </w:r>
            <w:r w:rsidR="00F65DF4">
              <w:rPr>
                <w:noProof/>
                <w:webHidden/>
              </w:rPr>
              <w:fldChar w:fldCharType="separate"/>
            </w:r>
            <w:r w:rsidR="00B4460D">
              <w:rPr>
                <w:noProof/>
                <w:webHidden/>
              </w:rPr>
              <w:t>55</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33" w:history="1">
            <w:r w:rsidR="00F65DF4" w:rsidRPr="00F73D4B">
              <w:rPr>
                <w:rStyle w:val="Hyperlink"/>
                <w:noProof/>
              </w:rPr>
              <w:t>Strategic directions for making smoking history in WA</w:t>
            </w:r>
            <w:r w:rsidR="00F65DF4">
              <w:rPr>
                <w:noProof/>
                <w:webHidden/>
              </w:rPr>
              <w:tab/>
            </w:r>
            <w:r w:rsidR="00F65DF4">
              <w:rPr>
                <w:noProof/>
                <w:webHidden/>
              </w:rPr>
              <w:fldChar w:fldCharType="begin"/>
            </w:r>
            <w:r w:rsidR="00F65DF4">
              <w:rPr>
                <w:noProof/>
                <w:webHidden/>
              </w:rPr>
              <w:instrText xml:space="preserve"> PAGEREF _Toc462049333 \h </w:instrText>
            </w:r>
            <w:r w:rsidR="00F65DF4">
              <w:rPr>
                <w:noProof/>
                <w:webHidden/>
              </w:rPr>
            </w:r>
            <w:r w:rsidR="00F65DF4">
              <w:rPr>
                <w:noProof/>
                <w:webHidden/>
              </w:rPr>
              <w:fldChar w:fldCharType="separate"/>
            </w:r>
            <w:r w:rsidR="00B4460D">
              <w:rPr>
                <w:noProof/>
                <w:webHidden/>
              </w:rPr>
              <w:t>58</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34" w:history="1">
            <w:r w:rsidR="00F65DF4" w:rsidRPr="00F73D4B">
              <w:rPr>
                <w:rStyle w:val="Hyperlink"/>
                <w:noProof/>
              </w:rPr>
              <w:t>Reducing harmful alcohol use</w:t>
            </w:r>
            <w:r w:rsidR="00F65DF4">
              <w:rPr>
                <w:noProof/>
                <w:webHidden/>
              </w:rPr>
              <w:tab/>
            </w:r>
            <w:r w:rsidR="00F65DF4">
              <w:rPr>
                <w:noProof/>
                <w:webHidden/>
              </w:rPr>
              <w:fldChar w:fldCharType="begin"/>
            </w:r>
            <w:r w:rsidR="00F65DF4">
              <w:rPr>
                <w:noProof/>
                <w:webHidden/>
              </w:rPr>
              <w:instrText xml:space="preserve"> PAGEREF _Toc462049334 \h </w:instrText>
            </w:r>
            <w:r w:rsidR="00F65DF4">
              <w:rPr>
                <w:noProof/>
                <w:webHidden/>
              </w:rPr>
            </w:r>
            <w:r w:rsidR="00F65DF4">
              <w:rPr>
                <w:noProof/>
                <w:webHidden/>
              </w:rPr>
              <w:fldChar w:fldCharType="separate"/>
            </w:r>
            <w:r w:rsidR="00B4460D">
              <w:rPr>
                <w:noProof/>
                <w:webHidden/>
              </w:rPr>
              <w:t>60</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35" w:history="1">
            <w:r w:rsidR="00F65DF4" w:rsidRPr="00F73D4B">
              <w:rPr>
                <w:rStyle w:val="Hyperlink"/>
                <w:noProof/>
                <w:lang w:val="en-AU"/>
              </w:rPr>
              <w:t>A snapshot of alcohol use in WA</w:t>
            </w:r>
            <w:r w:rsidR="00F65DF4">
              <w:rPr>
                <w:noProof/>
                <w:webHidden/>
              </w:rPr>
              <w:tab/>
            </w:r>
            <w:r w:rsidR="00F65DF4">
              <w:rPr>
                <w:noProof/>
                <w:webHidden/>
              </w:rPr>
              <w:fldChar w:fldCharType="begin"/>
            </w:r>
            <w:r w:rsidR="00F65DF4">
              <w:rPr>
                <w:noProof/>
                <w:webHidden/>
              </w:rPr>
              <w:instrText xml:space="preserve"> PAGEREF _Toc462049335 \h </w:instrText>
            </w:r>
            <w:r w:rsidR="00F65DF4">
              <w:rPr>
                <w:noProof/>
                <w:webHidden/>
              </w:rPr>
            </w:r>
            <w:r w:rsidR="00F65DF4">
              <w:rPr>
                <w:noProof/>
                <w:webHidden/>
              </w:rPr>
              <w:fldChar w:fldCharType="separate"/>
            </w:r>
            <w:r w:rsidR="00B4460D">
              <w:rPr>
                <w:noProof/>
                <w:webHidden/>
              </w:rPr>
              <w:t>60</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36" w:history="1">
            <w:r w:rsidR="00F65DF4" w:rsidRPr="00F73D4B">
              <w:rPr>
                <w:rStyle w:val="Hyperlink"/>
                <w:noProof/>
                <w:lang w:val="en-AU"/>
              </w:rPr>
              <w:t>Priorities for reducing harmful alcohol use in WA</w:t>
            </w:r>
            <w:r w:rsidR="00F65DF4">
              <w:rPr>
                <w:noProof/>
                <w:webHidden/>
              </w:rPr>
              <w:tab/>
            </w:r>
            <w:r w:rsidR="00F65DF4">
              <w:rPr>
                <w:noProof/>
                <w:webHidden/>
              </w:rPr>
              <w:fldChar w:fldCharType="begin"/>
            </w:r>
            <w:r w:rsidR="00F65DF4">
              <w:rPr>
                <w:noProof/>
                <w:webHidden/>
              </w:rPr>
              <w:instrText xml:space="preserve"> PAGEREF _Toc462049336 \h </w:instrText>
            </w:r>
            <w:r w:rsidR="00F65DF4">
              <w:rPr>
                <w:noProof/>
                <w:webHidden/>
              </w:rPr>
            </w:r>
            <w:r w:rsidR="00F65DF4">
              <w:rPr>
                <w:noProof/>
                <w:webHidden/>
              </w:rPr>
              <w:fldChar w:fldCharType="separate"/>
            </w:r>
            <w:r w:rsidR="00B4460D">
              <w:rPr>
                <w:noProof/>
                <w:webHidden/>
              </w:rPr>
              <w:t>61</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37" w:history="1">
            <w:r w:rsidR="00F65DF4" w:rsidRPr="00F73D4B">
              <w:rPr>
                <w:rStyle w:val="Hyperlink"/>
                <w:noProof/>
              </w:rPr>
              <w:t>Strategic directions for reducing harmful alcohol use in WA</w:t>
            </w:r>
            <w:r w:rsidR="00F65DF4">
              <w:rPr>
                <w:noProof/>
                <w:webHidden/>
              </w:rPr>
              <w:tab/>
            </w:r>
            <w:r w:rsidR="00F65DF4">
              <w:rPr>
                <w:noProof/>
                <w:webHidden/>
              </w:rPr>
              <w:fldChar w:fldCharType="begin"/>
            </w:r>
            <w:r w:rsidR="00F65DF4">
              <w:rPr>
                <w:noProof/>
                <w:webHidden/>
              </w:rPr>
              <w:instrText xml:space="preserve"> PAGEREF _Toc462049337 \h </w:instrText>
            </w:r>
            <w:r w:rsidR="00F65DF4">
              <w:rPr>
                <w:noProof/>
                <w:webHidden/>
              </w:rPr>
            </w:r>
            <w:r w:rsidR="00F65DF4">
              <w:rPr>
                <w:noProof/>
                <w:webHidden/>
              </w:rPr>
              <w:fldChar w:fldCharType="separate"/>
            </w:r>
            <w:r w:rsidR="00B4460D">
              <w:rPr>
                <w:noProof/>
                <w:webHidden/>
              </w:rPr>
              <w:t>63</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38" w:history="1">
            <w:r w:rsidR="00F65DF4" w:rsidRPr="00F73D4B">
              <w:rPr>
                <w:rStyle w:val="Hyperlink"/>
                <w:noProof/>
              </w:rPr>
              <w:t>Preventing injury and promoting safer communities</w:t>
            </w:r>
            <w:r w:rsidR="00F65DF4">
              <w:rPr>
                <w:noProof/>
                <w:webHidden/>
              </w:rPr>
              <w:tab/>
            </w:r>
            <w:r w:rsidR="00F65DF4">
              <w:rPr>
                <w:noProof/>
                <w:webHidden/>
              </w:rPr>
              <w:fldChar w:fldCharType="begin"/>
            </w:r>
            <w:r w:rsidR="00F65DF4">
              <w:rPr>
                <w:noProof/>
                <w:webHidden/>
              </w:rPr>
              <w:instrText xml:space="preserve"> PAGEREF _Toc462049338 \h </w:instrText>
            </w:r>
            <w:r w:rsidR="00F65DF4">
              <w:rPr>
                <w:noProof/>
                <w:webHidden/>
              </w:rPr>
            </w:r>
            <w:r w:rsidR="00F65DF4">
              <w:rPr>
                <w:noProof/>
                <w:webHidden/>
              </w:rPr>
              <w:fldChar w:fldCharType="separate"/>
            </w:r>
            <w:r w:rsidR="00B4460D">
              <w:rPr>
                <w:noProof/>
                <w:webHidden/>
              </w:rPr>
              <w:t>65</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39" w:history="1">
            <w:r w:rsidR="00F65DF4" w:rsidRPr="00F73D4B">
              <w:rPr>
                <w:rStyle w:val="Hyperlink"/>
                <w:noProof/>
              </w:rPr>
              <w:t>A snapshot of injuries in WA</w:t>
            </w:r>
            <w:r w:rsidR="00F65DF4">
              <w:rPr>
                <w:noProof/>
                <w:webHidden/>
              </w:rPr>
              <w:tab/>
            </w:r>
            <w:r w:rsidR="00F65DF4">
              <w:rPr>
                <w:noProof/>
                <w:webHidden/>
              </w:rPr>
              <w:fldChar w:fldCharType="begin"/>
            </w:r>
            <w:r w:rsidR="00F65DF4">
              <w:rPr>
                <w:noProof/>
                <w:webHidden/>
              </w:rPr>
              <w:instrText xml:space="preserve"> PAGEREF _Toc462049339 \h </w:instrText>
            </w:r>
            <w:r w:rsidR="00F65DF4">
              <w:rPr>
                <w:noProof/>
                <w:webHidden/>
              </w:rPr>
            </w:r>
            <w:r w:rsidR="00F65DF4">
              <w:rPr>
                <w:noProof/>
                <w:webHidden/>
              </w:rPr>
              <w:fldChar w:fldCharType="separate"/>
            </w:r>
            <w:r w:rsidR="00B4460D">
              <w:rPr>
                <w:noProof/>
                <w:webHidden/>
              </w:rPr>
              <w:t>65</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40" w:history="1">
            <w:r w:rsidR="00F65DF4" w:rsidRPr="00F73D4B">
              <w:rPr>
                <w:rStyle w:val="Hyperlink"/>
                <w:noProof/>
              </w:rPr>
              <w:t>Priorities for preventing injury and promoting safer communities in WA</w:t>
            </w:r>
            <w:r w:rsidR="00F65DF4">
              <w:rPr>
                <w:noProof/>
                <w:webHidden/>
              </w:rPr>
              <w:tab/>
            </w:r>
            <w:r w:rsidR="00F65DF4">
              <w:rPr>
                <w:noProof/>
                <w:webHidden/>
              </w:rPr>
              <w:fldChar w:fldCharType="begin"/>
            </w:r>
            <w:r w:rsidR="00F65DF4">
              <w:rPr>
                <w:noProof/>
                <w:webHidden/>
              </w:rPr>
              <w:instrText xml:space="preserve"> PAGEREF _Toc462049340 \h </w:instrText>
            </w:r>
            <w:r w:rsidR="00F65DF4">
              <w:rPr>
                <w:noProof/>
                <w:webHidden/>
              </w:rPr>
            </w:r>
            <w:r w:rsidR="00F65DF4">
              <w:rPr>
                <w:noProof/>
                <w:webHidden/>
              </w:rPr>
              <w:fldChar w:fldCharType="separate"/>
            </w:r>
            <w:r w:rsidR="00B4460D">
              <w:rPr>
                <w:noProof/>
                <w:webHidden/>
              </w:rPr>
              <w:t>66</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41" w:history="1">
            <w:r w:rsidR="00F65DF4" w:rsidRPr="00F73D4B">
              <w:rPr>
                <w:rStyle w:val="Hyperlink"/>
                <w:rFonts w:eastAsia="Arial"/>
                <w:noProof/>
              </w:rPr>
              <w:t>Strategic directions for preventing injury and promoting safer communities in WA</w:t>
            </w:r>
            <w:r w:rsidR="00F65DF4">
              <w:rPr>
                <w:noProof/>
                <w:webHidden/>
              </w:rPr>
              <w:tab/>
            </w:r>
            <w:r w:rsidR="00F65DF4">
              <w:rPr>
                <w:noProof/>
                <w:webHidden/>
              </w:rPr>
              <w:fldChar w:fldCharType="begin"/>
            </w:r>
            <w:r w:rsidR="00F65DF4">
              <w:rPr>
                <w:noProof/>
                <w:webHidden/>
              </w:rPr>
              <w:instrText xml:space="preserve"> PAGEREF _Toc462049341 \h </w:instrText>
            </w:r>
            <w:r w:rsidR="00F65DF4">
              <w:rPr>
                <w:noProof/>
                <w:webHidden/>
              </w:rPr>
            </w:r>
            <w:r w:rsidR="00F65DF4">
              <w:rPr>
                <w:noProof/>
                <w:webHidden/>
              </w:rPr>
              <w:fldChar w:fldCharType="separate"/>
            </w:r>
            <w:r w:rsidR="00B4460D">
              <w:rPr>
                <w:noProof/>
                <w:webHidden/>
              </w:rPr>
              <w:t>69</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42" w:history="1">
            <w:r w:rsidR="00F65DF4" w:rsidRPr="00F73D4B">
              <w:rPr>
                <w:rStyle w:val="Hyperlink"/>
                <w:rFonts w:eastAsia="Arial"/>
                <w:noProof/>
              </w:rPr>
              <w:t>Part 5:  Monitoring progress</w:t>
            </w:r>
            <w:r w:rsidR="00F65DF4">
              <w:rPr>
                <w:noProof/>
                <w:webHidden/>
              </w:rPr>
              <w:tab/>
            </w:r>
            <w:r w:rsidR="00F65DF4">
              <w:rPr>
                <w:noProof/>
                <w:webHidden/>
              </w:rPr>
              <w:fldChar w:fldCharType="begin"/>
            </w:r>
            <w:r w:rsidR="00F65DF4">
              <w:rPr>
                <w:noProof/>
                <w:webHidden/>
              </w:rPr>
              <w:instrText xml:space="preserve"> PAGEREF _Toc462049342 \h </w:instrText>
            </w:r>
            <w:r w:rsidR="00F65DF4">
              <w:rPr>
                <w:noProof/>
                <w:webHidden/>
              </w:rPr>
            </w:r>
            <w:r w:rsidR="00F65DF4">
              <w:rPr>
                <w:noProof/>
                <w:webHidden/>
              </w:rPr>
              <w:fldChar w:fldCharType="separate"/>
            </w:r>
            <w:r w:rsidR="00B4460D">
              <w:rPr>
                <w:noProof/>
                <w:webHidden/>
              </w:rPr>
              <w:t>71</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43" w:history="1">
            <w:r w:rsidR="00F65DF4" w:rsidRPr="00F73D4B">
              <w:rPr>
                <w:rStyle w:val="Hyperlink"/>
                <w:rFonts w:eastAsia="Arial"/>
                <w:noProof/>
              </w:rPr>
              <w:t>5.1  Reporting frameworks</w:t>
            </w:r>
            <w:r w:rsidR="00F65DF4">
              <w:rPr>
                <w:noProof/>
                <w:webHidden/>
              </w:rPr>
              <w:tab/>
            </w:r>
            <w:r w:rsidR="00F65DF4">
              <w:rPr>
                <w:noProof/>
                <w:webHidden/>
              </w:rPr>
              <w:fldChar w:fldCharType="begin"/>
            </w:r>
            <w:r w:rsidR="00F65DF4">
              <w:rPr>
                <w:noProof/>
                <w:webHidden/>
              </w:rPr>
              <w:instrText xml:space="preserve"> PAGEREF _Toc462049343 \h </w:instrText>
            </w:r>
            <w:r w:rsidR="00F65DF4">
              <w:rPr>
                <w:noProof/>
                <w:webHidden/>
              </w:rPr>
            </w:r>
            <w:r w:rsidR="00F65DF4">
              <w:rPr>
                <w:noProof/>
                <w:webHidden/>
              </w:rPr>
              <w:fldChar w:fldCharType="separate"/>
            </w:r>
            <w:r w:rsidR="00B4460D">
              <w:rPr>
                <w:noProof/>
                <w:webHidden/>
              </w:rPr>
              <w:t>71</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44" w:history="1">
            <w:r w:rsidR="00F65DF4" w:rsidRPr="00F73D4B">
              <w:rPr>
                <w:rStyle w:val="Hyperlink"/>
                <w:noProof/>
              </w:rPr>
              <w:t>5.2  Program evaluation and monitoring</w:t>
            </w:r>
            <w:r w:rsidR="00F65DF4">
              <w:rPr>
                <w:noProof/>
                <w:webHidden/>
              </w:rPr>
              <w:tab/>
            </w:r>
            <w:r w:rsidR="00F65DF4">
              <w:rPr>
                <w:noProof/>
                <w:webHidden/>
              </w:rPr>
              <w:fldChar w:fldCharType="begin"/>
            </w:r>
            <w:r w:rsidR="00F65DF4">
              <w:rPr>
                <w:noProof/>
                <w:webHidden/>
              </w:rPr>
              <w:instrText xml:space="preserve"> PAGEREF _Toc462049344 \h </w:instrText>
            </w:r>
            <w:r w:rsidR="00F65DF4">
              <w:rPr>
                <w:noProof/>
                <w:webHidden/>
              </w:rPr>
            </w:r>
            <w:r w:rsidR="00F65DF4">
              <w:rPr>
                <w:noProof/>
                <w:webHidden/>
              </w:rPr>
              <w:fldChar w:fldCharType="separate"/>
            </w:r>
            <w:r w:rsidR="00B4460D">
              <w:rPr>
                <w:noProof/>
                <w:webHidden/>
              </w:rPr>
              <w:t>72</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45" w:history="1">
            <w:r w:rsidR="00F65DF4" w:rsidRPr="00F73D4B">
              <w:rPr>
                <w:rStyle w:val="Hyperlink"/>
                <w:rFonts w:eastAsia="Arial"/>
                <w:noProof/>
              </w:rPr>
              <w:t>5.3  Promoting a priority-driven research agenda</w:t>
            </w:r>
            <w:r w:rsidR="00F65DF4">
              <w:rPr>
                <w:noProof/>
                <w:webHidden/>
              </w:rPr>
              <w:tab/>
            </w:r>
            <w:r w:rsidR="00F65DF4">
              <w:rPr>
                <w:noProof/>
                <w:webHidden/>
              </w:rPr>
              <w:fldChar w:fldCharType="begin"/>
            </w:r>
            <w:r w:rsidR="00F65DF4">
              <w:rPr>
                <w:noProof/>
                <w:webHidden/>
              </w:rPr>
              <w:instrText xml:space="preserve"> PAGEREF _Toc462049345 \h </w:instrText>
            </w:r>
            <w:r w:rsidR="00F65DF4">
              <w:rPr>
                <w:noProof/>
                <w:webHidden/>
              </w:rPr>
            </w:r>
            <w:r w:rsidR="00F65DF4">
              <w:rPr>
                <w:noProof/>
                <w:webHidden/>
              </w:rPr>
              <w:fldChar w:fldCharType="separate"/>
            </w:r>
            <w:r w:rsidR="00B4460D">
              <w:rPr>
                <w:noProof/>
                <w:webHidden/>
              </w:rPr>
              <w:t>72</w:t>
            </w:r>
            <w:r w:rsidR="00F65DF4">
              <w:rPr>
                <w:noProof/>
                <w:webHidden/>
              </w:rPr>
              <w:fldChar w:fldCharType="end"/>
            </w:r>
          </w:hyperlink>
        </w:p>
        <w:p w:rsidR="00F65DF4" w:rsidRDefault="00C71FCC">
          <w:pPr>
            <w:pStyle w:val="TOC2"/>
            <w:tabs>
              <w:tab w:val="right" w:leader="dot" w:pos="9040"/>
            </w:tabs>
            <w:rPr>
              <w:rFonts w:asciiTheme="minorHAnsi" w:eastAsiaTheme="minorEastAsia" w:hAnsiTheme="minorHAnsi" w:cstheme="minorBidi"/>
              <w:noProof/>
              <w:sz w:val="22"/>
              <w:szCs w:val="22"/>
              <w:lang w:val="en-AU" w:eastAsia="en-AU"/>
            </w:rPr>
          </w:pPr>
          <w:hyperlink w:anchor="_Toc462049346" w:history="1">
            <w:r w:rsidR="00F65DF4" w:rsidRPr="00F73D4B">
              <w:rPr>
                <w:rStyle w:val="Hyperlink"/>
                <w:noProof/>
              </w:rPr>
              <w:t>5.4  Documenting a more complete picture of progress</w:t>
            </w:r>
            <w:r w:rsidR="00F65DF4">
              <w:rPr>
                <w:noProof/>
                <w:webHidden/>
              </w:rPr>
              <w:tab/>
            </w:r>
            <w:r w:rsidR="00F65DF4">
              <w:rPr>
                <w:noProof/>
                <w:webHidden/>
              </w:rPr>
              <w:fldChar w:fldCharType="begin"/>
            </w:r>
            <w:r w:rsidR="00F65DF4">
              <w:rPr>
                <w:noProof/>
                <w:webHidden/>
              </w:rPr>
              <w:instrText xml:space="preserve"> PAGEREF _Toc462049346 \h </w:instrText>
            </w:r>
            <w:r w:rsidR="00F65DF4">
              <w:rPr>
                <w:noProof/>
                <w:webHidden/>
              </w:rPr>
            </w:r>
            <w:r w:rsidR="00F65DF4">
              <w:rPr>
                <w:noProof/>
                <w:webHidden/>
              </w:rPr>
              <w:fldChar w:fldCharType="separate"/>
            </w:r>
            <w:r w:rsidR="00B4460D">
              <w:rPr>
                <w:noProof/>
                <w:webHidden/>
              </w:rPr>
              <w:t>73</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47" w:history="1">
            <w:r w:rsidR="00F65DF4" w:rsidRPr="00F73D4B">
              <w:rPr>
                <w:rStyle w:val="Hyperlink"/>
                <w:noProof/>
              </w:rPr>
              <w:t>Appendix 1: State, Commonwealth and international frameworks and policies</w:t>
            </w:r>
            <w:r w:rsidR="00F65DF4">
              <w:rPr>
                <w:noProof/>
                <w:webHidden/>
              </w:rPr>
              <w:tab/>
            </w:r>
            <w:r w:rsidR="00F65DF4">
              <w:rPr>
                <w:noProof/>
                <w:webHidden/>
              </w:rPr>
              <w:fldChar w:fldCharType="begin"/>
            </w:r>
            <w:r w:rsidR="00F65DF4">
              <w:rPr>
                <w:noProof/>
                <w:webHidden/>
              </w:rPr>
              <w:instrText xml:space="preserve"> PAGEREF _Toc462049347 \h </w:instrText>
            </w:r>
            <w:r w:rsidR="00F65DF4">
              <w:rPr>
                <w:noProof/>
                <w:webHidden/>
              </w:rPr>
            </w:r>
            <w:r w:rsidR="00F65DF4">
              <w:rPr>
                <w:noProof/>
                <w:webHidden/>
              </w:rPr>
              <w:fldChar w:fldCharType="separate"/>
            </w:r>
            <w:r w:rsidR="00B4460D">
              <w:rPr>
                <w:noProof/>
                <w:webHidden/>
              </w:rPr>
              <w:t>74</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48" w:history="1">
            <w:r w:rsidR="00F65DF4" w:rsidRPr="00F73D4B">
              <w:rPr>
                <w:rStyle w:val="Hyperlink"/>
                <w:noProof/>
              </w:rPr>
              <w:t xml:space="preserve">Appendix 2: </w:t>
            </w:r>
            <w:r w:rsidR="00F65DF4" w:rsidRPr="00F73D4B">
              <w:rPr>
                <w:rStyle w:val="Hyperlink"/>
                <w:rFonts w:eastAsia="Arial"/>
                <w:noProof/>
              </w:rPr>
              <w:t>Broad indicator set for chronic disease and injury prevention in WA</w:t>
            </w:r>
            <w:r w:rsidR="00F65DF4">
              <w:rPr>
                <w:noProof/>
                <w:webHidden/>
              </w:rPr>
              <w:tab/>
            </w:r>
            <w:r w:rsidR="00F65DF4">
              <w:rPr>
                <w:noProof/>
                <w:webHidden/>
              </w:rPr>
              <w:fldChar w:fldCharType="begin"/>
            </w:r>
            <w:r w:rsidR="00F65DF4">
              <w:rPr>
                <w:noProof/>
                <w:webHidden/>
              </w:rPr>
              <w:instrText xml:space="preserve"> PAGEREF _Toc462049348 \h </w:instrText>
            </w:r>
            <w:r w:rsidR="00F65DF4">
              <w:rPr>
                <w:noProof/>
                <w:webHidden/>
              </w:rPr>
            </w:r>
            <w:r w:rsidR="00F65DF4">
              <w:rPr>
                <w:noProof/>
                <w:webHidden/>
              </w:rPr>
              <w:fldChar w:fldCharType="separate"/>
            </w:r>
            <w:r w:rsidR="00B4460D">
              <w:rPr>
                <w:noProof/>
                <w:webHidden/>
              </w:rPr>
              <w:t>80</w:t>
            </w:r>
            <w:r w:rsidR="00F65DF4">
              <w:rPr>
                <w:noProof/>
                <w:webHidden/>
              </w:rPr>
              <w:fldChar w:fldCharType="end"/>
            </w:r>
          </w:hyperlink>
        </w:p>
        <w:p w:rsidR="00F65DF4" w:rsidRDefault="00C71FCC">
          <w:pPr>
            <w:pStyle w:val="TOC1"/>
            <w:tabs>
              <w:tab w:val="right" w:leader="dot" w:pos="9040"/>
            </w:tabs>
            <w:rPr>
              <w:rFonts w:asciiTheme="minorHAnsi" w:eastAsiaTheme="minorEastAsia" w:hAnsiTheme="minorHAnsi" w:cstheme="minorBidi"/>
              <w:noProof/>
              <w:sz w:val="22"/>
              <w:szCs w:val="22"/>
              <w:lang w:val="en-AU" w:eastAsia="en-AU"/>
            </w:rPr>
          </w:pPr>
          <w:hyperlink w:anchor="_Toc462049349" w:history="1">
            <w:r w:rsidR="00F65DF4" w:rsidRPr="00F73D4B">
              <w:rPr>
                <w:rStyle w:val="Hyperlink"/>
                <w:noProof/>
              </w:rPr>
              <w:t>References</w:t>
            </w:r>
            <w:r w:rsidR="00F65DF4">
              <w:rPr>
                <w:noProof/>
                <w:webHidden/>
              </w:rPr>
              <w:tab/>
            </w:r>
            <w:r w:rsidR="00F65DF4">
              <w:rPr>
                <w:noProof/>
                <w:webHidden/>
              </w:rPr>
              <w:fldChar w:fldCharType="begin"/>
            </w:r>
            <w:r w:rsidR="00F65DF4">
              <w:rPr>
                <w:noProof/>
                <w:webHidden/>
              </w:rPr>
              <w:instrText xml:space="preserve"> PAGEREF _Toc462049349 \h </w:instrText>
            </w:r>
            <w:r w:rsidR="00F65DF4">
              <w:rPr>
                <w:noProof/>
                <w:webHidden/>
              </w:rPr>
            </w:r>
            <w:r w:rsidR="00F65DF4">
              <w:rPr>
                <w:noProof/>
                <w:webHidden/>
              </w:rPr>
              <w:fldChar w:fldCharType="separate"/>
            </w:r>
            <w:r w:rsidR="00B4460D">
              <w:rPr>
                <w:noProof/>
                <w:webHidden/>
              </w:rPr>
              <w:t>87</w:t>
            </w:r>
            <w:r w:rsidR="00F65DF4">
              <w:rPr>
                <w:noProof/>
                <w:webHidden/>
              </w:rPr>
              <w:fldChar w:fldCharType="end"/>
            </w:r>
          </w:hyperlink>
        </w:p>
        <w:p w:rsidR="00EB5A77" w:rsidRDefault="00EB5A77" w:rsidP="00823AA2">
          <w:r>
            <w:rPr>
              <w:noProof/>
            </w:rPr>
            <w:fldChar w:fldCharType="end"/>
          </w:r>
        </w:p>
      </w:sdtContent>
    </w:sdt>
    <w:p w:rsidR="00377CD8" w:rsidRDefault="00377CD8">
      <w:pPr>
        <w:widowControl/>
        <w:spacing w:after="200" w:line="276" w:lineRule="auto"/>
        <w:rPr>
          <w:rFonts w:eastAsiaTheme="majorEastAsia" w:cstheme="majorBidi"/>
          <w:color w:val="31849B" w:themeColor="accent5" w:themeShade="BF"/>
          <w:sz w:val="52"/>
          <w:szCs w:val="52"/>
        </w:rPr>
      </w:pPr>
      <w:r>
        <w:br w:type="page"/>
      </w:r>
    </w:p>
    <w:p w:rsidR="00594657" w:rsidRPr="00C1793E" w:rsidRDefault="004C0B65" w:rsidP="00F56E96">
      <w:pPr>
        <w:pStyle w:val="Heading1"/>
      </w:pPr>
      <w:bookmarkStart w:id="1" w:name="_Toc462049301"/>
      <w:r>
        <w:lastRenderedPageBreak/>
        <w:t>T</w:t>
      </w:r>
      <w:r w:rsidR="008653AC">
        <w:t xml:space="preserve">ext </w:t>
      </w:r>
      <w:r w:rsidR="00C1793E" w:rsidRPr="00C1793E">
        <w:t>boxes</w:t>
      </w:r>
      <w:r>
        <w:t>, tables and figures</w:t>
      </w:r>
      <w:bookmarkEnd w:id="1"/>
    </w:p>
    <w:p w:rsidR="00DE7A58" w:rsidRDefault="00DE7A58" w:rsidP="00A67F60"/>
    <w:tbl>
      <w:tblPr>
        <w:tblStyle w:val="TableGrid"/>
        <w:tblW w:w="0" w:type="auto"/>
        <w:shd w:val="clear" w:color="auto" w:fill="FFFFFF" w:themeFill="background1"/>
        <w:tblLook w:val="04A0" w:firstRow="1" w:lastRow="0" w:firstColumn="1" w:lastColumn="0" w:noHBand="0" w:noVBand="1"/>
      </w:tblPr>
      <w:tblGrid>
        <w:gridCol w:w="530"/>
        <w:gridCol w:w="7800"/>
        <w:gridCol w:w="912"/>
      </w:tblGrid>
      <w:tr w:rsidR="00CC6909" w:rsidRPr="004E25DF" w:rsidTr="00550F19">
        <w:trPr>
          <w:trHeight w:val="510"/>
        </w:trPr>
        <w:tc>
          <w:tcPr>
            <w:tcW w:w="8330" w:type="dxa"/>
            <w:gridSpan w:val="2"/>
            <w:shd w:val="clear" w:color="auto" w:fill="808080" w:themeFill="background1" w:themeFillShade="80"/>
            <w:vAlign w:val="center"/>
          </w:tcPr>
          <w:p w:rsidR="00CC6909" w:rsidRPr="00550F19" w:rsidRDefault="00534018" w:rsidP="00D44A48">
            <w:pPr>
              <w:rPr>
                <w:b/>
                <w:color w:val="FFFFFF" w:themeColor="background1"/>
                <w:sz w:val="28"/>
                <w:szCs w:val="28"/>
              </w:rPr>
            </w:pPr>
            <w:r w:rsidRPr="00550F19">
              <w:rPr>
                <w:b/>
                <w:color w:val="FFFFFF" w:themeColor="background1"/>
                <w:sz w:val="28"/>
                <w:szCs w:val="28"/>
              </w:rPr>
              <w:t>Text boxes</w:t>
            </w:r>
          </w:p>
        </w:tc>
        <w:tc>
          <w:tcPr>
            <w:tcW w:w="912" w:type="dxa"/>
            <w:shd w:val="clear" w:color="auto" w:fill="808080" w:themeFill="background1" w:themeFillShade="80"/>
            <w:vAlign w:val="center"/>
          </w:tcPr>
          <w:p w:rsidR="00CC6909" w:rsidRPr="00550F19" w:rsidRDefault="00CC6909" w:rsidP="00D44A48">
            <w:pPr>
              <w:rPr>
                <w:b/>
                <w:color w:val="FFFFFF" w:themeColor="background1"/>
                <w:sz w:val="28"/>
                <w:szCs w:val="28"/>
              </w:rPr>
            </w:pPr>
            <w:r w:rsidRPr="00550F19">
              <w:rPr>
                <w:b/>
                <w:color w:val="FFFFFF" w:themeColor="background1"/>
                <w:sz w:val="28"/>
                <w:szCs w:val="28"/>
              </w:rPr>
              <w:t>Page</w:t>
            </w:r>
          </w:p>
        </w:tc>
      </w:tr>
      <w:tr w:rsidR="00534018" w:rsidTr="00D44A48">
        <w:trPr>
          <w:trHeight w:val="397"/>
        </w:trPr>
        <w:tc>
          <w:tcPr>
            <w:tcW w:w="530" w:type="dxa"/>
            <w:shd w:val="clear" w:color="auto" w:fill="FFFFFF" w:themeFill="background1"/>
            <w:vAlign w:val="center"/>
          </w:tcPr>
          <w:p w:rsidR="00534018" w:rsidRPr="007576CC" w:rsidRDefault="00534018" w:rsidP="00D44A48">
            <w:pPr>
              <w:jc w:val="center"/>
              <w:rPr>
                <w:b/>
              </w:rPr>
            </w:pPr>
            <w:r w:rsidRPr="007576CC">
              <w:rPr>
                <w:b/>
              </w:rPr>
              <w:t>1</w:t>
            </w:r>
          </w:p>
        </w:tc>
        <w:tc>
          <w:tcPr>
            <w:tcW w:w="7800" w:type="dxa"/>
            <w:shd w:val="clear" w:color="auto" w:fill="FFFFFF" w:themeFill="background1"/>
            <w:vAlign w:val="center"/>
          </w:tcPr>
          <w:p w:rsidR="00534018" w:rsidRPr="009B0A9F" w:rsidRDefault="00534018" w:rsidP="00D44A48">
            <w:pPr>
              <w:widowControl/>
            </w:pPr>
            <w:r w:rsidRPr="009B0A9F">
              <w:t xml:space="preserve">The </w:t>
            </w:r>
            <w:r w:rsidRPr="009B0A9F">
              <w:rPr>
                <w:i/>
              </w:rPr>
              <w:t>WA Health Promotion Strategic Framework 2017–2021</w:t>
            </w:r>
            <w:r w:rsidRPr="009B0A9F">
              <w:t xml:space="preserve"> at a glance </w:t>
            </w:r>
          </w:p>
        </w:tc>
        <w:tc>
          <w:tcPr>
            <w:tcW w:w="912" w:type="dxa"/>
            <w:shd w:val="clear" w:color="auto" w:fill="auto"/>
            <w:vAlign w:val="center"/>
          </w:tcPr>
          <w:p w:rsidR="00534018" w:rsidRDefault="00EA3978" w:rsidP="00D44A48">
            <w:pPr>
              <w:jc w:val="center"/>
            </w:pPr>
            <w:r>
              <w:t>11</w:t>
            </w:r>
          </w:p>
        </w:tc>
      </w:tr>
      <w:tr w:rsidR="00534018" w:rsidTr="00D44A48">
        <w:trPr>
          <w:trHeight w:val="397"/>
        </w:trPr>
        <w:tc>
          <w:tcPr>
            <w:tcW w:w="530" w:type="dxa"/>
            <w:shd w:val="clear" w:color="auto" w:fill="FFFFFF" w:themeFill="background1"/>
            <w:vAlign w:val="center"/>
          </w:tcPr>
          <w:p w:rsidR="00534018" w:rsidRPr="007576CC" w:rsidRDefault="00534018" w:rsidP="00D44A48">
            <w:pPr>
              <w:jc w:val="center"/>
              <w:rPr>
                <w:b/>
              </w:rPr>
            </w:pPr>
            <w:r>
              <w:rPr>
                <w:b/>
              </w:rPr>
              <w:t>2</w:t>
            </w:r>
          </w:p>
        </w:tc>
        <w:tc>
          <w:tcPr>
            <w:tcW w:w="7800" w:type="dxa"/>
            <w:shd w:val="clear" w:color="auto" w:fill="FFFFFF" w:themeFill="background1"/>
            <w:vAlign w:val="center"/>
          </w:tcPr>
          <w:p w:rsidR="00534018" w:rsidRPr="004C214B" w:rsidRDefault="00534018" w:rsidP="00D44A48">
            <w:r>
              <w:t xml:space="preserve">What </w:t>
            </w:r>
            <w:r w:rsidR="009A57A3">
              <w:t>is meant by</w:t>
            </w:r>
            <w:r>
              <w:t xml:space="preserve"> health promotion and disease prevention?</w:t>
            </w:r>
          </w:p>
        </w:tc>
        <w:tc>
          <w:tcPr>
            <w:tcW w:w="912" w:type="dxa"/>
            <w:shd w:val="clear" w:color="auto" w:fill="auto"/>
            <w:vAlign w:val="center"/>
          </w:tcPr>
          <w:p w:rsidR="00534018" w:rsidRDefault="00FB2577" w:rsidP="006C494B">
            <w:pPr>
              <w:jc w:val="center"/>
            </w:pPr>
            <w:r>
              <w:t>1</w:t>
            </w:r>
            <w:r w:rsidR="006C494B">
              <w:t>5</w:t>
            </w:r>
          </w:p>
        </w:tc>
      </w:tr>
      <w:tr w:rsidR="00534018" w:rsidTr="00D44A48">
        <w:trPr>
          <w:trHeight w:val="397"/>
        </w:trPr>
        <w:tc>
          <w:tcPr>
            <w:tcW w:w="530" w:type="dxa"/>
            <w:shd w:val="clear" w:color="auto" w:fill="FFFFFF" w:themeFill="background1"/>
            <w:vAlign w:val="center"/>
          </w:tcPr>
          <w:p w:rsidR="00534018" w:rsidRDefault="00A72E88" w:rsidP="00D44A48">
            <w:pPr>
              <w:jc w:val="center"/>
              <w:rPr>
                <w:b/>
              </w:rPr>
            </w:pPr>
            <w:r>
              <w:rPr>
                <w:b/>
              </w:rPr>
              <w:t>3</w:t>
            </w:r>
          </w:p>
        </w:tc>
        <w:tc>
          <w:tcPr>
            <w:tcW w:w="7800" w:type="dxa"/>
            <w:shd w:val="clear" w:color="auto" w:fill="FFFFFF" w:themeFill="background1"/>
            <w:vAlign w:val="center"/>
          </w:tcPr>
          <w:p w:rsidR="00534018" w:rsidRDefault="00534018" w:rsidP="00D44A48">
            <w:r>
              <w:t xml:space="preserve">The WA </w:t>
            </w:r>
            <w:r w:rsidRPr="00745E97">
              <w:rPr>
                <w:i/>
              </w:rPr>
              <w:t>Public Health Act 2016</w:t>
            </w:r>
          </w:p>
        </w:tc>
        <w:tc>
          <w:tcPr>
            <w:tcW w:w="912" w:type="dxa"/>
            <w:shd w:val="clear" w:color="auto" w:fill="auto"/>
            <w:vAlign w:val="center"/>
          </w:tcPr>
          <w:p w:rsidR="00534018" w:rsidRDefault="00224561" w:rsidP="00D44A48">
            <w:pPr>
              <w:jc w:val="center"/>
            </w:pPr>
            <w:r>
              <w:t>17</w:t>
            </w:r>
          </w:p>
        </w:tc>
      </w:tr>
      <w:tr w:rsidR="00A72E88" w:rsidTr="00D44A48">
        <w:trPr>
          <w:trHeight w:val="397"/>
        </w:trPr>
        <w:tc>
          <w:tcPr>
            <w:tcW w:w="530" w:type="dxa"/>
            <w:shd w:val="clear" w:color="auto" w:fill="FFFFFF" w:themeFill="background1"/>
            <w:vAlign w:val="center"/>
          </w:tcPr>
          <w:p w:rsidR="00A72E88" w:rsidRDefault="00A72E88" w:rsidP="00D44A48">
            <w:pPr>
              <w:jc w:val="center"/>
              <w:rPr>
                <w:b/>
              </w:rPr>
            </w:pPr>
            <w:r>
              <w:rPr>
                <w:b/>
              </w:rPr>
              <w:t>4</w:t>
            </w:r>
          </w:p>
        </w:tc>
        <w:tc>
          <w:tcPr>
            <w:tcW w:w="7800" w:type="dxa"/>
            <w:shd w:val="clear" w:color="auto" w:fill="FFFFFF" w:themeFill="background1"/>
            <w:vAlign w:val="center"/>
          </w:tcPr>
          <w:p w:rsidR="00A72E88" w:rsidRDefault="00A72E88" w:rsidP="00D44A48">
            <w:r>
              <w:t>Cancer—a case study in prevention</w:t>
            </w:r>
          </w:p>
        </w:tc>
        <w:tc>
          <w:tcPr>
            <w:tcW w:w="912" w:type="dxa"/>
            <w:shd w:val="clear" w:color="auto" w:fill="auto"/>
            <w:vAlign w:val="center"/>
          </w:tcPr>
          <w:p w:rsidR="00A72E88" w:rsidRDefault="004436BA" w:rsidP="00D44A48">
            <w:pPr>
              <w:jc w:val="center"/>
            </w:pPr>
            <w:r>
              <w:t>25</w:t>
            </w:r>
          </w:p>
        </w:tc>
      </w:tr>
      <w:tr w:rsidR="00534018" w:rsidTr="00D44A48">
        <w:trPr>
          <w:trHeight w:val="397"/>
        </w:trPr>
        <w:tc>
          <w:tcPr>
            <w:tcW w:w="530" w:type="dxa"/>
            <w:shd w:val="clear" w:color="auto" w:fill="FFFFFF" w:themeFill="background1"/>
            <w:vAlign w:val="center"/>
          </w:tcPr>
          <w:p w:rsidR="00534018" w:rsidRPr="007576CC" w:rsidRDefault="00534018" w:rsidP="00D44A48">
            <w:pPr>
              <w:jc w:val="center"/>
              <w:rPr>
                <w:b/>
              </w:rPr>
            </w:pPr>
            <w:r>
              <w:rPr>
                <w:b/>
              </w:rPr>
              <w:t>5</w:t>
            </w:r>
          </w:p>
        </w:tc>
        <w:tc>
          <w:tcPr>
            <w:tcW w:w="7800" w:type="dxa"/>
            <w:shd w:val="clear" w:color="auto" w:fill="FFFFFF" w:themeFill="background1"/>
            <w:vAlign w:val="center"/>
          </w:tcPr>
          <w:p w:rsidR="00534018" w:rsidRPr="004C214B" w:rsidRDefault="00534018" w:rsidP="00D44A48">
            <w:r>
              <w:t>The need for coordinated action</w:t>
            </w:r>
          </w:p>
        </w:tc>
        <w:tc>
          <w:tcPr>
            <w:tcW w:w="912" w:type="dxa"/>
            <w:shd w:val="clear" w:color="auto" w:fill="auto"/>
            <w:vAlign w:val="center"/>
          </w:tcPr>
          <w:p w:rsidR="00534018" w:rsidRDefault="004436BA" w:rsidP="00D44A48">
            <w:pPr>
              <w:jc w:val="center"/>
            </w:pPr>
            <w:r>
              <w:t>28</w:t>
            </w:r>
          </w:p>
        </w:tc>
      </w:tr>
      <w:tr w:rsidR="00534018" w:rsidTr="00D44A48">
        <w:trPr>
          <w:trHeight w:val="397"/>
        </w:trPr>
        <w:tc>
          <w:tcPr>
            <w:tcW w:w="530" w:type="dxa"/>
            <w:shd w:val="clear" w:color="auto" w:fill="FFFFFF" w:themeFill="background1"/>
            <w:vAlign w:val="center"/>
          </w:tcPr>
          <w:p w:rsidR="00534018" w:rsidRPr="007576CC" w:rsidRDefault="00534018" w:rsidP="00D44A48">
            <w:pPr>
              <w:jc w:val="center"/>
              <w:rPr>
                <w:b/>
              </w:rPr>
            </w:pPr>
            <w:r>
              <w:rPr>
                <w:b/>
              </w:rPr>
              <w:t>6</w:t>
            </w:r>
          </w:p>
        </w:tc>
        <w:tc>
          <w:tcPr>
            <w:tcW w:w="7800" w:type="dxa"/>
            <w:shd w:val="clear" w:color="auto" w:fill="FFFFFF" w:themeFill="background1"/>
            <w:vAlign w:val="center"/>
          </w:tcPr>
          <w:p w:rsidR="00534018" w:rsidRPr="004C214B" w:rsidRDefault="00534018" w:rsidP="00D44A48">
            <w:r>
              <w:t xml:space="preserve">A </w:t>
            </w:r>
            <w:r w:rsidR="00DA6116">
              <w:t>life-course</w:t>
            </w:r>
            <w:r>
              <w:t xml:space="preserve"> approach to preventing chronic disease and injury</w:t>
            </w:r>
          </w:p>
        </w:tc>
        <w:tc>
          <w:tcPr>
            <w:tcW w:w="912" w:type="dxa"/>
            <w:shd w:val="clear" w:color="auto" w:fill="auto"/>
            <w:vAlign w:val="center"/>
          </w:tcPr>
          <w:p w:rsidR="00534018" w:rsidRDefault="001E06A5" w:rsidP="00D44A48">
            <w:pPr>
              <w:jc w:val="center"/>
            </w:pPr>
            <w:r>
              <w:t>29</w:t>
            </w:r>
          </w:p>
        </w:tc>
      </w:tr>
      <w:tr w:rsidR="00534018" w:rsidTr="00D44A48">
        <w:trPr>
          <w:trHeight w:val="397"/>
        </w:trPr>
        <w:tc>
          <w:tcPr>
            <w:tcW w:w="530" w:type="dxa"/>
            <w:shd w:val="clear" w:color="auto" w:fill="FFFFFF" w:themeFill="background1"/>
            <w:vAlign w:val="center"/>
          </w:tcPr>
          <w:p w:rsidR="00534018" w:rsidRPr="007576CC" w:rsidRDefault="00534018" w:rsidP="00D44A48">
            <w:pPr>
              <w:jc w:val="center"/>
              <w:rPr>
                <w:b/>
              </w:rPr>
            </w:pPr>
            <w:r>
              <w:rPr>
                <w:b/>
              </w:rPr>
              <w:t>7</w:t>
            </w:r>
          </w:p>
        </w:tc>
        <w:tc>
          <w:tcPr>
            <w:tcW w:w="7800" w:type="dxa"/>
            <w:shd w:val="clear" w:color="auto" w:fill="FFFFFF" w:themeFill="background1"/>
            <w:vAlign w:val="center"/>
          </w:tcPr>
          <w:p w:rsidR="00534018" w:rsidRPr="004C214B" w:rsidRDefault="00534018" w:rsidP="00D44A48">
            <w:r>
              <w:t>What are health inequities?</w:t>
            </w:r>
          </w:p>
        </w:tc>
        <w:tc>
          <w:tcPr>
            <w:tcW w:w="912" w:type="dxa"/>
            <w:shd w:val="clear" w:color="auto" w:fill="auto"/>
            <w:vAlign w:val="center"/>
          </w:tcPr>
          <w:p w:rsidR="00534018" w:rsidRDefault="00226870" w:rsidP="00D44A48">
            <w:pPr>
              <w:jc w:val="center"/>
            </w:pPr>
            <w:r>
              <w:t>31</w:t>
            </w:r>
          </w:p>
        </w:tc>
      </w:tr>
      <w:tr w:rsidR="00534018" w:rsidTr="00D44A48">
        <w:trPr>
          <w:trHeight w:val="397"/>
        </w:trPr>
        <w:tc>
          <w:tcPr>
            <w:tcW w:w="530" w:type="dxa"/>
            <w:shd w:val="clear" w:color="auto" w:fill="FFFFFF" w:themeFill="background1"/>
            <w:vAlign w:val="center"/>
          </w:tcPr>
          <w:p w:rsidR="00534018" w:rsidRDefault="00534018" w:rsidP="00D44A48">
            <w:pPr>
              <w:jc w:val="center"/>
              <w:rPr>
                <w:b/>
              </w:rPr>
            </w:pPr>
            <w:r>
              <w:rPr>
                <w:b/>
              </w:rPr>
              <w:t>8</w:t>
            </w:r>
          </w:p>
        </w:tc>
        <w:tc>
          <w:tcPr>
            <w:tcW w:w="7800" w:type="dxa"/>
            <w:shd w:val="clear" w:color="auto" w:fill="FFFFFF" w:themeFill="background1"/>
            <w:vAlign w:val="center"/>
          </w:tcPr>
          <w:p w:rsidR="00534018" w:rsidRPr="00152468" w:rsidRDefault="00534018" w:rsidP="0000106F">
            <w:pPr>
              <w:rPr>
                <w:i/>
              </w:rPr>
            </w:pPr>
            <w:r w:rsidRPr="00152468">
              <w:rPr>
                <w:i/>
              </w:rPr>
              <w:t xml:space="preserve">Australian </w:t>
            </w:r>
            <w:r w:rsidR="0000106F">
              <w:rPr>
                <w:i/>
              </w:rPr>
              <w:t>Di</w:t>
            </w:r>
            <w:r w:rsidRPr="00152468">
              <w:rPr>
                <w:i/>
              </w:rPr>
              <w:t xml:space="preserve">etary </w:t>
            </w:r>
            <w:r w:rsidR="0000106F">
              <w:rPr>
                <w:i/>
              </w:rPr>
              <w:t>G</w:t>
            </w:r>
            <w:r w:rsidRPr="00152468">
              <w:rPr>
                <w:i/>
              </w:rPr>
              <w:t>uidelines</w:t>
            </w:r>
          </w:p>
        </w:tc>
        <w:tc>
          <w:tcPr>
            <w:tcW w:w="912" w:type="dxa"/>
            <w:shd w:val="clear" w:color="auto" w:fill="auto"/>
            <w:vAlign w:val="center"/>
          </w:tcPr>
          <w:p w:rsidR="00534018" w:rsidRDefault="0006461E" w:rsidP="00084799">
            <w:pPr>
              <w:jc w:val="center"/>
            </w:pPr>
            <w:r>
              <w:t>3</w:t>
            </w:r>
            <w:r w:rsidR="00084799">
              <w:t>9</w:t>
            </w:r>
          </w:p>
        </w:tc>
      </w:tr>
      <w:tr w:rsidR="00534018" w:rsidTr="00D44A48">
        <w:trPr>
          <w:trHeight w:val="397"/>
        </w:trPr>
        <w:tc>
          <w:tcPr>
            <w:tcW w:w="530" w:type="dxa"/>
            <w:shd w:val="clear" w:color="auto" w:fill="FFFFFF" w:themeFill="background1"/>
            <w:vAlign w:val="center"/>
          </w:tcPr>
          <w:p w:rsidR="00534018" w:rsidRPr="007576CC" w:rsidRDefault="00534018" w:rsidP="00D44A48">
            <w:pPr>
              <w:jc w:val="center"/>
              <w:rPr>
                <w:b/>
              </w:rPr>
            </w:pPr>
            <w:r>
              <w:rPr>
                <w:b/>
              </w:rPr>
              <w:t>9</w:t>
            </w:r>
          </w:p>
        </w:tc>
        <w:tc>
          <w:tcPr>
            <w:tcW w:w="7800" w:type="dxa"/>
            <w:shd w:val="clear" w:color="auto" w:fill="FFFFFF" w:themeFill="background1"/>
            <w:vAlign w:val="center"/>
          </w:tcPr>
          <w:p w:rsidR="00534018" w:rsidRPr="008F2FA8" w:rsidRDefault="0090699C" w:rsidP="0000106F">
            <w:pPr>
              <w:rPr>
                <w:i/>
              </w:rPr>
            </w:pPr>
            <w:r>
              <w:rPr>
                <w:i/>
              </w:rPr>
              <w:t xml:space="preserve">Australia’s </w:t>
            </w:r>
            <w:r w:rsidR="0000106F">
              <w:rPr>
                <w:i/>
              </w:rPr>
              <w:t>P</w:t>
            </w:r>
            <w:r w:rsidR="00534018" w:rsidRPr="008F2FA8">
              <w:rPr>
                <w:i/>
              </w:rPr>
              <w:t xml:space="preserve">hysical </w:t>
            </w:r>
            <w:r w:rsidR="0000106F">
              <w:rPr>
                <w:i/>
              </w:rPr>
              <w:t>A</w:t>
            </w:r>
            <w:r w:rsidR="00534018" w:rsidRPr="008F2FA8">
              <w:rPr>
                <w:i/>
              </w:rPr>
              <w:t xml:space="preserve">ctivity </w:t>
            </w:r>
            <w:r>
              <w:rPr>
                <w:i/>
              </w:rPr>
              <w:t xml:space="preserve">and </w:t>
            </w:r>
            <w:r w:rsidR="0000106F">
              <w:rPr>
                <w:i/>
              </w:rPr>
              <w:t>S</w:t>
            </w:r>
            <w:r>
              <w:rPr>
                <w:i/>
              </w:rPr>
              <w:t xml:space="preserve">edentary </w:t>
            </w:r>
            <w:r w:rsidR="0000106F">
              <w:rPr>
                <w:i/>
              </w:rPr>
              <w:t>B</w:t>
            </w:r>
            <w:r>
              <w:rPr>
                <w:i/>
              </w:rPr>
              <w:t xml:space="preserve">ehavior </w:t>
            </w:r>
            <w:r w:rsidR="0000106F">
              <w:rPr>
                <w:i/>
              </w:rPr>
              <w:t>G</w:t>
            </w:r>
            <w:r w:rsidR="00534018" w:rsidRPr="008F2FA8">
              <w:rPr>
                <w:i/>
              </w:rPr>
              <w:t>uidelines</w:t>
            </w:r>
          </w:p>
        </w:tc>
        <w:tc>
          <w:tcPr>
            <w:tcW w:w="912" w:type="dxa"/>
            <w:shd w:val="clear" w:color="auto" w:fill="auto"/>
            <w:vAlign w:val="center"/>
          </w:tcPr>
          <w:p w:rsidR="00534018" w:rsidRDefault="004F1690" w:rsidP="00084799">
            <w:pPr>
              <w:jc w:val="center"/>
            </w:pPr>
            <w:r>
              <w:t>4</w:t>
            </w:r>
            <w:r w:rsidR="00084799">
              <w:t>5</w:t>
            </w:r>
          </w:p>
        </w:tc>
      </w:tr>
      <w:tr w:rsidR="00534018" w:rsidTr="00D44A48">
        <w:trPr>
          <w:trHeight w:val="397"/>
        </w:trPr>
        <w:tc>
          <w:tcPr>
            <w:tcW w:w="530" w:type="dxa"/>
            <w:shd w:val="clear" w:color="auto" w:fill="FFFFFF" w:themeFill="background1"/>
            <w:vAlign w:val="center"/>
          </w:tcPr>
          <w:p w:rsidR="00534018" w:rsidRDefault="00534018" w:rsidP="00D44A48">
            <w:pPr>
              <w:jc w:val="center"/>
              <w:rPr>
                <w:b/>
              </w:rPr>
            </w:pPr>
            <w:r>
              <w:rPr>
                <w:b/>
              </w:rPr>
              <w:t>10</w:t>
            </w:r>
          </w:p>
        </w:tc>
        <w:tc>
          <w:tcPr>
            <w:tcW w:w="7800" w:type="dxa"/>
            <w:shd w:val="clear" w:color="auto" w:fill="FFFFFF" w:themeFill="background1"/>
            <w:vAlign w:val="center"/>
          </w:tcPr>
          <w:p w:rsidR="00534018" w:rsidRDefault="00534018" w:rsidP="00D44A48">
            <w:r>
              <w:t>How healthy weight is assessed</w:t>
            </w:r>
          </w:p>
        </w:tc>
        <w:tc>
          <w:tcPr>
            <w:tcW w:w="912" w:type="dxa"/>
            <w:shd w:val="clear" w:color="auto" w:fill="auto"/>
            <w:vAlign w:val="center"/>
          </w:tcPr>
          <w:p w:rsidR="00534018" w:rsidRDefault="00084799" w:rsidP="00D44A48">
            <w:pPr>
              <w:jc w:val="center"/>
            </w:pPr>
            <w:r>
              <w:t>50</w:t>
            </w:r>
          </w:p>
        </w:tc>
      </w:tr>
      <w:tr w:rsidR="00534018" w:rsidTr="00D44A48">
        <w:trPr>
          <w:trHeight w:val="397"/>
        </w:trPr>
        <w:tc>
          <w:tcPr>
            <w:tcW w:w="530" w:type="dxa"/>
            <w:shd w:val="clear" w:color="auto" w:fill="FFFFFF" w:themeFill="background1"/>
            <w:vAlign w:val="center"/>
          </w:tcPr>
          <w:p w:rsidR="00534018" w:rsidRDefault="00534018" w:rsidP="00D44A48">
            <w:pPr>
              <w:jc w:val="center"/>
              <w:rPr>
                <w:b/>
              </w:rPr>
            </w:pPr>
            <w:r>
              <w:rPr>
                <w:b/>
              </w:rPr>
              <w:t>11</w:t>
            </w:r>
          </w:p>
        </w:tc>
        <w:tc>
          <w:tcPr>
            <w:tcW w:w="7800" w:type="dxa"/>
            <w:shd w:val="clear" w:color="auto" w:fill="FFFFFF" w:themeFill="background1"/>
            <w:vAlign w:val="center"/>
          </w:tcPr>
          <w:p w:rsidR="00534018" w:rsidRDefault="00534018" w:rsidP="00505C58">
            <w:r w:rsidRPr="001E7B4E">
              <w:rPr>
                <w:i/>
              </w:rPr>
              <w:t xml:space="preserve">Australian </w:t>
            </w:r>
            <w:r w:rsidR="00505C58">
              <w:rPr>
                <w:i/>
              </w:rPr>
              <w:t>G</w:t>
            </w:r>
            <w:r w:rsidRPr="001E7B4E">
              <w:rPr>
                <w:i/>
              </w:rPr>
              <w:t xml:space="preserve">uidelines to </w:t>
            </w:r>
            <w:r w:rsidR="00505C58">
              <w:rPr>
                <w:i/>
              </w:rPr>
              <w:t>Re</w:t>
            </w:r>
            <w:r w:rsidRPr="001E7B4E">
              <w:rPr>
                <w:i/>
              </w:rPr>
              <w:t xml:space="preserve">duce </w:t>
            </w:r>
            <w:r w:rsidR="00505C58">
              <w:rPr>
                <w:i/>
              </w:rPr>
              <w:t>H</w:t>
            </w:r>
            <w:r w:rsidRPr="001E7B4E">
              <w:rPr>
                <w:i/>
              </w:rPr>
              <w:t xml:space="preserve">ealth </w:t>
            </w:r>
            <w:r w:rsidR="00505C58">
              <w:rPr>
                <w:i/>
              </w:rPr>
              <w:t>R</w:t>
            </w:r>
            <w:r w:rsidRPr="001E7B4E">
              <w:rPr>
                <w:i/>
              </w:rPr>
              <w:t xml:space="preserve">isks from </w:t>
            </w:r>
            <w:r w:rsidR="00505C58">
              <w:rPr>
                <w:i/>
              </w:rPr>
              <w:t>D</w:t>
            </w:r>
            <w:r w:rsidRPr="001E7B4E">
              <w:rPr>
                <w:i/>
              </w:rPr>
              <w:t xml:space="preserve">rinking </w:t>
            </w:r>
            <w:r w:rsidR="00505C58">
              <w:rPr>
                <w:i/>
              </w:rPr>
              <w:t>Al</w:t>
            </w:r>
            <w:r w:rsidRPr="001E7B4E">
              <w:rPr>
                <w:i/>
              </w:rPr>
              <w:t>cohol</w:t>
            </w:r>
            <w:r>
              <w:t xml:space="preserve"> </w:t>
            </w:r>
          </w:p>
        </w:tc>
        <w:tc>
          <w:tcPr>
            <w:tcW w:w="912" w:type="dxa"/>
            <w:shd w:val="clear" w:color="auto" w:fill="auto"/>
            <w:vAlign w:val="center"/>
          </w:tcPr>
          <w:p w:rsidR="00534018" w:rsidRDefault="00657DE2" w:rsidP="00255EF3">
            <w:pPr>
              <w:jc w:val="center"/>
            </w:pPr>
            <w:r>
              <w:t>6</w:t>
            </w:r>
            <w:r w:rsidR="00255EF3">
              <w:t>1</w:t>
            </w:r>
          </w:p>
        </w:tc>
      </w:tr>
      <w:tr w:rsidR="00BA1084" w:rsidTr="00550F19">
        <w:trPr>
          <w:trHeight w:val="510"/>
        </w:trPr>
        <w:tc>
          <w:tcPr>
            <w:tcW w:w="8330" w:type="dxa"/>
            <w:gridSpan w:val="2"/>
            <w:shd w:val="clear" w:color="auto" w:fill="808080" w:themeFill="background1" w:themeFillShade="80"/>
            <w:vAlign w:val="center"/>
          </w:tcPr>
          <w:p w:rsidR="00BA1084" w:rsidRPr="000F69DD" w:rsidRDefault="00BA1084" w:rsidP="00D44A48">
            <w:pPr>
              <w:rPr>
                <w:b/>
              </w:rPr>
            </w:pPr>
            <w:r w:rsidRPr="00550F19">
              <w:rPr>
                <w:b/>
                <w:color w:val="FFFFFF" w:themeColor="background1"/>
                <w:sz w:val="28"/>
                <w:szCs w:val="28"/>
              </w:rPr>
              <w:t>Tables</w:t>
            </w:r>
          </w:p>
        </w:tc>
        <w:tc>
          <w:tcPr>
            <w:tcW w:w="912" w:type="dxa"/>
            <w:shd w:val="clear" w:color="auto" w:fill="808080" w:themeFill="background1" w:themeFillShade="80"/>
            <w:vAlign w:val="center"/>
          </w:tcPr>
          <w:p w:rsidR="00BA1084" w:rsidRDefault="00BA1084" w:rsidP="00D44A48">
            <w:pPr>
              <w:jc w:val="center"/>
            </w:pPr>
          </w:p>
        </w:tc>
      </w:tr>
      <w:tr w:rsidR="00C47C56" w:rsidTr="006A0219">
        <w:trPr>
          <w:trHeight w:val="397"/>
        </w:trPr>
        <w:tc>
          <w:tcPr>
            <w:tcW w:w="530" w:type="dxa"/>
            <w:shd w:val="clear" w:color="auto" w:fill="FFFFFF" w:themeFill="background1"/>
            <w:vAlign w:val="center"/>
          </w:tcPr>
          <w:p w:rsidR="00C47C56" w:rsidRDefault="00852CF9" w:rsidP="00D44A48">
            <w:pPr>
              <w:jc w:val="center"/>
              <w:rPr>
                <w:b/>
              </w:rPr>
            </w:pPr>
            <w:r>
              <w:rPr>
                <w:b/>
              </w:rPr>
              <w:t>1</w:t>
            </w:r>
          </w:p>
        </w:tc>
        <w:tc>
          <w:tcPr>
            <w:tcW w:w="7800" w:type="dxa"/>
            <w:shd w:val="clear" w:color="auto" w:fill="FFFFFF" w:themeFill="background1"/>
            <w:vAlign w:val="center"/>
          </w:tcPr>
          <w:p w:rsidR="00CA5096" w:rsidRPr="00CA5096" w:rsidRDefault="00C47C56" w:rsidP="006A0219">
            <w:pPr>
              <w:tabs>
                <w:tab w:val="left" w:pos="2080"/>
              </w:tabs>
              <w:spacing w:line="270" w:lineRule="exact"/>
              <w:ind w:right="-20"/>
            </w:pPr>
            <w:r w:rsidRPr="00852CF9">
              <w:rPr>
                <w:rFonts w:eastAsia="Arial"/>
                <w:bCs/>
                <w:position w:val="-1"/>
              </w:rPr>
              <w:t>A</w:t>
            </w:r>
            <w:r w:rsidRPr="00852CF9">
              <w:t>ssociations between risk factors and selected chronic diseases and injury</w:t>
            </w:r>
          </w:p>
        </w:tc>
        <w:tc>
          <w:tcPr>
            <w:tcW w:w="912" w:type="dxa"/>
            <w:shd w:val="clear" w:color="auto" w:fill="auto"/>
            <w:vAlign w:val="center"/>
          </w:tcPr>
          <w:p w:rsidR="00C47C56" w:rsidRDefault="00EA3978" w:rsidP="006A0219">
            <w:pPr>
              <w:jc w:val="center"/>
            </w:pPr>
            <w:r>
              <w:t>13</w:t>
            </w:r>
          </w:p>
        </w:tc>
      </w:tr>
      <w:tr w:rsidR="00CA5096" w:rsidTr="006A0219">
        <w:trPr>
          <w:trHeight w:val="397"/>
        </w:trPr>
        <w:tc>
          <w:tcPr>
            <w:tcW w:w="530" w:type="dxa"/>
            <w:shd w:val="clear" w:color="auto" w:fill="FFFFFF" w:themeFill="background1"/>
            <w:vAlign w:val="center"/>
          </w:tcPr>
          <w:p w:rsidR="00CA5096" w:rsidRDefault="00CA5096" w:rsidP="00D44A48">
            <w:pPr>
              <w:jc w:val="center"/>
              <w:rPr>
                <w:b/>
              </w:rPr>
            </w:pPr>
            <w:r>
              <w:rPr>
                <w:b/>
              </w:rPr>
              <w:t>2</w:t>
            </w:r>
          </w:p>
        </w:tc>
        <w:tc>
          <w:tcPr>
            <w:tcW w:w="7800" w:type="dxa"/>
            <w:shd w:val="clear" w:color="auto" w:fill="FFFFFF" w:themeFill="background1"/>
            <w:vAlign w:val="center"/>
          </w:tcPr>
          <w:p w:rsidR="00CA5096" w:rsidRPr="00852CF9" w:rsidRDefault="00CA5096" w:rsidP="006A0219">
            <w:pPr>
              <w:tabs>
                <w:tab w:val="left" w:pos="2080"/>
              </w:tabs>
              <w:spacing w:line="270" w:lineRule="exact"/>
              <w:ind w:right="-20"/>
              <w:rPr>
                <w:rFonts w:eastAsia="Arial"/>
                <w:bCs/>
                <w:position w:val="-1"/>
              </w:rPr>
            </w:pPr>
            <w:r>
              <w:rPr>
                <w:rFonts w:eastAsia="Arial"/>
              </w:rPr>
              <w:t>Proportion (%) of burden of disease and illness attributable to selected risk factors, Australia, 2011</w:t>
            </w:r>
          </w:p>
        </w:tc>
        <w:tc>
          <w:tcPr>
            <w:tcW w:w="912" w:type="dxa"/>
            <w:shd w:val="clear" w:color="auto" w:fill="auto"/>
            <w:vAlign w:val="center"/>
          </w:tcPr>
          <w:p w:rsidR="00CA5096" w:rsidRDefault="00EA3978" w:rsidP="006A0219">
            <w:pPr>
              <w:jc w:val="center"/>
            </w:pPr>
            <w:r>
              <w:t>14</w:t>
            </w:r>
          </w:p>
        </w:tc>
      </w:tr>
      <w:tr w:rsidR="001E50B0" w:rsidTr="006A0219">
        <w:trPr>
          <w:trHeight w:val="397"/>
        </w:trPr>
        <w:tc>
          <w:tcPr>
            <w:tcW w:w="530" w:type="dxa"/>
            <w:shd w:val="clear" w:color="auto" w:fill="FFFFFF" w:themeFill="background1"/>
            <w:vAlign w:val="center"/>
          </w:tcPr>
          <w:p w:rsidR="001E50B0" w:rsidRDefault="00CA5096" w:rsidP="00D44A48">
            <w:pPr>
              <w:jc w:val="center"/>
              <w:rPr>
                <w:b/>
              </w:rPr>
            </w:pPr>
            <w:r>
              <w:rPr>
                <w:b/>
              </w:rPr>
              <w:t>3</w:t>
            </w:r>
          </w:p>
        </w:tc>
        <w:tc>
          <w:tcPr>
            <w:tcW w:w="7800" w:type="dxa"/>
            <w:shd w:val="clear" w:color="auto" w:fill="FFFFFF" w:themeFill="background1"/>
            <w:vAlign w:val="center"/>
          </w:tcPr>
          <w:p w:rsidR="001E50B0" w:rsidRPr="009629B2" w:rsidRDefault="001E50B0" w:rsidP="006A0219">
            <w:pPr>
              <w:rPr>
                <w:rFonts w:eastAsia="Arial"/>
                <w:bCs/>
                <w:i/>
                <w:position w:val="-1"/>
              </w:rPr>
            </w:pPr>
            <w:r w:rsidRPr="001E50B0">
              <w:rPr>
                <w:rFonts w:eastAsia="Arial"/>
              </w:rPr>
              <w:t>Potential</w:t>
            </w:r>
            <w:r w:rsidR="00B603A3">
              <w:rPr>
                <w:rFonts w:eastAsia="Arial"/>
              </w:rPr>
              <w:t xml:space="preserve"> years of</w:t>
            </w:r>
            <w:r w:rsidRPr="001E50B0">
              <w:rPr>
                <w:rFonts w:eastAsia="Arial"/>
              </w:rPr>
              <w:t xml:space="preserve"> life lost in WA </w:t>
            </w:r>
            <w:r w:rsidR="00B603A3">
              <w:rPr>
                <w:rFonts w:eastAsia="Arial"/>
              </w:rPr>
              <w:t>per 1,000 persons,</w:t>
            </w:r>
            <w:r w:rsidRPr="001E50B0">
              <w:rPr>
                <w:rFonts w:eastAsia="Arial"/>
              </w:rPr>
              <w:t xml:space="preserve"> 2005–2013</w:t>
            </w:r>
          </w:p>
        </w:tc>
        <w:tc>
          <w:tcPr>
            <w:tcW w:w="912" w:type="dxa"/>
            <w:shd w:val="clear" w:color="auto" w:fill="auto"/>
            <w:vAlign w:val="center"/>
          </w:tcPr>
          <w:p w:rsidR="001E50B0" w:rsidRDefault="00121D92" w:rsidP="00255EF3">
            <w:pPr>
              <w:jc w:val="center"/>
            </w:pPr>
            <w:r>
              <w:t>7</w:t>
            </w:r>
            <w:r w:rsidR="00255EF3">
              <w:t>1</w:t>
            </w:r>
          </w:p>
        </w:tc>
      </w:tr>
      <w:tr w:rsidR="00534018" w:rsidTr="006A0219">
        <w:trPr>
          <w:trHeight w:val="397"/>
        </w:trPr>
        <w:tc>
          <w:tcPr>
            <w:tcW w:w="530" w:type="dxa"/>
            <w:shd w:val="clear" w:color="auto" w:fill="FFFFFF" w:themeFill="background1"/>
            <w:vAlign w:val="center"/>
          </w:tcPr>
          <w:p w:rsidR="00534018" w:rsidRPr="007576CC" w:rsidRDefault="00CA5096" w:rsidP="00D44A48">
            <w:pPr>
              <w:jc w:val="center"/>
              <w:rPr>
                <w:b/>
              </w:rPr>
            </w:pPr>
            <w:r>
              <w:rPr>
                <w:b/>
              </w:rPr>
              <w:t>4</w:t>
            </w:r>
          </w:p>
        </w:tc>
        <w:tc>
          <w:tcPr>
            <w:tcW w:w="7800" w:type="dxa"/>
            <w:shd w:val="clear" w:color="auto" w:fill="FFFFFF" w:themeFill="background1"/>
            <w:vAlign w:val="center"/>
          </w:tcPr>
          <w:p w:rsidR="00534018" w:rsidRPr="009629B2" w:rsidRDefault="00534018" w:rsidP="006A0219">
            <w:pPr>
              <w:spacing w:line="271" w:lineRule="exact"/>
              <w:ind w:right="-20"/>
            </w:pPr>
            <w:r w:rsidRPr="009629B2">
              <w:rPr>
                <w:rFonts w:eastAsia="Arial"/>
                <w:bCs/>
                <w:i/>
                <w:position w:val="-1"/>
              </w:rPr>
              <w:t>National Healthcare</w:t>
            </w:r>
            <w:r w:rsidRPr="009629B2">
              <w:rPr>
                <w:rFonts w:eastAsia="Arial"/>
                <w:bCs/>
                <w:i/>
                <w:spacing w:val="-9"/>
                <w:position w:val="-1"/>
              </w:rPr>
              <w:t xml:space="preserve"> </w:t>
            </w:r>
            <w:r w:rsidRPr="009629B2">
              <w:rPr>
                <w:rFonts w:eastAsia="Arial"/>
                <w:bCs/>
                <w:i/>
                <w:position w:val="-1"/>
              </w:rPr>
              <w:t>Agreement 2016</w:t>
            </w:r>
            <w:r w:rsidRPr="009629B2">
              <w:rPr>
                <w:rFonts w:eastAsia="Arial"/>
                <w:i/>
              </w:rPr>
              <w:t xml:space="preserve"> </w:t>
            </w:r>
            <w:r w:rsidRPr="009629B2">
              <w:rPr>
                <w:rFonts w:eastAsia="Arial"/>
              </w:rPr>
              <w:t>performance benchmarks</w:t>
            </w:r>
          </w:p>
        </w:tc>
        <w:tc>
          <w:tcPr>
            <w:tcW w:w="912" w:type="dxa"/>
            <w:shd w:val="clear" w:color="auto" w:fill="auto"/>
            <w:vAlign w:val="center"/>
          </w:tcPr>
          <w:p w:rsidR="00534018" w:rsidRDefault="00121D92" w:rsidP="00434C25">
            <w:pPr>
              <w:jc w:val="center"/>
            </w:pPr>
            <w:r>
              <w:t>7</w:t>
            </w:r>
            <w:r w:rsidR="00434C25">
              <w:t>1</w:t>
            </w:r>
          </w:p>
        </w:tc>
      </w:tr>
      <w:tr w:rsidR="00534018" w:rsidTr="006A0219">
        <w:trPr>
          <w:trHeight w:val="397"/>
        </w:trPr>
        <w:tc>
          <w:tcPr>
            <w:tcW w:w="530" w:type="dxa"/>
            <w:shd w:val="clear" w:color="auto" w:fill="FFFFFF" w:themeFill="background1"/>
            <w:vAlign w:val="center"/>
          </w:tcPr>
          <w:p w:rsidR="00534018" w:rsidRPr="007576CC" w:rsidRDefault="00CA5096" w:rsidP="00D44A48">
            <w:pPr>
              <w:jc w:val="center"/>
              <w:rPr>
                <w:b/>
              </w:rPr>
            </w:pPr>
            <w:r>
              <w:rPr>
                <w:b/>
              </w:rPr>
              <w:t>5</w:t>
            </w:r>
          </w:p>
        </w:tc>
        <w:tc>
          <w:tcPr>
            <w:tcW w:w="7800" w:type="dxa"/>
            <w:shd w:val="clear" w:color="auto" w:fill="FFFFFF" w:themeFill="background1"/>
            <w:vAlign w:val="center"/>
          </w:tcPr>
          <w:p w:rsidR="00534018" w:rsidRPr="009629B2" w:rsidRDefault="00121D92" w:rsidP="006A0219">
            <w:pPr>
              <w:ind w:right="1005"/>
            </w:pPr>
            <w:r>
              <w:rPr>
                <w:rFonts w:eastAsia="Arial"/>
              </w:rPr>
              <w:t xml:space="preserve">Selected </w:t>
            </w:r>
            <w:r w:rsidR="00534018" w:rsidRPr="009629B2">
              <w:rPr>
                <w:rFonts w:eastAsia="Arial"/>
              </w:rPr>
              <w:t xml:space="preserve">WHO </w:t>
            </w:r>
            <w:r w:rsidR="00534018" w:rsidRPr="009629B2">
              <w:rPr>
                <w:rFonts w:eastAsia="Arial"/>
                <w:i/>
              </w:rPr>
              <w:t>Global Action Plan</w:t>
            </w:r>
            <w:r w:rsidR="00534018" w:rsidRPr="009629B2">
              <w:rPr>
                <w:rFonts w:eastAsia="Arial"/>
              </w:rPr>
              <w:t xml:space="preserve"> voluntary targets</w:t>
            </w:r>
          </w:p>
        </w:tc>
        <w:tc>
          <w:tcPr>
            <w:tcW w:w="912" w:type="dxa"/>
            <w:shd w:val="clear" w:color="auto" w:fill="auto"/>
            <w:vAlign w:val="center"/>
          </w:tcPr>
          <w:p w:rsidR="00534018" w:rsidRDefault="00C5090F" w:rsidP="00434C25">
            <w:pPr>
              <w:jc w:val="center"/>
            </w:pPr>
            <w:r>
              <w:t>7</w:t>
            </w:r>
            <w:r w:rsidR="00434C25">
              <w:t>2</w:t>
            </w:r>
          </w:p>
        </w:tc>
      </w:tr>
      <w:tr w:rsidR="00BA1084" w:rsidTr="00550F19">
        <w:trPr>
          <w:trHeight w:val="510"/>
        </w:trPr>
        <w:tc>
          <w:tcPr>
            <w:tcW w:w="8330" w:type="dxa"/>
            <w:gridSpan w:val="2"/>
            <w:shd w:val="clear" w:color="auto" w:fill="808080" w:themeFill="background1" w:themeFillShade="80"/>
            <w:vAlign w:val="center"/>
          </w:tcPr>
          <w:p w:rsidR="00BA1084" w:rsidRPr="004E25DF" w:rsidRDefault="00BA1084" w:rsidP="00D44A48">
            <w:pPr>
              <w:rPr>
                <w:b/>
                <w:sz w:val="28"/>
                <w:szCs w:val="28"/>
              </w:rPr>
            </w:pPr>
            <w:r w:rsidRPr="00550F19">
              <w:rPr>
                <w:b/>
                <w:color w:val="FFFFFF" w:themeColor="background1"/>
                <w:sz w:val="28"/>
                <w:szCs w:val="28"/>
              </w:rPr>
              <w:t>Figure</w:t>
            </w:r>
          </w:p>
        </w:tc>
        <w:tc>
          <w:tcPr>
            <w:tcW w:w="912" w:type="dxa"/>
            <w:shd w:val="clear" w:color="auto" w:fill="808080" w:themeFill="background1" w:themeFillShade="80"/>
            <w:vAlign w:val="center"/>
          </w:tcPr>
          <w:p w:rsidR="00BA1084" w:rsidRDefault="00BA1084" w:rsidP="00D44A48">
            <w:pPr>
              <w:jc w:val="center"/>
            </w:pPr>
          </w:p>
        </w:tc>
      </w:tr>
      <w:tr w:rsidR="000F69DD" w:rsidTr="00D44A48">
        <w:trPr>
          <w:trHeight w:val="397"/>
        </w:trPr>
        <w:tc>
          <w:tcPr>
            <w:tcW w:w="530" w:type="dxa"/>
            <w:shd w:val="clear" w:color="auto" w:fill="FFFFFF" w:themeFill="background1"/>
            <w:vAlign w:val="center"/>
          </w:tcPr>
          <w:p w:rsidR="000F69DD" w:rsidRPr="007576CC" w:rsidRDefault="000F69DD" w:rsidP="00D44A48">
            <w:pPr>
              <w:jc w:val="center"/>
              <w:rPr>
                <w:b/>
              </w:rPr>
            </w:pPr>
            <w:r w:rsidRPr="007576CC">
              <w:rPr>
                <w:b/>
              </w:rPr>
              <w:t>1</w:t>
            </w:r>
          </w:p>
        </w:tc>
        <w:tc>
          <w:tcPr>
            <w:tcW w:w="7800" w:type="dxa"/>
            <w:shd w:val="clear" w:color="auto" w:fill="FFFFFF" w:themeFill="background1"/>
            <w:vAlign w:val="center"/>
          </w:tcPr>
          <w:p w:rsidR="000F69DD" w:rsidRPr="009B0A9F" w:rsidRDefault="000F69DD" w:rsidP="00D44A48">
            <w:r w:rsidRPr="009B0A9F">
              <w:t>A conceptual framework for determinants of health</w:t>
            </w:r>
          </w:p>
        </w:tc>
        <w:tc>
          <w:tcPr>
            <w:tcW w:w="912" w:type="dxa"/>
            <w:shd w:val="clear" w:color="auto" w:fill="auto"/>
            <w:vAlign w:val="center"/>
          </w:tcPr>
          <w:p w:rsidR="000F69DD" w:rsidRDefault="00226870" w:rsidP="00D44A48">
            <w:pPr>
              <w:jc w:val="center"/>
            </w:pPr>
            <w:r>
              <w:t>30</w:t>
            </w:r>
          </w:p>
        </w:tc>
      </w:tr>
    </w:tbl>
    <w:p w:rsidR="00BA1084" w:rsidRDefault="00BA1084">
      <w:pPr>
        <w:widowControl/>
        <w:spacing w:after="200" w:line="276" w:lineRule="auto"/>
        <w:rPr>
          <w:b/>
        </w:rPr>
      </w:pPr>
    </w:p>
    <w:p w:rsidR="00A36ECB" w:rsidRDefault="00A36ECB">
      <w:pPr>
        <w:widowControl/>
        <w:spacing w:after="200" w:line="276" w:lineRule="auto"/>
        <w:rPr>
          <w:rFonts w:eastAsiaTheme="majorEastAsia" w:cstheme="majorBidi"/>
          <w:color w:val="31849B" w:themeColor="accent5" w:themeShade="BF"/>
          <w:sz w:val="52"/>
          <w:szCs w:val="52"/>
        </w:rPr>
      </w:pPr>
      <w:r>
        <w:br w:type="page"/>
      </w:r>
    </w:p>
    <w:p w:rsidR="00DB0B1E" w:rsidRDefault="00DB0B1E" w:rsidP="00DB0B1E">
      <w:pPr>
        <w:pStyle w:val="Heading1"/>
      </w:pPr>
      <w:bookmarkStart w:id="2" w:name="_Toc462049302"/>
      <w:r>
        <w:lastRenderedPageBreak/>
        <w:t>Foreword</w:t>
      </w:r>
      <w:bookmarkEnd w:id="2"/>
    </w:p>
    <w:p w:rsidR="00DB0B1E" w:rsidRDefault="00DB0B1E" w:rsidP="000D76A4"/>
    <w:p w:rsidR="000D76A4" w:rsidRDefault="006269D5" w:rsidP="000D76A4">
      <w:pPr>
        <w:rPr>
          <w:color w:val="FF0000"/>
        </w:rPr>
      </w:pPr>
      <w:r>
        <w:rPr>
          <w:color w:val="FF0000"/>
        </w:rPr>
        <w:t xml:space="preserve">A Foreword will be included in the final version of the </w:t>
      </w:r>
      <w:r w:rsidR="008B361F">
        <w:rPr>
          <w:color w:val="FF0000"/>
        </w:rPr>
        <w:t>WA HPSF.</w:t>
      </w:r>
    </w:p>
    <w:p w:rsidR="000D76A4" w:rsidRDefault="000D76A4">
      <w:pPr>
        <w:widowControl/>
        <w:spacing w:after="200" w:line="276" w:lineRule="auto"/>
        <w:rPr>
          <w:rFonts w:eastAsiaTheme="majorEastAsia" w:cstheme="majorBidi"/>
          <w:color w:val="31849B" w:themeColor="accent5" w:themeShade="BF"/>
          <w:sz w:val="52"/>
          <w:szCs w:val="52"/>
        </w:rPr>
      </w:pPr>
      <w:r>
        <w:br w:type="page"/>
      </w:r>
    </w:p>
    <w:p w:rsidR="00BA1084" w:rsidRPr="00080024" w:rsidRDefault="00BA1084" w:rsidP="00BA1084">
      <w:pPr>
        <w:pStyle w:val="Heading1"/>
      </w:pPr>
      <w:bookmarkStart w:id="3" w:name="_Toc462049303"/>
      <w:r w:rsidRPr="00080024">
        <w:lastRenderedPageBreak/>
        <w:t xml:space="preserve">Executive </w:t>
      </w:r>
      <w:r>
        <w:t>s</w:t>
      </w:r>
      <w:r w:rsidRPr="00080024">
        <w:t>ummary</w:t>
      </w:r>
      <w:bookmarkEnd w:id="3"/>
    </w:p>
    <w:p w:rsidR="009B7C94" w:rsidRDefault="009B7C94" w:rsidP="009B7C94"/>
    <w:p w:rsidR="009B7C94" w:rsidRDefault="009B7C94" w:rsidP="009B7C94">
      <w:r w:rsidRPr="00C2221F">
        <w:t xml:space="preserve">The </w:t>
      </w:r>
      <w:r w:rsidRPr="00C2221F">
        <w:rPr>
          <w:i/>
        </w:rPr>
        <w:t>W</w:t>
      </w:r>
      <w:r>
        <w:rPr>
          <w:i/>
        </w:rPr>
        <w:t xml:space="preserve">estern Australian </w:t>
      </w:r>
      <w:r w:rsidRPr="00C2221F">
        <w:rPr>
          <w:i/>
        </w:rPr>
        <w:t xml:space="preserve">Health Promotion Strategic Framework </w:t>
      </w:r>
      <w:r>
        <w:rPr>
          <w:i/>
        </w:rPr>
        <w:t>2017–2021</w:t>
      </w:r>
      <w:r w:rsidRPr="00C2221F">
        <w:t xml:space="preserve"> (</w:t>
      </w:r>
      <w:r>
        <w:t xml:space="preserve">WA HPSF) </w:t>
      </w:r>
      <w:r w:rsidRPr="009344F3">
        <w:t xml:space="preserve">sets </w:t>
      </w:r>
      <w:r>
        <w:t>out a strategic plan</w:t>
      </w:r>
      <w:r w:rsidRPr="00C2221F">
        <w:t xml:space="preserve"> for </w:t>
      </w:r>
      <w:r>
        <w:t xml:space="preserve">reducing the prevalence of </w:t>
      </w:r>
      <w:r w:rsidRPr="00C2221F">
        <w:t xml:space="preserve">chronic disease and injury over the next five years. </w:t>
      </w:r>
    </w:p>
    <w:p w:rsidR="009B7C94" w:rsidRDefault="009B7C94" w:rsidP="009B7C94"/>
    <w:p w:rsidR="009B7C94" w:rsidRPr="008159A5" w:rsidRDefault="009B7C94" w:rsidP="009B7C94">
      <w:pPr>
        <w:rPr>
          <w:b/>
          <w:color w:val="808080" w:themeColor="background1" w:themeShade="80"/>
        </w:rPr>
      </w:pPr>
      <w:r w:rsidRPr="008159A5">
        <w:rPr>
          <w:b/>
          <w:color w:val="808080" w:themeColor="background1" w:themeShade="80"/>
        </w:rPr>
        <w:t>Understanding chronic disease and injury</w:t>
      </w:r>
    </w:p>
    <w:p w:rsidR="009B7C94" w:rsidRDefault="009B7C94" w:rsidP="009B7C94">
      <w:pPr>
        <w:rPr>
          <w:b/>
          <w:color w:val="31849B" w:themeColor="accent5" w:themeShade="BF"/>
        </w:rPr>
      </w:pPr>
    </w:p>
    <w:p w:rsidR="009B7C94" w:rsidRDefault="009B7C94" w:rsidP="009B7C94">
      <w:r>
        <w:t>C</w:t>
      </w:r>
      <w:r w:rsidRPr="00F95200">
        <w:t>hronic diseases</w:t>
      </w:r>
      <w:r>
        <w:t xml:space="preserve"> </w:t>
      </w:r>
      <w:r w:rsidR="006D1FC2">
        <w:t xml:space="preserve">(often described as non-communicable diseases) </w:t>
      </w:r>
      <w:r>
        <w:t xml:space="preserve">are broadly defined as health conditions </w:t>
      </w:r>
      <w:r w:rsidR="004C3D5C">
        <w:t>that</w:t>
      </w:r>
      <w:r>
        <w:t xml:space="preserve"> usually have a number of contributing factors, </w:t>
      </w:r>
      <w:r w:rsidRPr="00C2221F">
        <w:t>develop gradually</w:t>
      </w:r>
      <w:r>
        <w:t xml:space="preserve">, </w:t>
      </w:r>
      <w:r w:rsidRPr="00C2221F">
        <w:t xml:space="preserve">and </w:t>
      </w:r>
      <w:r>
        <w:t xml:space="preserve">have long-lasting effects. They include diseases such as cardiovascular disease, type 2 </w:t>
      </w:r>
      <w:r w:rsidRPr="00F95200">
        <w:t>diabetes</w:t>
      </w:r>
      <w:r>
        <w:t>, respiratory disease and some cancers.</w:t>
      </w:r>
      <w:r>
        <w:fldChar w:fldCharType="begin"/>
      </w:r>
      <w:r>
        <w:instrText xml:space="preserve"> ADDIN EN.CITE &lt;EndNote&gt;&lt;Cite&gt;&lt;Author&gt;Australian Institute of Health and Welfare&lt;/Author&gt;&lt;Year&gt;2014&lt;/Year&gt;&lt;RecNum&gt;4&lt;/RecNum&gt;&lt;DisplayText&gt;&lt;style face="superscript"&gt;1&lt;/style&gt;&lt;/DisplayText&gt;&lt;record&gt;&lt;rec-number&gt;4&lt;/rec-number&gt;&lt;foreign-keys&gt;&lt;key app="EN" db-id="zxa00wf2opvf9oeeset50xz7ezpfwre2v20z"&gt;4&lt;/key&gt;&lt;/foreign-keys&gt;&lt;ref-type name="Web Page"&gt;12&lt;/ref-type&gt;&lt;contributors&gt;&lt;authors&gt;&lt;author&gt;Australian Institute of Health and Welfare,&lt;/author&gt;&lt;/authors&gt;&lt;/contributors&gt;&lt;titles&gt;&lt;title&gt;Australia&amp;apos;s health 2014. Australia&amp;apos;s health series no. 12. Cat. no. AUS 178&lt;/title&gt;&lt;/titles&gt;&lt;dates&gt;&lt;year&gt;2014&lt;/year&gt;&lt;/dates&gt;&lt;pub-location&gt;Canberra&lt;/pub-location&gt;&lt;publisher&gt;Australian Institute of Health and Welfare&lt;/publisher&gt;&lt;urls&gt;&lt;related-urls&gt;&lt;url&gt;http://www.aihw.gov.au/WorkArea/DownloadAsset.aspx?id=60129548150&lt;/url&gt;&lt;/related-urls&gt;&lt;/urls&gt;&lt;/record&gt;&lt;/Cite&gt;&lt;/EndNote&gt;</w:instrText>
      </w:r>
      <w:r>
        <w:fldChar w:fldCharType="separate"/>
      </w:r>
      <w:r w:rsidRPr="009B7C94">
        <w:rPr>
          <w:noProof/>
          <w:vertAlign w:val="superscript"/>
        </w:rPr>
        <w:t>1</w:t>
      </w:r>
      <w:r>
        <w:fldChar w:fldCharType="end"/>
      </w:r>
      <w:r>
        <w:t xml:space="preserve"> </w:t>
      </w:r>
    </w:p>
    <w:p w:rsidR="009B7C94" w:rsidRDefault="009B7C94" w:rsidP="009B7C94"/>
    <w:p w:rsidR="009B7C94" w:rsidRDefault="009B7C94" w:rsidP="009B7C94">
      <w:r w:rsidRPr="00DC078C">
        <w:t>It is estimated that in WA</w:t>
      </w:r>
      <w:r w:rsidR="00BC0B62">
        <w:t xml:space="preserve"> in 2011,</w:t>
      </w:r>
      <w:r w:rsidRPr="00DC078C">
        <w:t xml:space="preserve"> 435,000 years were lost to premature death or living with a disability o</w:t>
      </w:r>
      <w:r w:rsidR="00DE68BC">
        <w:t>r illness due to chronic disease or injury</w:t>
      </w:r>
      <w:r w:rsidRPr="00DC078C">
        <w:t>.</w:t>
      </w:r>
      <w:r>
        <w:fldChar w:fldCharType="begin"/>
      </w:r>
      <w:r>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fldChar w:fldCharType="separate"/>
      </w:r>
      <w:r w:rsidRPr="009B7C94">
        <w:rPr>
          <w:noProof/>
          <w:vertAlign w:val="superscript"/>
        </w:rPr>
        <w:t>2</w:t>
      </w:r>
      <w:r>
        <w:fldChar w:fldCharType="end"/>
      </w:r>
      <w:r w:rsidRPr="00DC078C">
        <w:t xml:space="preserve"> </w:t>
      </w:r>
    </w:p>
    <w:p w:rsidR="009B7C94" w:rsidRDefault="009B7C94" w:rsidP="009B7C94">
      <w:pPr>
        <w:pStyle w:val="CommentText"/>
        <w:rPr>
          <w:shd w:val="clear" w:color="auto" w:fill="FFFFFF"/>
        </w:rPr>
      </w:pPr>
    </w:p>
    <w:p w:rsidR="009B7C94" w:rsidRDefault="009B7C94" w:rsidP="009B7C94">
      <w:r>
        <w:t xml:space="preserve">Many chronic diseases are associated with a cluster of common risk factors that can be prevented or modified. They are being overweight or obese, having a poor diet, </w:t>
      </w:r>
      <w:r w:rsidR="007B76D8">
        <w:t xml:space="preserve">getting </w:t>
      </w:r>
      <w:r>
        <w:t>insufficient physical activity, smoking, and consuming alcohol at harmful levels.</w:t>
      </w:r>
      <w:r>
        <w:fldChar w:fldCharType="begin"/>
      </w:r>
      <w:r>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fldChar w:fldCharType="separate"/>
      </w:r>
      <w:r w:rsidRPr="009B7C94">
        <w:rPr>
          <w:noProof/>
          <w:vertAlign w:val="superscript"/>
        </w:rPr>
        <w:t>3</w:t>
      </w:r>
      <w:r>
        <w:fldChar w:fldCharType="end"/>
      </w:r>
      <w:r>
        <w:t xml:space="preserve"> </w:t>
      </w:r>
    </w:p>
    <w:p w:rsidR="0002366C" w:rsidRDefault="0002366C" w:rsidP="009B7C94"/>
    <w:p w:rsidR="009B7C94" w:rsidRDefault="009B7C94" w:rsidP="009B7C94">
      <w:r w:rsidRPr="00891B2A">
        <w:t>Injuries are also an important cause of death and disability in WA.</w:t>
      </w:r>
      <w:r w:rsidRPr="00891B2A">
        <w:fldChar w:fldCharType="begin"/>
      </w:r>
      <w:r w:rsidRPr="00891B2A">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Pr="00891B2A">
        <w:fldChar w:fldCharType="separate"/>
      </w:r>
      <w:r w:rsidRPr="00891B2A">
        <w:rPr>
          <w:noProof/>
          <w:vertAlign w:val="superscript"/>
        </w:rPr>
        <w:t>2</w:t>
      </w:r>
      <w:r w:rsidRPr="00891B2A">
        <w:fldChar w:fldCharType="end"/>
      </w:r>
      <w:r w:rsidRPr="00891B2A">
        <w:t xml:space="preserve"> Lifestyle interventions and the creation of safer environments can be effective in preventing many types of injuries, and factors such as alcohol use</w:t>
      </w:r>
      <w:r w:rsidR="006209B7" w:rsidRPr="00891B2A">
        <w:fldChar w:fldCharType="begin"/>
      </w:r>
      <w:r w:rsidR="006209B7" w:rsidRPr="00891B2A">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6209B7" w:rsidRPr="00891B2A">
        <w:fldChar w:fldCharType="separate"/>
      </w:r>
      <w:r w:rsidR="006209B7" w:rsidRPr="00891B2A">
        <w:rPr>
          <w:noProof/>
          <w:vertAlign w:val="superscript"/>
        </w:rPr>
        <w:t>2</w:t>
      </w:r>
      <w:r w:rsidR="006209B7" w:rsidRPr="00891B2A">
        <w:fldChar w:fldCharType="end"/>
      </w:r>
      <w:r w:rsidRPr="00891B2A">
        <w:t xml:space="preserve"> and physical inactivity</w:t>
      </w:r>
      <w:r w:rsidR="006209B7" w:rsidRPr="00891B2A">
        <w:fldChar w:fldCharType="begin"/>
      </w:r>
      <w:r w:rsidR="006209B7" w:rsidRPr="00891B2A">
        <w:instrText xml:space="preserve"> ADDIN EN.CITE &lt;EndNote&gt;&lt;Cite&gt;&lt;Author&gt;Sherrington&lt;/Author&gt;&lt;Year&gt;2011&lt;/Year&gt;&lt;RecNum&gt;807&lt;/RecNum&gt;&lt;DisplayText&gt;&lt;style face="superscript"&gt;4&lt;/style&gt;&lt;/DisplayText&gt;&lt;record&gt;&lt;rec-number&gt;807&lt;/rec-number&gt;&lt;foreign-keys&gt;&lt;key app="EN" db-id="zxa00wf2opvf9oeeset50xz7ezpfwre2v20z"&gt;807&lt;/key&gt;&lt;/foreign-keys&gt;&lt;ref-type name="Journal Article"&gt;17&lt;/ref-type&gt;&lt;contributors&gt;&lt;authors&gt;&lt;author&gt;Sherrington, C.&lt;/author&gt;&lt;author&gt;Tiedemann, A.&lt;/author&gt;&lt;author&gt;Fairhall, N.&lt;/author&gt;&lt;author&gt;Close, J. C.&lt;/author&gt;&lt;author&gt;Lord, S. R.&lt;/author&gt;&lt;/authors&gt;&lt;/contributors&gt;&lt;auth-address&gt;Musculoskeletal Division, The George Institute for Global Health, The University of Sydney, Australia. csherrington@georgeinstitute.org.au&lt;/auth-address&gt;&lt;titles&gt;&lt;title&gt;Exercise to prevent falls in older adults: an updated meta-analysis and best practice recommendations&lt;/title&gt;&lt;secondary-title&gt;NSW Public Health Bull&lt;/secondary-title&gt;&lt;/titles&gt;&lt;periodical&gt;&lt;full-title&gt;NSW Public Health Bull&lt;/full-title&gt;&lt;/periodical&gt;&lt;pages&gt;78-83&lt;/pages&gt;&lt;volume&gt;22&lt;/volume&gt;&lt;number&gt;3-4&lt;/number&gt;&lt;keywords&gt;&lt;keyword&gt;Accidental Falls/*prevention &amp;amp; control&lt;/keyword&gt;&lt;keyword&gt;Aged&lt;/keyword&gt;&lt;keyword&gt;*Exercise&lt;/keyword&gt;&lt;keyword&gt;Humans&lt;/keyword&gt;&lt;keyword&gt;Randomized Controlled Trials as Topic&lt;/keyword&gt;&lt;keyword&gt;Resistance Training&lt;/keyword&gt;&lt;keyword&gt;Risk Factors&lt;/keyword&gt;&lt;keyword&gt;Walking&lt;/keyword&gt;&lt;/keywords&gt;&lt;dates&gt;&lt;year&gt;2011&lt;/year&gt;&lt;/dates&gt;&lt;urls&gt;&lt;related-urls&gt;&lt;url&gt;http://www.ncbi.nlm.nih.gov/pubmed/21632004&lt;/url&gt;&lt;/related-urls&gt;&lt;/urls&gt;&lt;/record&gt;&lt;/Cite&gt;&lt;/EndNote&gt;</w:instrText>
      </w:r>
      <w:r w:rsidR="006209B7" w:rsidRPr="00891B2A">
        <w:fldChar w:fldCharType="separate"/>
      </w:r>
      <w:r w:rsidR="006209B7" w:rsidRPr="00891B2A">
        <w:rPr>
          <w:noProof/>
          <w:vertAlign w:val="superscript"/>
        </w:rPr>
        <w:t>4</w:t>
      </w:r>
      <w:r w:rsidR="006209B7" w:rsidRPr="00891B2A">
        <w:fldChar w:fldCharType="end"/>
      </w:r>
      <w:r w:rsidRPr="00891B2A">
        <w:t xml:space="preserve"> </w:t>
      </w:r>
      <w:r w:rsidR="006D2A38" w:rsidRPr="00891B2A">
        <w:t xml:space="preserve">also </w:t>
      </w:r>
      <w:r w:rsidRPr="00891B2A">
        <w:t>influence the risk of injury</w:t>
      </w:r>
      <w:r w:rsidR="006209B7" w:rsidRPr="00891B2A">
        <w:t>.</w:t>
      </w:r>
      <w:r>
        <w:t xml:space="preserve"> </w:t>
      </w:r>
      <w:r w:rsidR="00953AB3">
        <w:t>Because of this connection, s</w:t>
      </w:r>
      <w:r w:rsidR="00953AB3" w:rsidRPr="00891B2A">
        <w:t>trategies to prevent chronic diseases and injury are therefore often</w:t>
      </w:r>
      <w:r w:rsidR="00953AB3">
        <w:t xml:space="preserve"> implemented together.</w:t>
      </w:r>
    </w:p>
    <w:p w:rsidR="00361D5C" w:rsidRDefault="00361D5C" w:rsidP="009B7C94"/>
    <w:p w:rsidR="00361D5C" w:rsidRDefault="00361D5C" w:rsidP="00361D5C">
      <w:r>
        <w:t xml:space="preserve">The risk factors </w:t>
      </w:r>
      <w:r w:rsidR="00813FA4">
        <w:t xml:space="preserve">associated with chronic disease and injury, </w:t>
      </w:r>
      <w:r>
        <w:t xml:space="preserve">and the prevalence of chronic disease and injury are not distributed equally across society. </w:t>
      </w:r>
      <w:r w:rsidRPr="008B0646">
        <w:t>People who live in areas of socioeconomic disadvantage</w:t>
      </w:r>
      <w:r>
        <w:t xml:space="preserve"> or outside major cities, have lower levels of education, lower incomes, experience mental health problems or have a disability </w:t>
      </w:r>
      <w:r w:rsidRPr="008B0646">
        <w:t xml:space="preserve">are more likely to report </w:t>
      </w:r>
      <w:r>
        <w:t xml:space="preserve">having </w:t>
      </w:r>
      <w:r w:rsidRPr="008B0646">
        <w:t>health risk behaviours</w:t>
      </w:r>
      <w:r>
        <w:t>, with many having multiple risk factors.</w:t>
      </w:r>
      <w:r>
        <w:fldChar w:fldCharType="begin"/>
      </w:r>
      <w:r>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fldChar w:fldCharType="separate"/>
      </w:r>
      <w:r w:rsidRPr="008E4A1B">
        <w:rPr>
          <w:noProof/>
          <w:vertAlign w:val="superscript"/>
        </w:rPr>
        <w:t>3</w:t>
      </w:r>
      <w:r>
        <w:fldChar w:fldCharType="end"/>
      </w:r>
    </w:p>
    <w:p w:rsidR="00361D5C" w:rsidRDefault="00361D5C" w:rsidP="00361D5C"/>
    <w:p w:rsidR="00361D5C" w:rsidRDefault="00361D5C" w:rsidP="00361D5C">
      <w:r w:rsidRPr="00753357">
        <w:t>Aboriginal people have higher rates of chronic disease</w:t>
      </w:r>
      <w:r>
        <w:t xml:space="preserve"> and injury</w:t>
      </w:r>
      <w:r w:rsidRPr="00753357">
        <w:t xml:space="preserve"> </w:t>
      </w:r>
      <w:r>
        <w:t>and also experience the onset of these diseases at</w:t>
      </w:r>
      <w:r w:rsidRPr="00753357">
        <w:t xml:space="preserve"> a much younger age compared to the general population</w:t>
      </w:r>
      <w:r>
        <w:t>.</w:t>
      </w:r>
      <w:r w:rsidR="00813FA4">
        <w:fldChar w:fldCharType="begin"/>
      </w:r>
      <w:r w:rsidR="00C21325">
        <w:instrText xml:space="preserve"> ADDIN EN.CITE &lt;EndNote&gt;&lt;Cite&gt;&lt;Author&gt;Australian Institute of Health and Welfare&lt;/Author&gt;&lt;Year&gt;2011&lt;/Year&gt;&lt;RecNum&gt;200&lt;/RecNum&gt;&lt;DisplayText&gt;&lt;style face="superscript"&gt;5&lt;/style&gt;&lt;/DisplayText&gt;&lt;record&gt;&lt;rec-number&gt;200&lt;/rec-number&gt;&lt;foreign-keys&gt;&lt;key app="EN" db-id="zxa00wf2opvf9oeeset50xz7ezpfwre2v20z"&gt;200&lt;/key&gt;&lt;/foreign-keys&gt;&lt;ref-type name="Report"&gt;27&lt;/ref-type&gt;&lt;contributors&gt;&lt;authors&gt;&lt;author&gt;Australian Institute of Health and Welfare,&lt;/author&gt;&lt;/authors&gt;&lt;/contributors&gt;&lt;titles&gt;&lt;title&gt;Contribution of chronic disease to the gap in adult mortality between Aboriginal and Torres Strait Islander and other Australians. Cat. no. IHW 48&lt;/title&gt;&lt;/titles&gt;&lt;dates&gt;&lt;year&gt;2011&lt;/year&gt;&lt;/dates&gt;&lt;pub-location&gt;Canberra&lt;/pub-location&gt;&lt;publisher&gt;Australian Institute of Health and Welfare&lt;/publisher&gt;&lt;urls&gt;&lt;related-urls&gt;&lt;url&gt;http://www.aihw.gov.au/indigenous-observatory-chronic-disease/&lt;/url&gt;&lt;/related-urls&gt;&lt;/urls&gt;&lt;/record&gt;&lt;/Cite&gt;&lt;/EndNote&gt;</w:instrText>
      </w:r>
      <w:r w:rsidR="00813FA4">
        <w:fldChar w:fldCharType="separate"/>
      </w:r>
      <w:r w:rsidR="00C21325" w:rsidRPr="00C21325">
        <w:rPr>
          <w:noProof/>
          <w:vertAlign w:val="superscript"/>
        </w:rPr>
        <w:t>5</w:t>
      </w:r>
      <w:r w:rsidR="00813FA4">
        <w:fldChar w:fldCharType="end"/>
      </w:r>
    </w:p>
    <w:p w:rsidR="009B7C94" w:rsidRDefault="009B7C94" w:rsidP="009B7C94">
      <w:pPr>
        <w:rPr>
          <w:b/>
          <w:color w:val="31849B" w:themeColor="accent5" w:themeShade="BF"/>
        </w:rPr>
      </w:pPr>
    </w:p>
    <w:p w:rsidR="009B7C94" w:rsidRPr="008159A5" w:rsidRDefault="009B7C94" w:rsidP="009B7C94">
      <w:pPr>
        <w:rPr>
          <w:b/>
          <w:color w:val="808080" w:themeColor="background1" w:themeShade="80"/>
        </w:rPr>
      </w:pPr>
      <w:r w:rsidRPr="008159A5">
        <w:rPr>
          <w:b/>
          <w:color w:val="808080" w:themeColor="background1" w:themeShade="80"/>
        </w:rPr>
        <w:t>Understanding health promotion and disease prevention</w:t>
      </w:r>
    </w:p>
    <w:p w:rsidR="009B7C94" w:rsidRDefault="009B7C94" w:rsidP="009B7C94">
      <w:pPr>
        <w:rPr>
          <w:b/>
          <w:color w:val="31849B" w:themeColor="accent5" w:themeShade="BF"/>
        </w:rPr>
      </w:pPr>
    </w:p>
    <w:p w:rsidR="009B7C94" w:rsidRDefault="009B7C94" w:rsidP="009B7C94">
      <w:r w:rsidRPr="00C2221F">
        <w:t xml:space="preserve">There are significant opportunities </w:t>
      </w:r>
      <w:r>
        <w:t>to improve the health of the WA population by facilitating behaviour change and creating healthier environments across the community.</w:t>
      </w:r>
    </w:p>
    <w:p w:rsidR="009B7C94" w:rsidRDefault="009B7C94" w:rsidP="009B7C94">
      <w:pPr>
        <w:rPr>
          <w:b/>
          <w:color w:val="31849B" w:themeColor="accent5" w:themeShade="BF"/>
        </w:rPr>
      </w:pPr>
    </w:p>
    <w:p w:rsidR="009B7C94" w:rsidRDefault="009B7C94" w:rsidP="009B7C94">
      <w:r>
        <w:t>The WA HPSF supports evidence-based, population-wide approaches, accompanied by complementary targeted approaches to assist populations with a higher prevalence of risk factors for chronic disease and injury.</w:t>
      </w:r>
    </w:p>
    <w:p w:rsidR="009B7C94" w:rsidRDefault="009B7C94" w:rsidP="009B7C94"/>
    <w:p w:rsidR="00CF2B90" w:rsidRDefault="00CF2B90">
      <w:pPr>
        <w:widowControl/>
        <w:spacing w:after="200" w:line="276" w:lineRule="auto"/>
        <w:rPr>
          <w:b/>
          <w:color w:val="808080" w:themeColor="background1" w:themeShade="80"/>
        </w:rPr>
      </w:pPr>
      <w:r>
        <w:rPr>
          <w:b/>
          <w:color w:val="808080" w:themeColor="background1" w:themeShade="80"/>
        </w:rPr>
        <w:br w:type="page"/>
      </w:r>
    </w:p>
    <w:p w:rsidR="009B7C94" w:rsidRPr="008159A5" w:rsidRDefault="009B7C94" w:rsidP="009B7C94">
      <w:pPr>
        <w:rPr>
          <w:b/>
          <w:color w:val="808080" w:themeColor="background1" w:themeShade="80"/>
        </w:rPr>
      </w:pPr>
      <w:r w:rsidRPr="008159A5">
        <w:rPr>
          <w:b/>
          <w:color w:val="808080" w:themeColor="background1" w:themeShade="80"/>
        </w:rPr>
        <w:lastRenderedPageBreak/>
        <w:t xml:space="preserve">Who can use the </w:t>
      </w:r>
      <w:r w:rsidRPr="008159A5">
        <w:rPr>
          <w:b/>
          <w:i/>
          <w:color w:val="808080" w:themeColor="background1" w:themeShade="80"/>
        </w:rPr>
        <w:t>WA Health Promotion Strategic Framework</w:t>
      </w:r>
      <w:r w:rsidRPr="008159A5">
        <w:rPr>
          <w:b/>
          <w:color w:val="808080" w:themeColor="background1" w:themeShade="80"/>
        </w:rPr>
        <w:t>?</w:t>
      </w:r>
    </w:p>
    <w:p w:rsidR="009B7C94" w:rsidRDefault="009B7C94" w:rsidP="009B7C94">
      <w:pPr>
        <w:rPr>
          <w:b/>
          <w:color w:val="31849B" w:themeColor="accent5" w:themeShade="BF"/>
        </w:rPr>
      </w:pPr>
    </w:p>
    <w:p w:rsidR="009B7C94" w:rsidRDefault="009B7C94" w:rsidP="009B7C94">
      <w:r w:rsidRPr="00C2221F">
        <w:t xml:space="preserve">The WA HPSF has been developed </w:t>
      </w:r>
      <w:r>
        <w:t xml:space="preserve">primarily for use by WA Health, but it is anticipated that the document will be useful for all </w:t>
      </w:r>
      <w:r w:rsidRPr="00C2221F">
        <w:t>agencies and</w:t>
      </w:r>
      <w:r w:rsidRPr="007A229B">
        <w:rPr>
          <w:lang w:val="en-AU"/>
        </w:rPr>
        <w:t xml:space="preserve"> organisations</w:t>
      </w:r>
      <w:r w:rsidRPr="00C2221F">
        <w:t xml:space="preserve"> </w:t>
      </w:r>
      <w:r>
        <w:t xml:space="preserve">across a diverse range of sectors with a shared </w:t>
      </w:r>
      <w:r w:rsidRPr="00C2221F">
        <w:t>interest in promoting better health in WA</w:t>
      </w:r>
      <w:r>
        <w:t xml:space="preserve">, particularly those which work in partnership with Government. </w:t>
      </w:r>
    </w:p>
    <w:p w:rsidR="009B7C94" w:rsidRDefault="009B7C94" w:rsidP="009B7C94"/>
    <w:p w:rsidR="009B7C94" w:rsidRDefault="009B7C94" w:rsidP="009B7C94">
      <w:pPr>
        <w:widowControl/>
        <w:spacing w:after="200"/>
        <w:rPr>
          <w:position w:val="8"/>
        </w:rPr>
      </w:pPr>
      <w:r>
        <w:rPr>
          <w:position w:val="8"/>
        </w:rPr>
        <w:t>The WA HPSF may be used to guide policy related to chronic disease and injury prevention in State and Local Public Health Plans.</w:t>
      </w:r>
    </w:p>
    <w:p w:rsidR="001005AB" w:rsidRDefault="00352E8F" w:rsidP="00352E8F">
      <w:r>
        <w:t>As previously, the WA HPSF sets broad strategic priorities to achieve the greatest health gains for the WA population. Decisions regarding appropriate interventions will differ between organisations and settings, depending on their responsibilities and priorities.</w:t>
      </w:r>
    </w:p>
    <w:p w:rsidR="00E03CF0" w:rsidRDefault="00E03CF0" w:rsidP="00352E8F"/>
    <w:p w:rsidR="009B7C94" w:rsidRPr="008159A5" w:rsidRDefault="009B7C94" w:rsidP="009B7C94">
      <w:pPr>
        <w:rPr>
          <w:b/>
          <w:color w:val="808080" w:themeColor="background1" w:themeShade="80"/>
        </w:rPr>
      </w:pPr>
      <w:r w:rsidRPr="008159A5">
        <w:rPr>
          <w:b/>
          <w:color w:val="808080" w:themeColor="background1" w:themeShade="80"/>
        </w:rPr>
        <w:t>Complementary policies and strategies</w:t>
      </w:r>
    </w:p>
    <w:p w:rsidR="009B7C94" w:rsidRDefault="009B7C94" w:rsidP="009B7C94">
      <w:pPr>
        <w:rPr>
          <w:b/>
          <w:color w:val="31849B" w:themeColor="accent5" w:themeShade="BF"/>
        </w:rPr>
      </w:pPr>
    </w:p>
    <w:p w:rsidR="009B7C94" w:rsidRPr="0015051F" w:rsidRDefault="009B7C94" w:rsidP="009B7C94">
      <w:pPr>
        <w:rPr>
          <w:b/>
          <w:color w:val="31849B" w:themeColor="accent5" w:themeShade="BF"/>
        </w:rPr>
      </w:pPr>
      <w:r>
        <w:t>The WA HPSF is complementary to, and does not duplicate or replace the range of policies which address other aspects of health in WA.</w:t>
      </w:r>
    </w:p>
    <w:p w:rsidR="001F26CE" w:rsidRDefault="001F26CE" w:rsidP="009B7C94">
      <w:pPr>
        <w:rPr>
          <w:b/>
          <w:color w:val="31849B" w:themeColor="accent5" w:themeShade="BF"/>
        </w:rPr>
      </w:pPr>
    </w:p>
    <w:p w:rsidR="009B7C94" w:rsidRPr="008159A5" w:rsidRDefault="009B7C94" w:rsidP="009B7C94">
      <w:pPr>
        <w:rPr>
          <w:b/>
          <w:color w:val="808080" w:themeColor="background1" w:themeShade="80"/>
        </w:rPr>
      </w:pPr>
      <w:r w:rsidRPr="008159A5">
        <w:rPr>
          <w:b/>
          <w:color w:val="808080" w:themeColor="background1" w:themeShade="80"/>
        </w:rPr>
        <w:t>Our state of health</w:t>
      </w:r>
    </w:p>
    <w:p w:rsidR="009B7C94" w:rsidRDefault="009B7C94" w:rsidP="009B7C94">
      <w:pPr>
        <w:rPr>
          <w:b/>
          <w:color w:val="31849B" w:themeColor="accent5" w:themeShade="BF"/>
        </w:rPr>
      </w:pPr>
    </w:p>
    <w:p w:rsidR="009B7C94" w:rsidRDefault="009B7C94" w:rsidP="009B7C94">
      <w:pPr>
        <w:rPr>
          <w:rFonts w:eastAsia="Arial"/>
        </w:rPr>
      </w:pPr>
      <w:r>
        <w:rPr>
          <w:rFonts w:eastAsia="Arial"/>
          <w:spacing w:val="-4"/>
        </w:rPr>
        <w:t xml:space="preserve">People in </w:t>
      </w:r>
      <w:r w:rsidRPr="00DF0C68">
        <w:rPr>
          <w:rFonts w:eastAsia="Arial"/>
          <w:spacing w:val="-4"/>
        </w:rPr>
        <w:t>WA</w:t>
      </w:r>
      <w:r>
        <w:rPr>
          <w:rFonts w:eastAsia="Arial"/>
          <w:spacing w:val="-4"/>
        </w:rPr>
        <w:t xml:space="preserve"> </w:t>
      </w:r>
      <w:r w:rsidRPr="00DF0C68">
        <w:rPr>
          <w:rFonts w:eastAsia="Arial"/>
          <w:spacing w:val="-4"/>
        </w:rPr>
        <w:t xml:space="preserve">are </w:t>
      </w:r>
      <w:r w:rsidRPr="00DF0C68">
        <w:rPr>
          <w:rFonts w:eastAsia="Arial"/>
        </w:rPr>
        <w:t>leading longe</w:t>
      </w:r>
      <w:r w:rsidRPr="00DF0C68">
        <w:rPr>
          <w:rFonts w:eastAsia="Arial"/>
          <w:spacing w:val="-13"/>
        </w:rPr>
        <w:t>r</w:t>
      </w:r>
      <w:r w:rsidRPr="00DF0C68">
        <w:rPr>
          <w:rFonts w:eastAsia="Arial"/>
        </w:rPr>
        <w:t xml:space="preserve">, healthier and more injury-free lives due to a range of factors, including </w:t>
      </w:r>
      <w:r w:rsidR="001F26CE">
        <w:rPr>
          <w:rFonts w:eastAsia="Arial"/>
        </w:rPr>
        <w:t>improved disease control,</w:t>
      </w:r>
      <w:r w:rsidRPr="00DF0C68">
        <w:rPr>
          <w:rFonts w:eastAsia="Arial"/>
        </w:rPr>
        <w:t xml:space="preserve"> safer living and working conditions, and </w:t>
      </w:r>
      <w:r>
        <w:rPr>
          <w:rFonts w:eastAsia="Arial"/>
        </w:rPr>
        <w:t>medical advances</w:t>
      </w:r>
      <w:r w:rsidRPr="00DF0C68">
        <w:rPr>
          <w:rFonts w:eastAsia="Arial"/>
        </w:rPr>
        <w:t>.</w:t>
      </w:r>
      <w:r>
        <w:rPr>
          <w:rFonts w:eastAsia="Arial"/>
        </w:rPr>
        <w:t xml:space="preserve"> Declines in tobacco use</w:t>
      </w:r>
      <w:r w:rsidRPr="00DF0C68">
        <w:rPr>
          <w:rFonts w:eastAsia="Arial"/>
        </w:rPr>
        <w:t xml:space="preserve"> have also </w:t>
      </w:r>
      <w:r>
        <w:rPr>
          <w:rFonts w:eastAsia="Arial"/>
        </w:rPr>
        <w:t xml:space="preserve">helped to </w:t>
      </w:r>
      <w:r w:rsidRPr="00DF0C68">
        <w:rPr>
          <w:rFonts w:eastAsia="Arial"/>
        </w:rPr>
        <w:t xml:space="preserve">improve </w:t>
      </w:r>
      <w:r>
        <w:rPr>
          <w:rFonts w:eastAsia="Arial"/>
        </w:rPr>
        <w:t>the health of Western Australians.</w:t>
      </w:r>
      <w:r>
        <w:rPr>
          <w:rFonts w:eastAsia="Arial"/>
        </w:rPr>
        <w:fldChar w:fldCharType="begin"/>
      </w:r>
      <w:r w:rsidR="00C21325">
        <w:rPr>
          <w:rFonts w:eastAsia="Arial"/>
        </w:rPr>
        <w:instrText xml:space="preserve"> ADDIN EN.CITE &lt;EndNote&gt;&lt;Cite&gt;&lt;Author&gt;Australian Institute of Health and Welfare&lt;/Author&gt;&lt;Year&gt;2014&lt;/Year&gt;&lt;RecNum&gt;4&lt;/RecNum&gt;&lt;DisplayText&gt;&lt;style face="superscript"&gt;1, 6&lt;/style&gt;&lt;/DisplayText&gt;&lt;record&gt;&lt;rec-number&gt;4&lt;/rec-number&gt;&lt;foreign-keys&gt;&lt;key app="EN" db-id="zxa00wf2opvf9oeeset50xz7ezpfwre2v20z"&gt;4&lt;/key&gt;&lt;/foreign-keys&gt;&lt;ref-type name="Web Page"&gt;12&lt;/ref-type&gt;&lt;contributors&gt;&lt;authors&gt;&lt;author&gt;Australian Institute of Health and Welfare,&lt;/author&gt;&lt;/authors&gt;&lt;/contributors&gt;&lt;titles&gt;&lt;title&gt;Australia&amp;apos;s health 2014. Australia&amp;apos;s health series no. 12. Cat. no. AUS 178&lt;/title&gt;&lt;/titles&gt;&lt;dates&gt;&lt;year&gt;2014&lt;/year&gt;&lt;/dates&gt;&lt;pub-location&gt;Canberra&lt;/pub-location&gt;&lt;publisher&gt;Australian Institute of Health and Welfare&lt;/publisher&gt;&lt;urls&gt;&lt;related-urls&gt;&lt;url&gt;http://www.aihw.gov.au/WorkArea/DownloadAsset.aspx?id=60129548150&lt;/url&gt;&lt;/related-urls&gt;&lt;/urls&gt;&lt;/record&gt;&lt;/Cite&gt;&lt;Cite&gt;&lt;Author&gt;Hocking S&lt;/Author&gt;&lt;Year&gt;2010&lt;/Year&gt;&lt;RecNum&gt;528&lt;/RecNum&gt;&lt;record&gt;&lt;rec-number&gt;528&lt;/rec-number&gt;&lt;foreign-keys&gt;&lt;key app="EN" db-id="zxa00wf2opvf9oeeset50xz7ezpfwre2v20z"&gt;528&lt;/key&gt;&lt;/foreign-keys&gt;&lt;ref-type name="Report"&gt;27&lt;/ref-type&gt;&lt;contributors&gt;&lt;authors&gt;&lt;author&gt;Hocking S,&lt;/author&gt;&lt;author&gt;Draper G,&lt;/author&gt;&lt;author&gt;Somerford P,&lt;/author&gt;&lt;author&gt;Xiao J,&lt;/author&gt;&lt;author&gt;Weeramanthri T,&lt;/author&gt;&lt;/authors&gt;&lt;/contributors&gt;&lt;titles&gt;&lt;title&gt;The Western Australian Chief Health Officer’s report 2010.&lt;/title&gt;&lt;/titles&gt;&lt;dates&gt;&lt;year&gt;2010&lt;/year&gt;&lt;/dates&gt;&lt;pub-location&gt;Perth&lt;/pub-location&gt;&lt;publisher&gt;Department of Health, Western Australia&lt;/publisher&gt;&lt;urls&gt;&lt;related-urls&gt;&lt;url&gt;http://www.health.wa.gov.au/publications/documents/WA_chief_health_officers_report_2010.pdf&lt;/url&gt;&lt;/related-urls&gt;&lt;/urls&gt;&lt;/record&gt;&lt;/Cite&gt;&lt;/EndNote&gt;</w:instrText>
      </w:r>
      <w:r>
        <w:rPr>
          <w:rFonts w:eastAsia="Arial"/>
        </w:rPr>
        <w:fldChar w:fldCharType="separate"/>
      </w:r>
      <w:r w:rsidR="00C21325" w:rsidRPr="00C21325">
        <w:rPr>
          <w:rFonts w:eastAsia="Arial"/>
          <w:noProof/>
          <w:vertAlign w:val="superscript"/>
        </w:rPr>
        <w:t>1, 6</w:t>
      </w:r>
      <w:r>
        <w:rPr>
          <w:rFonts w:eastAsia="Arial"/>
        </w:rPr>
        <w:fldChar w:fldCharType="end"/>
      </w:r>
    </w:p>
    <w:p w:rsidR="009B7C94" w:rsidRDefault="009B7C94" w:rsidP="009B7C94">
      <w:pPr>
        <w:rPr>
          <w:rFonts w:eastAsia="Arial"/>
        </w:rPr>
      </w:pPr>
    </w:p>
    <w:p w:rsidR="009B7C94" w:rsidRPr="00950182" w:rsidRDefault="006B20AA" w:rsidP="009B7C94">
      <w:pPr>
        <w:rPr>
          <w:rFonts w:eastAsia="Arial"/>
          <w:spacing w:val="-18"/>
        </w:rPr>
      </w:pPr>
      <w:r>
        <w:rPr>
          <w:rFonts w:eastAsia="Arial"/>
        </w:rPr>
        <w:t>M</w:t>
      </w:r>
      <w:r w:rsidR="009B7C94">
        <w:rPr>
          <w:rFonts w:eastAsia="Arial"/>
        </w:rPr>
        <w:t>odifiable lifestyle behaviours are still a major contributor to d</w:t>
      </w:r>
      <w:r w:rsidR="009B7C94" w:rsidRPr="00DF0C68">
        <w:rPr>
          <w:rFonts w:eastAsia="Arial"/>
        </w:rPr>
        <w:t xml:space="preserve">eath and ill-health in WA. </w:t>
      </w:r>
      <w:r w:rsidR="00463AD7">
        <w:rPr>
          <w:rFonts w:eastAsia="Arial"/>
        </w:rPr>
        <w:t xml:space="preserve">It is estimated that in 2006, </w:t>
      </w:r>
      <w:r w:rsidR="009B7C94" w:rsidRPr="00DF0C68">
        <w:rPr>
          <w:rFonts w:eastAsia="Arial"/>
        </w:rPr>
        <w:t>6</w:t>
      </w:r>
      <w:r w:rsidR="00463AD7">
        <w:rPr>
          <w:rFonts w:eastAsia="Arial"/>
        </w:rPr>
        <w:t>4</w:t>
      </w:r>
      <w:r w:rsidR="009B7C94" w:rsidRPr="00DF0C68">
        <w:rPr>
          <w:rFonts w:eastAsia="Arial"/>
        </w:rPr>
        <w:t xml:space="preserve">% of all deaths in </w:t>
      </w:r>
      <w:r w:rsidR="00463AD7">
        <w:rPr>
          <w:rFonts w:eastAsia="Arial"/>
        </w:rPr>
        <w:t xml:space="preserve">people </w:t>
      </w:r>
      <w:r w:rsidR="0060405C">
        <w:rPr>
          <w:rFonts w:eastAsia="Arial"/>
        </w:rPr>
        <w:t xml:space="preserve">in WA </w:t>
      </w:r>
      <w:r w:rsidR="00463AD7">
        <w:rPr>
          <w:rFonts w:eastAsia="Arial"/>
        </w:rPr>
        <w:t>aged under</w:t>
      </w:r>
      <w:r w:rsidR="009B7C94" w:rsidRPr="00DF0C68">
        <w:rPr>
          <w:rFonts w:eastAsia="Arial"/>
        </w:rPr>
        <w:t xml:space="preserve"> 75 </w:t>
      </w:r>
      <w:r w:rsidR="00463AD7">
        <w:rPr>
          <w:rFonts w:eastAsia="Arial"/>
        </w:rPr>
        <w:t>were</w:t>
      </w:r>
      <w:r w:rsidR="009B7C94" w:rsidRPr="00DF0C68">
        <w:rPr>
          <w:rFonts w:eastAsia="Arial"/>
        </w:rPr>
        <w:t xml:space="preserve"> potentially </w:t>
      </w:r>
      <w:r w:rsidR="009B7C94" w:rsidRPr="00950182">
        <w:rPr>
          <w:rFonts w:eastAsia="Arial"/>
        </w:rPr>
        <w:t>avoidable</w:t>
      </w:r>
      <w:r w:rsidR="00463AD7">
        <w:rPr>
          <w:rFonts w:eastAsia="Arial"/>
        </w:rPr>
        <w:t>. The</w:t>
      </w:r>
      <w:r w:rsidR="009B7C94" w:rsidRPr="00950182">
        <w:rPr>
          <w:rFonts w:eastAsia="Arial"/>
        </w:rPr>
        <w:t xml:space="preserve"> majority of th</w:t>
      </w:r>
      <w:r w:rsidR="00463AD7">
        <w:rPr>
          <w:rFonts w:eastAsia="Arial"/>
        </w:rPr>
        <w:t>o</w:t>
      </w:r>
      <w:r w:rsidR="009B7C94" w:rsidRPr="00950182">
        <w:rPr>
          <w:rFonts w:eastAsia="Arial"/>
        </w:rPr>
        <w:t xml:space="preserve">se deaths </w:t>
      </w:r>
      <w:r w:rsidR="00463AD7">
        <w:rPr>
          <w:rFonts w:eastAsia="Arial"/>
        </w:rPr>
        <w:t>were</w:t>
      </w:r>
      <w:r w:rsidR="009B7C94" w:rsidRPr="00950182">
        <w:rPr>
          <w:rFonts w:eastAsia="Arial"/>
        </w:rPr>
        <w:t xml:space="preserve"> </w:t>
      </w:r>
      <w:r w:rsidR="00662F91">
        <w:rPr>
          <w:rFonts w:eastAsia="Arial"/>
        </w:rPr>
        <w:t>due to</w:t>
      </w:r>
      <w:r w:rsidR="009B7C94" w:rsidRPr="00950182">
        <w:rPr>
          <w:rFonts w:eastAsia="Arial"/>
        </w:rPr>
        <w:t xml:space="preserve"> chronic disease</w:t>
      </w:r>
      <w:r w:rsidR="009B7C94" w:rsidRPr="00950182">
        <w:rPr>
          <w:rFonts w:eastAsia="Arial"/>
          <w:spacing w:val="-18"/>
        </w:rPr>
        <w:t>.</w:t>
      </w:r>
      <w:r w:rsidR="009B7C94" w:rsidRPr="00950182">
        <w:rPr>
          <w:rFonts w:eastAsia="Arial"/>
          <w:spacing w:val="-18"/>
        </w:rPr>
        <w:fldChar w:fldCharType="begin"/>
      </w:r>
      <w:r w:rsidR="00C21325">
        <w:rPr>
          <w:rFonts w:eastAsia="Arial"/>
          <w:spacing w:val="-18"/>
        </w:rPr>
        <w:instrText xml:space="preserve"> ADDIN EN.CITE &lt;EndNote&gt;&lt;Cite&gt;&lt;Author&gt;Hocking S&lt;/Author&gt;&lt;Year&gt;2010&lt;/Year&gt;&lt;RecNum&gt;528&lt;/RecNum&gt;&lt;DisplayText&gt;&lt;style face="superscript"&gt;6&lt;/style&gt;&lt;/DisplayText&gt;&lt;record&gt;&lt;rec-number&gt;528&lt;/rec-number&gt;&lt;foreign-keys&gt;&lt;key app="EN" db-id="zxa00wf2opvf9oeeset50xz7ezpfwre2v20z"&gt;528&lt;/key&gt;&lt;/foreign-keys&gt;&lt;ref-type name="Report"&gt;27&lt;/ref-type&gt;&lt;contributors&gt;&lt;authors&gt;&lt;author&gt;Hocking S,&lt;/author&gt;&lt;author&gt;Draper G,&lt;/author&gt;&lt;author&gt;Somerford P,&lt;/author&gt;&lt;author&gt;Xiao J,&lt;/author&gt;&lt;author&gt;Weeramanthri T,&lt;/author&gt;&lt;/authors&gt;&lt;/contributors&gt;&lt;titles&gt;&lt;title&gt;The Western Australian Chief Health Officer’s report 2010.&lt;/title&gt;&lt;/titles&gt;&lt;dates&gt;&lt;year&gt;2010&lt;/year&gt;&lt;/dates&gt;&lt;pub-location&gt;Perth&lt;/pub-location&gt;&lt;publisher&gt;Department of Health, Western Australia&lt;/publisher&gt;&lt;urls&gt;&lt;related-urls&gt;&lt;url&gt;http://www.health.wa.gov.au/publications/documents/WA_chief_health_officers_report_2010.pdf&lt;/url&gt;&lt;/related-urls&gt;&lt;/urls&gt;&lt;/record&gt;&lt;/Cite&gt;&lt;/EndNote&gt;</w:instrText>
      </w:r>
      <w:r w:rsidR="009B7C94" w:rsidRPr="00950182">
        <w:rPr>
          <w:rFonts w:eastAsia="Arial"/>
          <w:spacing w:val="-18"/>
        </w:rPr>
        <w:fldChar w:fldCharType="separate"/>
      </w:r>
      <w:r w:rsidR="00C21325" w:rsidRPr="00C21325">
        <w:rPr>
          <w:rFonts w:eastAsia="Arial"/>
          <w:noProof/>
          <w:spacing w:val="-18"/>
          <w:vertAlign w:val="superscript"/>
        </w:rPr>
        <w:t>6</w:t>
      </w:r>
      <w:r w:rsidR="009B7C94" w:rsidRPr="00950182">
        <w:rPr>
          <w:rFonts w:eastAsia="Arial"/>
          <w:spacing w:val="-18"/>
        </w:rPr>
        <w:fldChar w:fldCharType="end"/>
      </w:r>
    </w:p>
    <w:p w:rsidR="00732CB9" w:rsidRPr="00950182" w:rsidRDefault="00732CB9" w:rsidP="009B7C94">
      <w:pPr>
        <w:rPr>
          <w:rFonts w:eastAsia="Arial"/>
          <w:spacing w:val="-18"/>
        </w:rPr>
      </w:pPr>
    </w:p>
    <w:p w:rsidR="00732CB9" w:rsidRDefault="0015238D" w:rsidP="009B7C94">
      <w:pPr>
        <w:rPr>
          <w:rFonts w:eastAsia="Arial"/>
        </w:rPr>
      </w:pPr>
      <w:r w:rsidRPr="00950182">
        <w:rPr>
          <w:rFonts w:eastAsia="Arial"/>
        </w:rPr>
        <w:t>In Australia in 2011, the risk factors responsible for the greatest burden of disease</w:t>
      </w:r>
      <w:r w:rsidR="008C4F4E" w:rsidRPr="00950182">
        <w:rPr>
          <w:rFonts w:eastAsia="Arial"/>
        </w:rPr>
        <w:t xml:space="preserve"> </w:t>
      </w:r>
      <w:r w:rsidRPr="00950182">
        <w:rPr>
          <w:rFonts w:eastAsia="Arial"/>
        </w:rPr>
        <w:t xml:space="preserve">were </w:t>
      </w:r>
      <w:r w:rsidR="00F3095E" w:rsidRPr="00950182">
        <w:rPr>
          <w:rFonts w:eastAsia="Arial"/>
        </w:rPr>
        <w:t>t</w:t>
      </w:r>
      <w:r w:rsidRPr="00950182">
        <w:rPr>
          <w:rFonts w:eastAsia="Arial"/>
        </w:rPr>
        <w:t>obacco use (9%), dietary risks (7%),</w:t>
      </w:r>
      <w:r w:rsidR="008C4F4E" w:rsidRPr="00950182">
        <w:rPr>
          <w:rFonts w:eastAsia="Arial"/>
        </w:rPr>
        <w:t xml:space="preserve"> and</w:t>
      </w:r>
      <w:r w:rsidRPr="00950182">
        <w:rPr>
          <w:rFonts w:eastAsia="Arial"/>
        </w:rPr>
        <w:t xml:space="preserve"> high body mass</w:t>
      </w:r>
      <w:r w:rsidR="002F37C4" w:rsidRPr="00950182">
        <w:rPr>
          <w:rFonts w:eastAsia="Arial"/>
        </w:rPr>
        <w:t xml:space="preserve"> and alcohol use (both 5%).</w:t>
      </w:r>
      <w:r w:rsidR="002F37C4" w:rsidRPr="00950182">
        <w:rPr>
          <w:rFonts w:eastAsia="Arial"/>
        </w:rPr>
        <w:fldChar w:fldCharType="begin"/>
      </w:r>
      <w:r w:rsidR="00C21325">
        <w:rPr>
          <w:rFonts w:eastAsia="Arial"/>
        </w:rPr>
        <w:instrText xml:space="preserve"> ADDIN EN.CITE &lt;EndNote&gt;&lt;Cite&gt;&lt;Author&gt;Australian Institute of Health and Welfare&lt;/Author&gt;&lt;Year&gt;2016&lt;/Year&gt;&lt;RecNum&gt;1085&lt;/RecNum&gt;&lt;DisplayText&gt;&lt;style face="superscript"&gt;7&lt;/style&gt;&lt;/DisplayText&gt;&lt;record&gt;&lt;rec-number&gt;1085&lt;/rec-number&gt;&lt;foreign-keys&gt;&lt;key app="EN" db-id="zxa00wf2opvf9oeeset50xz7ezpfwre2v20z"&gt;1085&lt;/key&gt;&lt;/foreign-keys&gt;&lt;ref-type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2011-Summary report. Australian Burden of Disease Study series no. 4. BOD 5.&lt;/title&gt;&lt;/titles&gt;&lt;dates&gt;&lt;year&gt;2016&lt;/year&gt;&lt;/dates&gt;&lt;pub-location&gt;Canberra&lt;/pub-location&gt;&lt;publisher&gt;AIHW&lt;/publisher&gt;&lt;urls&gt;&lt;related-urls&gt;&lt;url&gt;http://www.aihw.gov.au/publication-detail/?id=60129556205&lt;/url&gt;&lt;/related-urls&gt;&lt;/urls&gt;&lt;/record&gt;&lt;/Cite&gt;&lt;/EndNote&gt;</w:instrText>
      </w:r>
      <w:r w:rsidR="002F37C4" w:rsidRPr="00950182">
        <w:rPr>
          <w:rFonts w:eastAsia="Arial"/>
        </w:rPr>
        <w:fldChar w:fldCharType="separate"/>
      </w:r>
      <w:r w:rsidR="00C21325" w:rsidRPr="00C21325">
        <w:rPr>
          <w:rFonts w:eastAsia="Arial"/>
          <w:noProof/>
          <w:vertAlign w:val="superscript"/>
        </w:rPr>
        <w:t>7</w:t>
      </w:r>
      <w:r w:rsidR="002F37C4" w:rsidRPr="00950182">
        <w:rPr>
          <w:rFonts w:eastAsia="Arial"/>
        </w:rPr>
        <w:fldChar w:fldCharType="end"/>
      </w:r>
      <w:r w:rsidR="00181A10">
        <w:rPr>
          <w:rFonts w:eastAsia="Arial"/>
        </w:rPr>
        <w:t xml:space="preserve"> </w:t>
      </w:r>
      <w:r w:rsidR="00950182" w:rsidRPr="00950182">
        <w:rPr>
          <w:rFonts w:eastAsia="Arial"/>
        </w:rPr>
        <w:t>Compared</w:t>
      </w:r>
      <w:r w:rsidR="00907CF6" w:rsidRPr="00950182">
        <w:rPr>
          <w:rFonts w:eastAsia="Arial"/>
        </w:rPr>
        <w:t xml:space="preserve"> with other disease groups, </w:t>
      </w:r>
      <w:r w:rsidR="005B69A2" w:rsidRPr="00950182">
        <w:rPr>
          <w:rFonts w:eastAsia="Arial"/>
        </w:rPr>
        <w:t xml:space="preserve">injuries </w:t>
      </w:r>
      <w:r w:rsidR="00A609C2" w:rsidRPr="00950182">
        <w:rPr>
          <w:rFonts w:eastAsia="Arial"/>
        </w:rPr>
        <w:t xml:space="preserve">(including self-harm and suicide) </w:t>
      </w:r>
      <w:r w:rsidR="005B69A2" w:rsidRPr="00950182">
        <w:rPr>
          <w:rFonts w:eastAsia="Arial"/>
        </w:rPr>
        <w:t>caused the fifth largest burden of disease in Australia.</w:t>
      </w:r>
      <w:r w:rsidR="00C56F4D" w:rsidRPr="00950182">
        <w:rPr>
          <w:rFonts w:eastAsia="Arial"/>
        </w:rPr>
        <w:fldChar w:fldCharType="begin"/>
      </w:r>
      <w:r w:rsidR="00C56F4D" w:rsidRPr="00950182">
        <w:rPr>
          <w:rFonts w:eastAsia="Arial"/>
        </w:rPr>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C56F4D" w:rsidRPr="00950182">
        <w:rPr>
          <w:rFonts w:eastAsia="Arial"/>
        </w:rPr>
        <w:fldChar w:fldCharType="separate"/>
      </w:r>
      <w:r w:rsidR="00C56F4D" w:rsidRPr="00950182">
        <w:rPr>
          <w:rFonts w:eastAsia="Arial"/>
          <w:noProof/>
          <w:vertAlign w:val="superscript"/>
        </w:rPr>
        <w:t>2</w:t>
      </w:r>
      <w:r w:rsidR="00C56F4D" w:rsidRPr="00950182">
        <w:rPr>
          <w:rFonts w:eastAsia="Arial"/>
        </w:rPr>
        <w:fldChar w:fldCharType="end"/>
      </w:r>
      <w:r w:rsidR="00C56F4D">
        <w:rPr>
          <w:rFonts w:eastAsia="Arial"/>
        </w:rPr>
        <w:t xml:space="preserve"> </w:t>
      </w:r>
    </w:p>
    <w:p w:rsidR="00EC21EA" w:rsidRDefault="00EC21EA" w:rsidP="009B7C94">
      <w:pPr>
        <w:rPr>
          <w:rFonts w:eastAsia="Arial"/>
        </w:rPr>
      </w:pPr>
    </w:p>
    <w:p w:rsidR="006B20AA" w:rsidRPr="00BD470B" w:rsidRDefault="006B20AA" w:rsidP="006B20AA">
      <w:pPr>
        <w:rPr>
          <w:rFonts w:eastAsia="Arial"/>
          <w:color w:val="000000" w:themeColor="text1"/>
        </w:rPr>
      </w:pPr>
      <w:r>
        <w:rPr>
          <w:rFonts w:eastAsia="Arial"/>
          <w:color w:val="000000" w:themeColor="text1"/>
        </w:rPr>
        <w:t>L</w:t>
      </w:r>
      <w:r w:rsidRPr="00771BA0">
        <w:rPr>
          <w:rFonts w:eastAsia="Arial"/>
          <w:color w:val="000000" w:themeColor="text1"/>
        </w:rPr>
        <w:t xml:space="preserve">iving with a disability, </w:t>
      </w:r>
      <w:r w:rsidR="00F3095E">
        <w:rPr>
          <w:rFonts w:eastAsia="Arial"/>
          <w:color w:val="000000" w:themeColor="text1"/>
        </w:rPr>
        <w:t>with</w:t>
      </w:r>
      <w:r w:rsidR="001F60B7">
        <w:rPr>
          <w:rFonts w:eastAsia="Arial"/>
          <w:color w:val="000000" w:themeColor="text1"/>
        </w:rPr>
        <w:t xml:space="preserve"> a</w:t>
      </w:r>
      <w:r w:rsidRPr="00771BA0">
        <w:rPr>
          <w:rFonts w:eastAsia="Arial"/>
          <w:color w:val="000000" w:themeColor="text1"/>
        </w:rPr>
        <w:t xml:space="preserve"> greater </w:t>
      </w:r>
      <w:r w:rsidR="001F60B7">
        <w:rPr>
          <w:rFonts w:eastAsia="Arial"/>
          <w:color w:val="000000" w:themeColor="text1"/>
        </w:rPr>
        <w:t>degree</w:t>
      </w:r>
      <w:r w:rsidRPr="00771BA0">
        <w:rPr>
          <w:rFonts w:eastAsia="Arial"/>
          <w:color w:val="000000" w:themeColor="text1"/>
        </w:rPr>
        <w:t xml:space="preserve"> of socioeconomic disadvantage, and </w:t>
      </w:r>
      <w:r w:rsidR="00CA6ACB">
        <w:rPr>
          <w:rFonts w:eastAsia="Arial"/>
          <w:color w:val="000000" w:themeColor="text1"/>
        </w:rPr>
        <w:t xml:space="preserve">dwelling </w:t>
      </w:r>
      <w:r w:rsidRPr="00771BA0">
        <w:rPr>
          <w:rFonts w:eastAsia="Arial"/>
          <w:color w:val="000000" w:themeColor="text1"/>
        </w:rPr>
        <w:t>outside metropolitan ar</w:t>
      </w:r>
      <w:r w:rsidR="00CD42BB">
        <w:rPr>
          <w:rFonts w:eastAsia="Arial"/>
          <w:color w:val="000000" w:themeColor="text1"/>
        </w:rPr>
        <w:t xml:space="preserve">eas are factors which increase the likelihood of exposure to risk factors for </w:t>
      </w:r>
      <w:r w:rsidRPr="00771BA0">
        <w:rPr>
          <w:rFonts w:eastAsia="Arial"/>
          <w:color w:val="000000" w:themeColor="text1"/>
        </w:rPr>
        <w:t>chronic disease</w:t>
      </w:r>
      <w:r>
        <w:rPr>
          <w:rFonts w:eastAsia="Arial"/>
          <w:color w:val="000000" w:themeColor="text1"/>
        </w:rPr>
        <w:t>.</w:t>
      </w:r>
      <w:r>
        <w:fldChar w:fldCharType="begin"/>
      </w:r>
      <w:r w:rsidR="00C21325">
        <w:instrText xml:space="preserve"> ADDIN EN.CITE &lt;EndNote&gt;&lt;Cite&gt;&lt;Author&gt;Australian Bureau of Statistics&lt;/Author&gt;&lt;Year&gt;2015&lt;/Year&gt;&lt;RecNum&gt;36&lt;/RecNum&gt;&lt;DisplayText&gt;&lt;style face="superscript"&gt;8&lt;/style&gt;&lt;/DisplayText&gt;&lt;record&gt;&lt;rec-number&gt;36&lt;/rec-number&gt;&lt;foreign-keys&gt;&lt;key app="EN" db-id="zxa00wf2opvf9oeeset50xz7ezpfwre2v20z"&gt;36&lt;/key&gt;&lt;/foreign-keys&gt;&lt;ref-type name="Generic"&gt;13&lt;/ref-type&gt;&lt;contributors&gt;&lt;authors&gt;&lt;author&gt;Australian Bureau of Statistics,&lt;/author&gt;&lt;/authors&gt;&lt;/contributors&gt;&lt;titles&gt;&lt;title&gt;4364.0.55.001 - National Health Survey: first results, 2014-2015 - Australia&lt;/title&gt;&lt;/titles&gt;&lt;dates&gt;&lt;year&gt;2015&lt;/year&gt;&lt;/dates&gt;&lt;pub-location&gt;Canberra&lt;/pub-location&gt;&lt;publisher&gt;Australian Bureau of Statistics&lt;/publisher&gt;&lt;urls&gt;&lt;related-urls&gt;&lt;url&gt;http://www.abs.gov.au/AUSSTATS/abs@.nsf/DetailsPage/4364.0.55.0012014-15?OpenDocument&lt;/url&gt;&lt;/related-urls&gt;&lt;/urls&gt;&lt;/record&gt;&lt;/Cite&gt;&lt;/EndNote&gt;</w:instrText>
      </w:r>
      <w:r>
        <w:fldChar w:fldCharType="separate"/>
      </w:r>
      <w:r w:rsidR="00C21325" w:rsidRPr="00C21325">
        <w:rPr>
          <w:noProof/>
          <w:vertAlign w:val="superscript"/>
        </w:rPr>
        <w:t>8</w:t>
      </w:r>
      <w:r>
        <w:fldChar w:fldCharType="end"/>
      </w:r>
      <w:r>
        <w:rPr>
          <w:rFonts w:eastAsia="Arial"/>
          <w:color w:val="000000" w:themeColor="text1"/>
        </w:rPr>
        <w:t xml:space="preserve"> </w:t>
      </w:r>
      <w:r w:rsidR="00CA6ACB">
        <w:rPr>
          <w:rFonts w:eastAsia="Arial"/>
          <w:color w:val="000000" w:themeColor="text1"/>
        </w:rPr>
        <w:t>Aboriginal people</w:t>
      </w:r>
      <w:r w:rsidR="009F7E7C">
        <w:rPr>
          <w:rFonts w:eastAsia="Arial"/>
          <w:color w:val="000000" w:themeColor="text1"/>
        </w:rPr>
        <w:fldChar w:fldCharType="begin"/>
      </w:r>
      <w:r w:rsidR="00C21325">
        <w:rPr>
          <w:rFonts w:eastAsia="Arial"/>
          <w:color w:val="000000" w:themeColor="text1"/>
        </w:rPr>
        <w:instrText xml:space="preserve"> ADDIN EN.CITE &lt;EndNote&gt;&lt;Cite&gt;&lt;Author&gt;Australian Bureau of Statistics&lt;/Author&gt;&lt;Year&gt;2013&lt;/Year&gt;&lt;RecNum&gt;31&lt;/RecNum&gt;&lt;DisplayText&gt;&lt;style face="superscript"&gt;9&lt;/style&gt;&lt;/DisplayText&gt;&lt;record&gt;&lt;rec-number&gt;31&lt;/rec-number&gt;&lt;foreign-keys&gt;&lt;key app="EN" db-id="zxa00wf2opvf9oeeset50xz7ezpfwre2v20z"&gt;31&lt;/key&gt;&lt;/foreign-keys&gt;&lt;ref-type name="Generic"&gt;13&lt;/ref-type&gt;&lt;contributors&gt;&lt;authors&gt;&lt;author&gt;Australian Bureau of Statistics,&lt;/author&gt;&lt;/authors&gt;&lt;/contributors&gt;&lt;titles&gt;&lt;title&gt;Australian Aboriginal and Torres Strait Islander Health Survey: First results, Australia, 2012-13&lt;/title&gt;&lt;/titles&gt;&lt;dates&gt;&lt;year&gt;2013&lt;/year&gt;&lt;/dates&gt;&lt;pub-location&gt;Canberra, Australia&lt;/pub-location&gt;&lt;publisher&gt;ABS&lt;/publisher&gt;&lt;urls&gt;&lt;related-urls&gt;&lt;url&gt;http://www.abs.gov.au/ausstats/abs@.nsf/mf/4727.0.55.001&lt;/url&gt;&lt;/related-urls&gt;&lt;/urls&gt;&lt;/record&gt;&lt;/Cite&gt;&lt;/EndNote&gt;</w:instrText>
      </w:r>
      <w:r w:rsidR="009F7E7C">
        <w:rPr>
          <w:rFonts w:eastAsia="Arial"/>
          <w:color w:val="000000" w:themeColor="text1"/>
        </w:rPr>
        <w:fldChar w:fldCharType="separate"/>
      </w:r>
      <w:r w:rsidR="00C21325" w:rsidRPr="00C21325">
        <w:rPr>
          <w:rFonts w:eastAsia="Arial"/>
          <w:noProof/>
          <w:color w:val="000000" w:themeColor="text1"/>
          <w:vertAlign w:val="superscript"/>
        </w:rPr>
        <w:t>9</w:t>
      </w:r>
      <w:r w:rsidR="009F7E7C">
        <w:rPr>
          <w:rFonts w:eastAsia="Arial"/>
          <w:color w:val="000000" w:themeColor="text1"/>
        </w:rPr>
        <w:fldChar w:fldCharType="end"/>
      </w:r>
      <w:r w:rsidR="00CA6ACB">
        <w:rPr>
          <w:rFonts w:eastAsia="Arial"/>
          <w:color w:val="000000" w:themeColor="text1"/>
        </w:rPr>
        <w:t xml:space="preserve"> and s</w:t>
      </w:r>
      <w:r w:rsidRPr="005842B2">
        <w:rPr>
          <w:rFonts w:eastAsia="Arial"/>
          <w:spacing w:val="-4"/>
        </w:rPr>
        <w:t>ome culturally and linguistically-diverse</w:t>
      </w:r>
      <w:r w:rsidR="0083290C">
        <w:rPr>
          <w:rFonts w:eastAsia="Arial"/>
          <w:spacing w:val="-4"/>
        </w:rPr>
        <w:t xml:space="preserve"> (CaLD) </w:t>
      </w:r>
      <w:r w:rsidRPr="005842B2">
        <w:rPr>
          <w:rFonts w:eastAsia="Arial"/>
          <w:spacing w:val="-4"/>
        </w:rPr>
        <w:t>communities also have a higher prevale</w:t>
      </w:r>
      <w:r>
        <w:rPr>
          <w:rFonts w:eastAsia="Arial"/>
          <w:spacing w:val="-4"/>
        </w:rPr>
        <w:t>nce of risk factors for disease</w:t>
      </w:r>
      <w:r w:rsidRPr="005842B2">
        <w:rPr>
          <w:rFonts w:eastAsia="Arial"/>
          <w:spacing w:val="-4"/>
        </w:rPr>
        <w:t>.</w:t>
      </w:r>
      <w:r>
        <w:rPr>
          <w:rFonts w:eastAsia="Arial"/>
          <w:spacing w:val="-4"/>
        </w:rPr>
        <w:fldChar w:fldCharType="begin"/>
      </w:r>
      <w:r w:rsidR="00C21325">
        <w:rPr>
          <w:rFonts w:eastAsia="Arial"/>
          <w:spacing w:val="-4"/>
        </w:rPr>
        <w:instrText xml:space="preserve"> ADDIN EN.CITE &lt;EndNote&gt;&lt;Cite&gt;&lt;Author&gt;National Health and Medical Research Council&lt;/Author&gt;&lt;Year&gt;2006&lt;/Year&gt;&lt;RecNum&gt;980&lt;/RecNum&gt;&lt;DisplayText&gt;&lt;style face="superscript"&gt;10&lt;/style&gt;&lt;/DisplayText&gt;&lt;record&gt;&lt;rec-number&gt;980&lt;/rec-number&gt;&lt;foreign-keys&gt;&lt;key app="EN" db-id="zxa00wf2opvf9oeeset50xz7ezpfwre2v20z"&gt;980&lt;/key&gt;&lt;/foreign-keys&gt;&lt;ref-type name="Report"&gt;27&lt;/ref-type&gt;&lt;contributors&gt;&lt;authors&gt;&lt;author&gt;National Health and Medical Research Council,&lt;/author&gt;&lt;/authors&gt;&lt;/contributors&gt;&lt;titles&gt;&lt;title&gt;Cultural competency in health: a guide for policy, partnerships and participation&lt;/title&gt;&lt;/titles&gt;&lt;dates&gt;&lt;year&gt;2006&lt;/year&gt;&lt;/dates&gt;&lt;pub-location&gt;Canberra&lt;/pub-location&gt;&lt;publisher&gt;National Health and Medical Research Council&lt;/publisher&gt;&lt;urls&gt;&lt;related-urls&gt;&lt;url&gt;http://www.nhmrc.gov.au/guidelines-publications/hp19-hp26&lt;/url&gt;&lt;/related-urls&gt;&lt;/urls&gt;&lt;/record&gt;&lt;/Cite&gt;&lt;/EndNote&gt;</w:instrText>
      </w:r>
      <w:r>
        <w:rPr>
          <w:rFonts w:eastAsia="Arial"/>
          <w:spacing w:val="-4"/>
        </w:rPr>
        <w:fldChar w:fldCharType="separate"/>
      </w:r>
      <w:r w:rsidR="00C21325" w:rsidRPr="00C21325">
        <w:rPr>
          <w:rFonts w:eastAsia="Arial"/>
          <w:noProof/>
          <w:spacing w:val="-4"/>
          <w:vertAlign w:val="superscript"/>
        </w:rPr>
        <w:t>10</w:t>
      </w:r>
      <w:r>
        <w:rPr>
          <w:rFonts w:eastAsia="Arial"/>
          <w:spacing w:val="-4"/>
        </w:rPr>
        <w:fldChar w:fldCharType="end"/>
      </w:r>
    </w:p>
    <w:p w:rsidR="006B20AA" w:rsidRDefault="006B20AA" w:rsidP="009B7C94">
      <w:pPr>
        <w:rPr>
          <w:rFonts w:eastAsia="Arial"/>
          <w:noProof/>
          <w:lang w:val="en-AU" w:eastAsia="en-AU"/>
        </w:rPr>
      </w:pPr>
    </w:p>
    <w:p w:rsidR="009B7C94" w:rsidRDefault="009B7C94" w:rsidP="009B7C94">
      <w:r>
        <w:t>The gap in l</w:t>
      </w:r>
      <w:r w:rsidRPr="000E6460">
        <w:t>ife expectancy</w:t>
      </w:r>
      <w:r>
        <w:t xml:space="preserve"> for Aboriginal men and women compared with the State average</w:t>
      </w:r>
      <w:r w:rsidR="00D64B2A">
        <w:t xml:space="preserve"> life expectancy </w:t>
      </w:r>
      <w:r>
        <w:t xml:space="preserve">is </w:t>
      </w:r>
      <w:r w:rsidRPr="000E6460">
        <w:t xml:space="preserve">largely due to </w:t>
      </w:r>
      <w:r>
        <w:t xml:space="preserve">injury and earlier onset of </w:t>
      </w:r>
      <w:r w:rsidRPr="000E6460">
        <w:t>chronic disease.</w:t>
      </w:r>
      <w:r>
        <w:fldChar w:fldCharType="begin"/>
      </w:r>
      <w:r w:rsidR="00C21325">
        <w:instrText xml:space="preserve"> ADDIN EN.CITE &lt;EndNote&gt;&lt;Cite&gt;&lt;Author&gt;Australian Institute of Health and Welfare&lt;/Author&gt;&lt;Year&gt;2015&lt;/Year&gt;&lt;RecNum&gt;119&lt;/RecNum&gt;&lt;DisplayText&gt;&lt;style face="superscript"&gt;11&lt;/style&gt;&lt;/DisplayText&gt;&lt;record&gt;&lt;rec-number&gt;119&lt;/rec-number&gt;&lt;foreign-keys&gt;&lt;key app="EN" db-id="zxa00wf2opvf9oeeset50xz7ezpfwre2v20z"&gt;119&lt;/key&gt;&lt;/foreign-keys&gt;&lt;ref-type name="Report"&gt;27&lt;/ref-type&gt;&lt;contributors&gt;&lt;authors&gt;&lt;author&gt;Australian Institute of Health and Welfare,&lt;/author&gt;&lt;/authors&gt;&lt;/contributors&gt;&lt;titles&gt;&lt;title&gt;Aboriginal and Torres Strait Islander Health Performance Framework&lt;/title&gt;&lt;/titles&gt;&lt;dates&gt;&lt;year&gt;2015&lt;/year&gt;&lt;/dates&gt;&lt;pub-location&gt;Canberra&lt;/pub-location&gt;&lt;publisher&gt;Australian Institute of Health and Welfare&lt;/publisher&gt;&lt;urls&gt;&lt;related-urls&gt;&lt;url&gt;http://www.health.gov.au/indigenous-hpf&lt;/url&gt;&lt;/related-urls&gt;&lt;/urls&gt;&lt;/record&gt;&lt;/Cite&gt;&lt;/EndNote&gt;</w:instrText>
      </w:r>
      <w:r>
        <w:fldChar w:fldCharType="separate"/>
      </w:r>
      <w:r w:rsidR="00C21325" w:rsidRPr="00C21325">
        <w:rPr>
          <w:noProof/>
          <w:vertAlign w:val="superscript"/>
        </w:rPr>
        <w:t>11</w:t>
      </w:r>
      <w:r>
        <w:fldChar w:fldCharType="end"/>
      </w:r>
    </w:p>
    <w:p w:rsidR="004E5AB2" w:rsidRDefault="004E5AB2" w:rsidP="004E5AB2">
      <w:r>
        <w:t>People experiencing mental health problems also often have poorer physical health outcomes than other people.</w:t>
      </w:r>
      <w:r>
        <w:fldChar w:fldCharType="begin"/>
      </w:r>
      <w:r w:rsidR="00C21325">
        <w:instrText xml:space="preserve"> ADDIN EN.CITE &lt;EndNote&gt;&lt;Cite ExcludeYear="1"&gt;&lt;Author&gt;Mental health Commission&lt;/Author&gt;&lt;RecNum&gt;1087&lt;/RecNum&gt;&lt;DisplayText&gt;&lt;style face="superscript"&gt;12&lt;/style&gt;&lt;/DisplayText&gt;&lt;record&gt;&lt;rec-number&gt;1087&lt;/rec-number&gt;&lt;foreign-keys&gt;&lt;key app="EN" db-id="zxa00wf2opvf9oeeset50xz7ezpfwre2v20z"&gt;1087&lt;/key&gt;&lt;/foreign-keys&gt;&lt;ref-type name="Report"&gt;27&lt;/ref-type&gt;&lt;contributors&gt;&lt;authors&gt;&lt;author&gt;Mental health Commission,&lt;/author&gt;&lt;author&gt;Western Australia,&lt;/author&gt;&lt;/authors&gt;&lt;/contributors&gt;&lt;titles&gt;&lt;title&gt;Mental health 2020: making it personal and everybody&amp;apos;s business&lt;/title&gt;&lt;/titles&gt;&lt;dates&gt;&lt;/dates&gt;&lt;pub-location&gt;Perth&lt;/pub-location&gt;&lt;publisher&gt;Mental Health Commission, Western Australia&lt;/publisher&gt;&lt;urls&gt;&lt;related-urls&gt;&lt;url&gt;http://www.mentalhealth.wa.gov.au/Libraries/pdf_docs/Mental_Health_Commission_strategic_plan_2020.sflb.ashx&lt;/url&gt;&lt;/related-urls&gt;&lt;/urls&gt;&lt;/record&gt;&lt;/Cite&gt;&lt;/EndNote&gt;</w:instrText>
      </w:r>
      <w:r>
        <w:fldChar w:fldCharType="separate"/>
      </w:r>
      <w:r w:rsidR="00C21325" w:rsidRPr="00C21325">
        <w:rPr>
          <w:noProof/>
          <w:vertAlign w:val="superscript"/>
        </w:rPr>
        <w:t>12</w:t>
      </w:r>
      <w:r>
        <w:fldChar w:fldCharType="end"/>
      </w:r>
      <w:r w:rsidR="00181A10">
        <w:t xml:space="preserve"> </w:t>
      </w:r>
      <w:r>
        <w:t xml:space="preserve">It has </w:t>
      </w:r>
      <w:r w:rsidR="00950182">
        <w:t xml:space="preserve">been </w:t>
      </w:r>
      <w:r>
        <w:t xml:space="preserve">estimated that </w:t>
      </w:r>
      <w:r w:rsidR="009B1EF4">
        <w:t>from</w:t>
      </w:r>
      <w:r>
        <w:t xml:space="preserve"> 1985–2005 in WA, the gap in life expectancy for psychiatric patients compared with the total WA population increased from 14 years to 16 years for males, and from 10 years to 12 years for females. Seventy-eight per cent of excess deaths were due to physical health </w:t>
      </w:r>
      <w:r>
        <w:lastRenderedPageBreak/>
        <w:t>conditions, including cardiovascular disease and cancers.</w:t>
      </w:r>
      <w:r>
        <w:fldChar w:fldCharType="begin"/>
      </w:r>
      <w:r w:rsidR="00C21325">
        <w:instrText xml:space="preserve"> ADDIN EN.CITE &lt;EndNote&gt;&lt;Cite&gt;&lt;Author&gt;Lawrence&lt;/Author&gt;&lt;Year&gt;2013&lt;/Year&gt;&lt;RecNum&gt;1090&lt;/RecNum&gt;&lt;DisplayText&gt;&lt;style face="superscript"&gt;13&lt;/style&gt;&lt;/DisplayText&gt;&lt;record&gt;&lt;rec-number&gt;1090&lt;/rec-number&gt;&lt;foreign-keys&gt;&lt;key app="EN" db-id="zxa00wf2opvf9oeeset50xz7ezpfwre2v20z"&gt;1090&lt;/key&gt;&lt;/foreign-keys&gt;&lt;ref-type name="Journal Article"&gt;17&lt;/ref-type&gt;&lt;contributors&gt;&lt;authors&gt;&lt;author&gt;Lawrence, D&lt;/author&gt;&lt;author&gt;Hancock, KJ&lt;/author&gt;&lt;author&gt;Kisely, S&lt;/author&gt;&lt;/authors&gt;&lt;/contributors&gt;&lt;titles&gt;&lt;title&gt;The gap in life expectancy from preventable physical illness in psychiatric patients in Western Australia: retrospective analysis of population based registers&lt;/title&gt;&lt;secondary-title&gt;BMJ&lt;/secondary-title&gt;&lt;/titles&gt;&lt;periodical&gt;&lt;full-title&gt;BMJ&lt;/full-title&gt;&lt;/periodical&gt;&lt;volume&gt;346:f2539 doi: 10.1136/bmj.f2539&lt;/volume&gt;&lt;dates&gt;&lt;year&gt;2013&lt;/year&gt;&lt;/dates&gt;&lt;urls&gt;&lt;related-urls&gt;&lt;url&gt;http://www.bmj.com/content/346/bmj.f2539&lt;/url&gt;&lt;/related-urls&gt;&lt;/urls&gt;&lt;electronic-resource-num&gt;doi: 10.1136/bmj.f2539&lt;/electronic-resource-num&gt;&lt;/record&gt;&lt;/Cite&gt;&lt;/EndNote&gt;</w:instrText>
      </w:r>
      <w:r>
        <w:fldChar w:fldCharType="separate"/>
      </w:r>
      <w:r w:rsidR="00C21325" w:rsidRPr="00C21325">
        <w:rPr>
          <w:noProof/>
          <w:vertAlign w:val="superscript"/>
        </w:rPr>
        <w:t>13</w:t>
      </w:r>
      <w:r>
        <w:fldChar w:fldCharType="end"/>
      </w:r>
    </w:p>
    <w:p w:rsidR="009B7C94" w:rsidRDefault="009B7C94" w:rsidP="009B7C94">
      <w:pPr>
        <w:rPr>
          <w:b/>
          <w:color w:val="31849B" w:themeColor="accent5" w:themeShade="BF"/>
        </w:rPr>
      </w:pPr>
    </w:p>
    <w:p w:rsidR="009B7C94" w:rsidRDefault="009B7C94" w:rsidP="009B7C94">
      <w:pPr>
        <w:rPr>
          <w:rFonts w:eastAsia="Arial"/>
        </w:rPr>
      </w:pPr>
      <w:r>
        <w:rPr>
          <w:rFonts w:eastAsia="Arial"/>
        </w:rPr>
        <w:t>In coming decades, strong population growth, increased longevity and a higher proportion of older adults in WA will translate to a greater burden of chronic disease and injury, with higher economic costs and increased strain on the healthcare system.</w:t>
      </w:r>
    </w:p>
    <w:p w:rsidR="009B7C94" w:rsidRDefault="009B7C94" w:rsidP="009B7C94">
      <w:pPr>
        <w:rPr>
          <w:b/>
          <w:color w:val="31849B" w:themeColor="accent5" w:themeShade="BF"/>
        </w:rPr>
      </w:pPr>
    </w:p>
    <w:p w:rsidR="009B7C94" w:rsidRDefault="009B7C94" w:rsidP="009B7C94">
      <w:pPr>
        <w:rPr>
          <w:rFonts w:eastAsia="Arial"/>
        </w:rPr>
      </w:pPr>
      <w:r>
        <w:rPr>
          <w:rFonts w:eastAsia="Arial"/>
        </w:rPr>
        <w:t xml:space="preserve">The </w:t>
      </w:r>
      <w:r w:rsidRPr="0057254B">
        <w:rPr>
          <w:rFonts w:eastAsia="Arial"/>
        </w:rPr>
        <w:t>hospital</w:t>
      </w:r>
      <w:r>
        <w:rPr>
          <w:rFonts w:eastAsia="Arial"/>
        </w:rPr>
        <w:t xml:space="preserve"> </w:t>
      </w:r>
      <w:r w:rsidRPr="0057254B">
        <w:rPr>
          <w:rFonts w:eastAsia="Arial"/>
        </w:rPr>
        <w:t xml:space="preserve">costs </w:t>
      </w:r>
      <w:r>
        <w:rPr>
          <w:rFonts w:eastAsia="Arial"/>
        </w:rPr>
        <w:t>in 2013 attributable to</w:t>
      </w:r>
      <w:r w:rsidRPr="0057254B">
        <w:rPr>
          <w:rFonts w:eastAsia="Arial"/>
        </w:rPr>
        <w:t xml:space="preserve"> chronic disease </w:t>
      </w:r>
      <w:r>
        <w:rPr>
          <w:rFonts w:eastAsia="Arial"/>
        </w:rPr>
        <w:t xml:space="preserve">exceeded $715 million in WA. </w:t>
      </w:r>
      <w:r w:rsidR="00B15058">
        <w:rPr>
          <w:rFonts w:eastAsia="Arial"/>
        </w:rPr>
        <w:t>In</w:t>
      </w:r>
      <w:r>
        <w:rPr>
          <w:rFonts w:eastAsia="Arial"/>
        </w:rPr>
        <w:t xml:space="preserve"> the same year, hospital costs in WA </w:t>
      </w:r>
      <w:r w:rsidR="00B15058">
        <w:rPr>
          <w:rFonts w:eastAsia="Arial"/>
        </w:rPr>
        <w:t xml:space="preserve">for injury </w:t>
      </w:r>
      <w:r>
        <w:rPr>
          <w:rFonts w:eastAsia="Arial"/>
        </w:rPr>
        <w:t>were just short of $350 million.</w:t>
      </w:r>
      <w:r>
        <w:rPr>
          <w:rFonts w:eastAsia="Arial"/>
        </w:rPr>
        <w:fldChar w:fldCharType="begin"/>
      </w:r>
      <w:r w:rsidR="00C21325">
        <w:rPr>
          <w:rFonts w:eastAsia="Arial"/>
        </w:rPr>
        <w:instrText xml:space="preserve"> ADDIN EN.CITE &lt;EndNote&gt;&lt;Cite&gt;&lt;Author&gt;Epidemiology Branch&lt;/Author&gt;&lt;Year&gt;2016&lt;/Year&gt;&lt;RecNum&gt;982&lt;/RecNum&gt;&lt;DisplayText&gt;&lt;style face="superscript"&gt;14&lt;/style&gt;&lt;/DisplayText&gt;&lt;record&gt;&lt;rec-number&gt;982&lt;/rec-number&gt;&lt;foreign-keys&gt;&lt;key app="EN" db-id="zxa00wf2opvf9oeeset50xz7ezpfwre2v20z"&gt;982&lt;/key&gt;&lt;/foreign-keys&gt;&lt;ref-type name="Report"&gt;27&lt;/ref-type&gt;&lt;contributors&gt;&lt;authors&gt;&lt;author&gt;Epidemiology Branch,&lt;/author&gt;&lt;/authors&gt;&lt;/contributors&gt;&lt;titles&gt;&lt;title&gt;Costs and cost projections for injury and chronic disease hospitalisations, HMDS&lt;/title&gt;&lt;/titles&gt;&lt;dates&gt;&lt;year&gt;2016&lt;/year&gt;&lt;/dates&gt;&lt;pub-location&gt;Perth&lt;/pub-location&gt;&lt;publisher&gt;Department of Health, Western Australia&lt;/publisher&gt;&lt;urls&gt;&lt;/urls&gt;&lt;/record&gt;&lt;/Cite&gt;&lt;/EndNote&gt;</w:instrText>
      </w:r>
      <w:r>
        <w:rPr>
          <w:rFonts w:eastAsia="Arial"/>
        </w:rPr>
        <w:fldChar w:fldCharType="separate"/>
      </w:r>
      <w:r w:rsidR="00C21325" w:rsidRPr="00C21325">
        <w:rPr>
          <w:rFonts w:eastAsia="Arial"/>
          <w:noProof/>
          <w:vertAlign w:val="superscript"/>
        </w:rPr>
        <w:t>14</w:t>
      </w:r>
      <w:r>
        <w:rPr>
          <w:rFonts w:eastAsia="Arial"/>
        </w:rPr>
        <w:fldChar w:fldCharType="end"/>
      </w:r>
    </w:p>
    <w:p w:rsidR="009B7C94" w:rsidRDefault="009B7C94" w:rsidP="009B7C94">
      <w:pPr>
        <w:rPr>
          <w:b/>
          <w:color w:val="31849B" w:themeColor="accent5" w:themeShade="BF"/>
        </w:rPr>
      </w:pPr>
    </w:p>
    <w:p w:rsidR="009B7C94" w:rsidRPr="00AA4EC7" w:rsidRDefault="009B7C94" w:rsidP="009B7C94">
      <w:pPr>
        <w:rPr>
          <w:rFonts w:eastAsia="Arial"/>
        </w:rPr>
      </w:pPr>
      <w:r>
        <w:rPr>
          <w:rFonts w:eastAsia="Arial"/>
        </w:rPr>
        <w:t>There is good evidence that prevention offers cost-effective ways to improve health outcomes in Australia.</w:t>
      </w:r>
      <w:r>
        <w:rPr>
          <w:rFonts w:eastAsia="Arial"/>
        </w:rPr>
        <w:fldChar w:fldCharType="begin"/>
      </w:r>
      <w:r w:rsidR="00C21325">
        <w:rPr>
          <w:rFonts w:eastAsia="Arial"/>
        </w:rPr>
        <w:instrText xml:space="preserve"> ADDIN EN.CITE &lt;EndNote&gt;&lt;Cite&gt;&lt;Author&gt;Vos T&lt;/Author&gt;&lt;Year&gt;2010&lt;/Year&gt;&lt;RecNum&gt;898&lt;/RecNum&gt;&lt;DisplayText&gt;&lt;style face="superscript"&gt;15&lt;/style&gt;&lt;/DisplayText&gt;&lt;record&gt;&lt;rec-number&gt;898&lt;/rec-number&gt;&lt;foreign-keys&gt;&lt;key app="EN" db-id="zxa00wf2opvf9oeeset50xz7ezpfwre2v20z"&gt;898&lt;/key&gt;&lt;/foreign-keys&gt;&lt;ref-type name="Report"&gt;27&lt;/ref-type&gt;&lt;contributors&gt;&lt;authors&gt;&lt;author&gt;Vos T, &lt;/author&gt;&lt;author&gt;Carter R,&lt;/author&gt;&lt;author&gt;Barendregt J, &lt;/author&gt;&lt;author&gt;Mihalopoulos C, &lt;/author&gt;&lt;author&gt;Veerman JL,&lt;/author&gt;&lt;author&gt;Magnus A, &lt;/author&gt;&lt;author&gt;Cobiac L, &lt;/author&gt;&lt;author&gt;Bertram MY,&lt;/author&gt;&lt;author&gt;Wallace AL, &lt;/author&gt;&lt;author&gt;ACE–Prevention Team,&lt;/author&gt;&lt;/authors&gt;&lt;/contributors&gt;&lt;titles&gt;&lt;title&gt;Assessing cost-effectiveness in prevention (ACE–Prevention): final report&lt;/title&gt;&lt;/titles&gt;&lt;dates&gt;&lt;year&gt;2010&lt;/year&gt;&lt;/dates&gt;&lt;publisher&gt;University of Queensland, Brisbane&lt;/publisher&gt;&lt;urls&gt;&lt;related-urls&gt;&lt;url&gt;http://public-health.uq.edu.au/filething/get/1836/ACE-Prevention_final_report.pdf&lt;/url&gt;&lt;/related-urls&gt;&lt;/urls&gt;&lt;/record&gt;&lt;/Cite&gt;&lt;/EndNote&gt;</w:instrText>
      </w:r>
      <w:r>
        <w:rPr>
          <w:rFonts w:eastAsia="Arial"/>
        </w:rPr>
        <w:fldChar w:fldCharType="separate"/>
      </w:r>
      <w:r w:rsidR="00C21325" w:rsidRPr="00C21325">
        <w:rPr>
          <w:rFonts w:eastAsia="Arial"/>
          <w:noProof/>
          <w:vertAlign w:val="superscript"/>
        </w:rPr>
        <w:t>15</w:t>
      </w:r>
      <w:r>
        <w:rPr>
          <w:rFonts w:eastAsia="Arial"/>
        </w:rPr>
        <w:fldChar w:fldCharType="end"/>
      </w:r>
    </w:p>
    <w:p w:rsidR="009B7C94" w:rsidRDefault="009B7C94" w:rsidP="009B7C94">
      <w:pPr>
        <w:rPr>
          <w:b/>
          <w:color w:val="31849B" w:themeColor="accent5" w:themeShade="BF"/>
        </w:rPr>
      </w:pPr>
    </w:p>
    <w:p w:rsidR="009B7C94" w:rsidRDefault="009B7C94" w:rsidP="009B7C94">
      <w:pPr>
        <w:rPr>
          <w:b/>
          <w:color w:val="31849B" w:themeColor="accent5" w:themeShade="BF"/>
        </w:rPr>
      </w:pPr>
      <w:r w:rsidRPr="008159A5">
        <w:rPr>
          <w:b/>
          <w:color w:val="808080" w:themeColor="background1" w:themeShade="80"/>
        </w:rPr>
        <w:t>A framework for action</w:t>
      </w:r>
    </w:p>
    <w:p w:rsidR="009B7C94" w:rsidRDefault="009B7C94" w:rsidP="009B7C94">
      <w:pPr>
        <w:rPr>
          <w:b/>
          <w:color w:val="31849B" w:themeColor="accent5" w:themeShade="BF"/>
        </w:rPr>
      </w:pPr>
    </w:p>
    <w:p w:rsidR="009B7C94" w:rsidRDefault="009B7C94" w:rsidP="009B7C94">
      <w:r>
        <w:t xml:space="preserve">The goal of the WA HPSF is to lower the incidence of avoidable chronic disease and injury in WA by </w:t>
      </w:r>
      <w:r w:rsidRPr="00C2221F">
        <w:t>facilitating improvements in health behaviours and environments</w:t>
      </w:r>
      <w:r>
        <w:t xml:space="preserve">. </w:t>
      </w:r>
    </w:p>
    <w:p w:rsidR="009B7C94" w:rsidRDefault="009B7C94" w:rsidP="009B7C94">
      <w:pPr>
        <w:rPr>
          <w:b/>
          <w:color w:val="31849B" w:themeColor="accent5" w:themeShade="BF"/>
        </w:rPr>
      </w:pPr>
    </w:p>
    <w:p w:rsidR="00646634" w:rsidRDefault="009B7C94" w:rsidP="00646634">
      <w:r w:rsidRPr="00F17E4F">
        <w:t xml:space="preserve">The priority areas for the WA HPSF are: </w:t>
      </w:r>
    </w:p>
    <w:p w:rsidR="00646634" w:rsidRDefault="00646634" w:rsidP="00646634"/>
    <w:p w:rsidR="009B7C94" w:rsidRPr="00F17E4F" w:rsidRDefault="00581EE2" w:rsidP="00CE2FEF">
      <w:pPr>
        <w:pStyle w:val="ListParagraph"/>
        <w:numPr>
          <w:ilvl w:val="0"/>
          <w:numId w:val="36"/>
        </w:numPr>
        <w:ind w:left="426"/>
      </w:pPr>
      <w:r>
        <w:t>healthy eating</w:t>
      </w:r>
    </w:p>
    <w:p w:rsidR="009B7C94" w:rsidRPr="00F17E4F" w:rsidRDefault="009B7C94" w:rsidP="00CE2FEF">
      <w:pPr>
        <w:pStyle w:val="ListParagraph"/>
        <w:numPr>
          <w:ilvl w:val="0"/>
          <w:numId w:val="36"/>
        </w:numPr>
        <w:ind w:left="426"/>
      </w:pPr>
      <w:r w:rsidRPr="00F17E4F">
        <w:t>a more active WA</w:t>
      </w:r>
    </w:p>
    <w:p w:rsidR="009B7C94" w:rsidRPr="00F17E4F" w:rsidRDefault="00F51F9A" w:rsidP="00CE2FEF">
      <w:pPr>
        <w:pStyle w:val="ListParagraph"/>
        <w:numPr>
          <w:ilvl w:val="0"/>
          <w:numId w:val="36"/>
        </w:numPr>
        <w:ind w:left="426"/>
      </w:pPr>
      <w:r>
        <w:t xml:space="preserve">curbing the rise in </w:t>
      </w:r>
      <w:r w:rsidR="009B7C94" w:rsidRPr="00F17E4F">
        <w:t>overweight and obesity</w:t>
      </w:r>
    </w:p>
    <w:p w:rsidR="009B7C94" w:rsidRPr="00F17E4F" w:rsidRDefault="009B7C94" w:rsidP="00CE2FEF">
      <w:pPr>
        <w:pStyle w:val="ListParagraph"/>
        <w:numPr>
          <w:ilvl w:val="0"/>
          <w:numId w:val="36"/>
        </w:numPr>
        <w:ind w:left="426"/>
      </w:pPr>
      <w:r w:rsidRPr="00F17E4F">
        <w:t>making smoking history</w:t>
      </w:r>
    </w:p>
    <w:p w:rsidR="009B7C94" w:rsidRPr="00F17E4F" w:rsidRDefault="009B7C94" w:rsidP="00CE2FEF">
      <w:pPr>
        <w:pStyle w:val="ListParagraph"/>
        <w:numPr>
          <w:ilvl w:val="0"/>
          <w:numId w:val="36"/>
        </w:numPr>
        <w:ind w:left="426"/>
      </w:pPr>
      <w:r w:rsidRPr="00F17E4F">
        <w:t xml:space="preserve">reducing harmful levels of alcohol use </w:t>
      </w:r>
    </w:p>
    <w:p w:rsidR="009B7C94" w:rsidRDefault="00853679" w:rsidP="00CE2FEF">
      <w:pPr>
        <w:pStyle w:val="ListParagraph"/>
        <w:numPr>
          <w:ilvl w:val="0"/>
          <w:numId w:val="36"/>
        </w:numPr>
        <w:ind w:left="426"/>
      </w:pPr>
      <w:r>
        <w:t>preventing injury</w:t>
      </w:r>
      <w:r w:rsidR="009B7C94" w:rsidRPr="00F17E4F">
        <w:t xml:space="preserve"> and promoting safer communities</w:t>
      </w:r>
    </w:p>
    <w:p w:rsidR="00646634" w:rsidRDefault="00646634" w:rsidP="009B7C94"/>
    <w:p w:rsidR="009B7C94" w:rsidRDefault="009B7C94" w:rsidP="009B7C94">
      <w:r>
        <w:t xml:space="preserve">The </w:t>
      </w:r>
      <w:r w:rsidR="00AD0DE8">
        <w:t xml:space="preserve">main </w:t>
      </w:r>
      <w:r>
        <w:t xml:space="preserve">target groups are the population </w:t>
      </w:r>
      <w:r w:rsidR="006B20AA">
        <w:t>of WA</w:t>
      </w:r>
      <w:r>
        <w:t xml:space="preserve"> </w:t>
      </w:r>
      <w:r w:rsidR="00F17E4F">
        <w:t>who are</w:t>
      </w:r>
      <w:r w:rsidRPr="00C2221F">
        <w:t xml:space="preserve"> currently well</w:t>
      </w:r>
      <w:r>
        <w:t xml:space="preserve">, and population groups with a higher risk of developing chronic disease or experiencing injury than the general population. </w:t>
      </w:r>
    </w:p>
    <w:p w:rsidR="009B7C94" w:rsidRDefault="009B7C94" w:rsidP="009B7C94"/>
    <w:p w:rsidR="009B7C94" w:rsidRDefault="009B7C94" w:rsidP="009B7C94">
      <w:r>
        <w:t>The WA HPSF is guided by four principles:</w:t>
      </w:r>
    </w:p>
    <w:p w:rsidR="009B7C94" w:rsidRDefault="009B7C94" w:rsidP="009B7C94"/>
    <w:p w:rsidR="009B7C94" w:rsidRDefault="009B7C94" w:rsidP="009252B1">
      <w:pPr>
        <w:pStyle w:val="ListParagraph"/>
        <w:numPr>
          <w:ilvl w:val="0"/>
          <w:numId w:val="28"/>
        </w:numPr>
        <w:ind w:left="567" w:hanging="567"/>
      </w:pPr>
      <w:r>
        <w:t>adopting a comprehensive whole-of-population approach</w:t>
      </w:r>
    </w:p>
    <w:p w:rsidR="009B7C94" w:rsidRDefault="009B7C94" w:rsidP="009252B1">
      <w:pPr>
        <w:pStyle w:val="ListParagraph"/>
        <w:numPr>
          <w:ilvl w:val="0"/>
          <w:numId w:val="28"/>
        </w:numPr>
        <w:ind w:left="567" w:hanging="567"/>
      </w:pPr>
      <w:r>
        <w:t>working in partnership and building capacity</w:t>
      </w:r>
    </w:p>
    <w:p w:rsidR="009B7C94" w:rsidRDefault="009B7C94" w:rsidP="009252B1">
      <w:pPr>
        <w:pStyle w:val="ListParagraph"/>
        <w:numPr>
          <w:ilvl w:val="0"/>
          <w:numId w:val="28"/>
        </w:numPr>
        <w:ind w:left="567" w:hanging="567"/>
      </w:pPr>
      <w:r>
        <w:t>intervening early and throughout life</w:t>
      </w:r>
    </w:p>
    <w:p w:rsidR="009B7C94" w:rsidRDefault="009B7C94" w:rsidP="009252B1">
      <w:pPr>
        <w:pStyle w:val="ListParagraph"/>
        <w:numPr>
          <w:ilvl w:val="0"/>
          <w:numId w:val="28"/>
        </w:numPr>
        <w:ind w:left="567" w:hanging="567"/>
      </w:pPr>
      <w:r>
        <w:t>promoting equity and inclusivity</w:t>
      </w:r>
    </w:p>
    <w:p w:rsidR="009B7C94" w:rsidRDefault="009B7C94" w:rsidP="009B7C94"/>
    <w:p w:rsidR="009067E2" w:rsidRDefault="009B7C94" w:rsidP="009B7C94">
      <w:pPr>
        <w:rPr>
          <w:rFonts w:eastAsia="Arial"/>
        </w:rPr>
      </w:pPr>
      <w:r>
        <w:rPr>
          <w:rFonts w:eastAsia="Arial"/>
        </w:rPr>
        <w:t xml:space="preserve">The WA HPSF supports a comprehensive approach to health promotion, combining interventions across </w:t>
      </w:r>
      <w:r w:rsidR="00D753FB">
        <w:rPr>
          <w:rFonts w:eastAsia="Arial"/>
        </w:rPr>
        <w:t xml:space="preserve">these </w:t>
      </w:r>
      <w:r>
        <w:rPr>
          <w:rFonts w:eastAsia="Arial"/>
        </w:rPr>
        <w:t>eight domains:</w:t>
      </w:r>
    </w:p>
    <w:p w:rsidR="00D753FB" w:rsidRDefault="00D753FB" w:rsidP="009B7C94">
      <w:pPr>
        <w:rPr>
          <w:rFonts w:eastAsia="Arial"/>
        </w:rPr>
      </w:pPr>
    </w:p>
    <w:p w:rsidR="009B7C94" w:rsidRPr="00C94DD4" w:rsidRDefault="009B7C94" w:rsidP="009252B1">
      <w:pPr>
        <w:pStyle w:val="ListParagraph"/>
        <w:numPr>
          <w:ilvl w:val="0"/>
          <w:numId w:val="21"/>
        </w:numPr>
        <w:spacing w:before="60"/>
        <w:ind w:left="567" w:right="-20" w:hanging="567"/>
        <w:rPr>
          <w:rFonts w:eastAsia="Arial"/>
        </w:rPr>
      </w:pPr>
      <w:r w:rsidRPr="00C94DD4">
        <w:rPr>
          <w:rFonts w:eastAsia="Arial"/>
          <w:color w:val="000000"/>
        </w:rPr>
        <w:t>healthy policies</w:t>
      </w:r>
    </w:p>
    <w:p w:rsidR="009B7C94" w:rsidRPr="00C94DD4" w:rsidRDefault="009B7C94" w:rsidP="009252B1">
      <w:pPr>
        <w:pStyle w:val="ListParagraph"/>
        <w:numPr>
          <w:ilvl w:val="0"/>
          <w:numId w:val="21"/>
        </w:numPr>
        <w:spacing w:before="60"/>
        <w:ind w:left="567" w:right="-20" w:hanging="567"/>
        <w:rPr>
          <w:rFonts w:eastAsia="Arial"/>
        </w:rPr>
      </w:pPr>
      <w:r w:rsidRPr="00C94DD4">
        <w:rPr>
          <w:rFonts w:eastAsia="Arial"/>
          <w:color w:val="000000"/>
        </w:rPr>
        <w:t>legislation and regulation</w:t>
      </w:r>
    </w:p>
    <w:p w:rsidR="009B7C94" w:rsidRPr="00C94DD4" w:rsidRDefault="009B7C94" w:rsidP="009252B1">
      <w:pPr>
        <w:pStyle w:val="ListParagraph"/>
        <w:numPr>
          <w:ilvl w:val="0"/>
          <w:numId w:val="21"/>
        </w:numPr>
        <w:spacing w:before="60"/>
        <w:ind w:left="567" w:right="-20" w:hanging="567"/>
        <w:rPr>
          <w:rFonts w:eastAsia="Arial"/>
        </w:rPr>
      </w:pPr>
      <w:r w:rsidRPr="00C94DD4">
        <w:rPr>
          <w:rFonts w:eastAsia="Arial"/>
          <w:color w:val="000000"/>
        </w:rPr>
        <w:t>economic interventions</w:t>
      </w:r>
    </w:p>
    <w:p w:rsidR="009B7C94" w:rsidRPr="00C94DD4" w:rsidRDefault="009B7C94" w:rsidP="009252B1">
      <w:pPr>
        <w:pStyle w:val="ListParagraph"/>
        <w:numPr>
          <w:ilvl w:val="0"/>
          <w:numId w:val="21"/>
        </w:numPr>
        <w:spacing w:before="60"/>
        <w:ind w:left="567" w:right="-20" w:hanging="567"/>
        <w:rPr>
          <w:rFonts w:eastAsia="Arial"/>
        </w:rPr>
      </w:pPr>
      <w:r w:rsidRPr="00C94DD4">
        <w:rPr>
          <w:rFonts w:eastAsia="Arial"/>
          <w:color w:val="000000"/>
        </w:rPr>
        <w:t>supportive environments</w:t>
      </w:r>
    </w:p>
    <w:p w:rsidR="009067E2" w:rsidRDefault="009B7C94" w:rsidP="009252B1">
      <w:pPr>
        <w:pStyle w:val="ListParagraph"/>
        <w:numPr>
          <w:ilvl w:val="0"/>
          <w:numId w:val="21"/>
        </w:numPr>
        <w:spacing w:before="60"/>
        <w:ind w:left="567" w:right="-20" w:hanging="567"/>
        <w:rPr>
          <w:rFonts w:eastAsia="Arial"/>
          <w:color w:val="000000"/>
        </w:rPr>
      </w:pPr>
      <w:r w:rsidRPr="009067E2">
        <w:rPr>
          <w:rFonts w:eastAsia="Arial"/>
          <w:color w:val="000000"/>
        </w:rPr>
        <w:t>public awareness and engagement</w:t>
      </w:r>
    </w:p>
    <w:p w:rsidR="009B7C94" w:rsidRPr="00C94DD4" w:rsidRDefault="009B7C94" w:rsidP="009252B1">
      <w:pPr>
        <w:pStyle w:val="ListParagraph"/>
        <w:numPr>
          <w:ilvl w:val="0"/>
          <w:numId w:val="21"/>
        </w:numPr>
        <w:spacing w:before="60"/>
        <w:ind w:left="567" w:right="-20" w:hanging="567"/>
        <w:rPr>
          <w:rFonts w:eastAsia="Arial"/>
        </w:rPr>
      </w:pPr>
      <w:r w:rsidRPr="00C94DD4">
        <w:rPr>
          <w:rFonts w:eastAsia="Arial"/>
          <w:color w:val="000000"/>
        </w:rPr>
        <w:t>community development</w:t>
      </w:r>
    </w:p>
    <w:p w:rsidR="009B7C94" w:rsidRPr="00C94DD4" w:rsidRDefault="009B7C94" w:rsidP="009252B1">
      <w:pPr>
        <w:pStyle w:val="ListParagraph"/>
        <w:numPr>
          <w:ilvl w:val="0"/>
          <w:numId w:val="21"/>
        </w:numPr>
        <w:spacing w:before="60"/>
        <w:ind w:left="567" w:right="-20" w:hanging="567"/>
        <w:rPr>
          <w:rFonts w:eastAsia="Arial"/>
        </w:rPr>
      </w:pPr>
      <w:r w:rsidRPr="00C94DD4">
        <w:rPr>
          <w:rFonts w:eastAsia="Arial"/>
          <w:color w:val="000000"/>
        </w:rPr>
        <w:t>targeted interventions</w:t>
      </w:r>
    </w:p>
    <w:p w:rsidR="00BF6819" w:rsidRDefault="009B7C94" w:rsidP="009252B1">
      <w:pPr>
        <w:pStyle w:val="ListParagraph"/>
        <w:numPr>
          <w:ilvl w:val="0"/>
          <w:numId w:val="21"/>
        </w:numPr>
        <w:spacing w:before="60"/>
        <w:ind w:left="567" w:right="-20" w:hanging="567"/>
        <w:rPr>
          <w:rFonts w:eastAsia="Arial"/>
          <w:color w:val="000000"/>
        </w:rPr>
      </w:pPr>
      <w:r w:rsidRPr="00D753FB">
        <w:rPr>
          <w:rFonts w:eastAsia="Arial"/>
          <w:color w:val="000000"/>
        </w:rPr>
        <w:lastRenderedPageBreak/>
        <w:t xml:space="preserve">strategic coordination, building partnerships and </w:t>
      </w:r>
      <w:r w:rsidR="004E7547">
        <w:rPr>
          <w:rFonts w:eastAsia="Arial"/>
          <w:color w:val="000000"/>
        </w:rPr>
        <w:t>workforce development</w:t>
      </w:r>
    </w:p>
    <w:p w:rsidR="00CF2B90" w:rsidRDefault="00CF2B90" w:rsidP="009B7C94">
      <w:pPr>
        <w:rPr>
          <w:b/>
          <w:color w:val="808080" w:themeColor="background1" w:themeShade="80"/>
        </w:rPr>
      </w:pPr>
    </w:p>
    <w:p w:rsidR="009B7C94" w:rsidRPr="008159A5" w:rsidRDefault="009B7C94" w:rsidP="009B7C94">
      <w:pPr>
        <w:rPr>
          <w:b/>
          <w:color w:val="808080" w:themeColor="background1" w:themeShade="80"/>
        </w:rPr>
      </w:pPr>
      <w:r w:rsidRPr="008159A5">
        <w:rPr>
          <w:b/>
          <w:color w:val="808080" w:themeColor="background1" w:themeShade="80"/>
        </w:rPr>
        <w:t>Monitoring progress</w:t>
      </w:r>
    </w:p>
    <w:p w:rsidR="009B7C94" w:rsidRDefault="009B7C94" w:rsidP="009B7C94">
      <w:pPr>
        <w:rPr>
          <w:b/>
          <w:color w:val="31849B" w:themeColor="accent5" w:themeShade="BF"/>
        </w:rPr>
      </w:pPr>
    </w:p>
    <w:p w:rsidR="009B7C94" w:rsidRDefault="006A4368" w:rsidP="009B7C94">
      <w:pPr>
        <w:rPr>
          <w:rFonts w:eastAsia="Arial"/>
        </w:rPr>
      </w:pPr>
      <w:r>
        <w:rPr>
          <w:rFonts w:eastAsia="Arial"/>
        </w:rPr>
        <w:t>The Department of Health</w:t>
      </w:r>
      <w:r w:rsidR="009B7C94" w:rsidRPr="00A43585">
        <w:rPr>
          <w:rFonts w:eastAsia="Arial"/>
        </w:rPr>
        <w:t xml:space="preserve"> takes a rigorous and systematic approach to monitoring progress in the area</w:t>
      </w:r>
      <w:r w:rsidR="009B7C94">
        <w:rPr>
          <w:rFonts w:eastAsia="Arial"/>
        </w:rPr>
        <w:t>s of chronic disease and injury, drawing on S</w:t>
      </w:r>
      <w:r w:rsidR="009B7C94" w:rsidRPr="00A43585">
        <w:rPr>
          <w:rFonts w:eastAsia="Arial"/>
        </w:rPr>
        <w:t xml:space="preserve">tate and </w:t>
      </w:r>
      <w:r w:rsidR="009B7C94">
        <w:rPr>
          <w:rFonts w:eastAsia="Arial"/>
        </w:rPr>
        <w:t>Commonwealth data sets.</w:t>
      </w:r>
    </w:p>
    <w:p w:rsidR="009B7C94" w:rsidRPr="000433B2" w:rsidRDefault="009B7C94" w:rsidP="009B7C94">
      <w:pPr>
        <w:rPr>
          <w:rFonts w:eastAsia="Arial"/>
        </w:rPr>
      </w:pPr>
    </w:p>
    <w:p w:rsidR="009B7C94" w:rsidRDefault="009B7C94" w:rsidP="009B7C94">
      <w:r w:rsidRPr="006A72A3">
        <w:rPr>
          <w:rFonts w:eastAsia="Arial"/>
        </w:rPr>
        <w:t>The WA HPSF supports robust program evaluation as an important component of health promotion planning and service delivery</w:t>
      </w:r>
      <w:r w:rsidRPr="006A72A3">
        <w:t>.</w:t>
      </w:r>
    </w:p>
    <w:p w:rsidR="009B7C94" w:rsidRDefault="009B7C94" w:rsidP="009B7C94"/>
    <w:p w:rsidR="009B7C94" w:rsidRDefault="00EC47F5" w:rsidP="009B7C94">
      <w:r>
        <w:t>The pursuit of a</w:t>
      </w:r>
      <w:r w:rsidR="009B7C94">
        <w:t xml:space="preserve"> priority-driven research agenda is </w:t>
      </w:r>
      <w:r w:rsidR="00180BB5">
        <w:t xml:space="preserve">also critical </w:t>
      </w:r>
      <w:r w:rsidR="009B7C94">
        <w:t>to help accelerate necessary policy changes in appropriate health promotion interventions.</w:t>
      </w:r>
    </w:p>
    <w:p w:rsidR="009B7C94" w:rsidRDefault="009B7C94" w:rsidP="009B7C94"/>
    <w:p w:rsidR="009B7C94" w:rsidRDefault="009B7C94" w:rsidP="009B7C94">
      <w:pPr>
        <w:rPr>
          <w:rFonts w:eastAsia="Arial"/>
          <w:color w:val="000000"/>
        </w:rPr>
      </w:pPr>
      <w:r>
        <w:rPr>
          <w:rFonts w:eastAsia="Arial"/>
          <w:color w:val="000000"/>
        </w:rPr>
        <w:t xml:space="preserve">As there is often considerable delay between health promotion activity and changes in behaviour or improvements in disease and injury outcomes, progress in health promotion is typically realised over the longer term and it </w:t>
      </w:r>
      <w:r w:rsidR="00373B3E">
        <w:rPr>
          <w:rFonts w:eastAsia="Arial"/>
          <w:color w:val="000000"/>
        </w:rPr>
        <w:t>can be</w:t>
      </w:r>
      <w:r>
        <w:rPr>
          <w:rFonts w:eastAsia="Arial"/>
          <w:color w:val="000000"/>
        </w:rPr>
        <w:t xml:space="preserve"> difficult to measure progress in the interim.</w:t>
      </w:r>
    </w:p>
    <w:p w:rsidR="009B7C94" w:rsidRDefault="009B7C94" w:rsidP="009B7C94">
      <w:pPr>
        <w:rPr>
          <w:rFonts w:eastAsia="Arial"/>
          <w:color w:val="000000"/>
        </w:rPr>
      </w:pPr>
    </w:p>
    <w:p w:rsidR="009B7C94" w:rsidRDefault="009B7C94" w:rsidP="009B7C94">
      <w:pPr>
        <w:rPr>
          <w:rFonts w:eastAsia="Arial"/>
        </w:rPr>
      </w:pPr>
      <w:r>
        <w:rPr>
          <w:rFonts w:eastAsia="Arial"/>
          <w:color w:val="000000"/>
        </w:rPr>
        <w:t>Mapping progress in chronic disease and injury prevention in WA requires an</w:t>
      </w:r>
      <w:r w:rsidR="00180BB5">
        <w:rPr>
          <w:rFonts w:eastAsia="Arial"/>
          <w:color w:val="000000"/>
        </w:rPr>
        <w:t xml:space="preserve"> </w:t>
      </w:r>
      <w:r>
        <w:rPr>
          <w:rFonts w:eastAsia="Arial"/>
          <w:color w:val="000000"/>
        </w:rPr>
        <w:t xml:space="preserve">approach </w:t>
      </w:r>
      <w:r w:rsidRPr="001C2A6F">
        <w:rPr>
          <w:rFonts w:eastAsia="Arial"/>
        </w:rPr>
        <w:t xml:space="preserve">that </w:t>
      </w:r>
      <w:r>
        <w:rPr>
          <w:rFonts w:eastAsia="Arial"/>
        </w:rPr>
        <w:t xml:space="preserve">also </w:t>
      </w:r>
      <w:r w:rsidRPr="001C2A6F">
        <w:rPr>
          <w:rFonts w:eastAsia="Arial"/>
        </w:rPr>
        <w:t xml:space="preserve">captures </w:t>
      </w:r>
      <w:r>
        <w:rPr>
          <w:rFonts w:eastAsia="Arial"/>
        </w:rPr>
        <w:t xml:space="preserve">the range of </w:t>
      </w:r>
      <w:r w:rsidRPr="001C2A6F">
        <w:rPr>
          <w:rFonts w:eastAsia="Arial"/>
        </w:rPr>
        <w:t>activit</w:t>
      </w:r>
      <w:r>
        <w:rPr>
          <w:rFonts w:eastAsia="Arial"/>
        </w:rPr>
        <w:t>ies</w:t>
      </w:r>
      <w:r w:rsidRPr="001C2A6F">
        <w:rPr>
          <w:rFonts w:eastAsia="Arial"/>
        </w:rPr>
        <w:t xml:space="preserve"> </w:t>
      </w:r>
      <w:r w:rsidR="00180BB5">
        <w:rPr>
          <w:rFonts w:eastAsia="Arial"/>
        </w:rPr>
        <w:t xml:space="preserve">that </w:t>
      </w:r>
      <w:r>
        <w:rPr>
          <w:rFonts w:eastAsia="Arial"/>
        </w:rPr>
        <w:t xml:space="preserve">contribute to </w:t>
      </w:r>
      <w:r w:rsidRPr="001C2A6F">
        <w:rPr>
          <w:rFonts w:eastAsia="Arial"/>
        </w:rPr>
        <w:t>changes in health behaviour</w:t>
      </w:r>
      <w:r>
        <w:rPr>
          <w:rFonts w:eastAsia="Arial"/>
        </w:rPr>
        <w:t>s,</w:t>
      </w:r>
      <w:r w:rsidRPr="001C2A6F">
        <w:rPr>
          <w:rFonts w:eastAsia="Arial"/>
        </w:rPr>
        <w:t xml:space="preserve"> and </w:t>
      </w:r>
      <w:r>
        <w:rPr>
          <w:rFonts w:eastAsia="Arial"/>
        </w:rPr>
        <w:t xml:space="preserve">ultimately </w:t>
      </w:r>
      <w:r w:rsidRPr="001C2A6F">
        <w:rPr>
          <w:rFonts w:eastAsia="Arial"/>
        </w:rPr>
        <w:t>health outcomes</w:t>
      </w:r>
      <w:r>
        <w:rPr>
          <w:rFonts w:eastAsia="Arial"/>
        </w:rPr>
        <w:t xml:space="preserve">. </w:t>
      </w:r>
    </w:p>
    <w:p w:rsidR="009B7C94" w:rsidRPr="001C2A6F" w:rsidRDefault="009B7C94" w:rsidP="009B7C94"/>
    <w:p w:rsidR="009B7C94" w:rsidRDefault="009B7C94" w:rsidP="009B7C94">
      <w:pPr>
        <w:rPr>
          <w:rFonts w:eastAsia="Arial"/>
        </w:rPr>
      </w:pPr>
      <w:r>
        <w:rPr>
          <w:rFonts w:eastAsia="Arial"/>
        </w:rPr>
        <w:t xml:space="preserve">Developing a narrative describing what has been achieved in chronic disease and injury prevention, taking into account changes in the broader public health field will be a </w:t>
      </w:r>
      <w:r w:rsidRPr="001C2A6F">
        <w:rPr>
          <w:rFonts w:eastAsia="Arial"/>
        </w:rPr>
        <w:t xml:space="preserve">priority </w:t>
      </w:r>
      <w:r>
        <w:rPr>
          <w:rFonts w:eastAsia="Arial"/>
        </w:rPr>
        <w:t xml:space="preserve">for the WA Department of Health </w:t>
      </w:r>
      <w:r w:rsidRPr="001C2A6F">
        <w:rPr>
          <w:rFonts w:eastAsia="Arial"/>
        </w:rPr>
        <w:t>during the life of this Framework.</w:t>
      </w:r>
    </w:p>
    <w:p w:rsidR="009B7C94" w:rsidRPr="00F17955" w:rsidRDefault="009B7C94" w:rsidP="009B7C94">
      <w:pPr>
        <w:rPr>
          <w:rFonts w:eastAsia="Arial"/>
        </w:rPr>
      </w:pPr>
    </w:p>
    <w:p w:rsidR="009B7C94" w:rsidRDefault="009B7C94" w:rsidP="009B7C94">
      <w:pPr>
        <w:rPr>
          <w:rFonts w:eastAsia="Arial"/>
        </w:rPr>
      </w:pPr>
      <w:r w:rsidRPr="004F3A43">
        <w:rPr>
          <w:rFonts w:eastAsia="Arial"/>
        </w:rPr>
        <w:t>In parallel, the Department</w:t>
      </w:r>
      <w:r>
        <w:rPr>
          <w:rFonts w:eastAsia="Arial"/>
        </w:rPr>
        <w:t xml:space="preserve"> </w:t>
      </w:r>
      <w:r w:rsidRPr="004F3A43">
        <w:rPr>
          <w:rFonts w:eastAsia="Arial"/>
        </w:rPr>
        <w:t>will monitor various lifestyle and behavioural risk factors, biomedical states and injury events, and morbidity and mortality outcomes relating to chronic disease and injury, using State and national data collections.</w:t>
      </w:r>
    </w:p>
    <w:p w:rsidR="009B7C94" w:rsidRDefault="009B7C94" w:rsidP="009B7C94">
      <w:pPr>
        <w:rPr>
          <w:b/>
          <w:color w:val="31849B" w:themeColor="accent5" w:themeShade="BF"/>
        </w:rPr>
      </w:pPr>
      <w:r>
        <w:rPr>
          <w:b/>
          <w:color w:val="31849B" w:themeColor="accent5" w:themeShade="BF"/>
        </w:rPr>
        <w:br w:type="page"/>
      </w:r>
    </w:p>
    <w:p w:rsidR="00DF13AE" w:rsidRPr="003B51BD" w:rsidRDefault="00DF13AE" w:rsidP="003B51BD">
      <w:pPr>
        <w:widowControl/>
        <w:spacing w:after="200" w:line="276" w:lineRule="auto"/>
        <w:ind w:left="-426" w:right="-589"/>
        <w:rPr>
          <w:rFonts w:eastAsia="Arial"/>
          <w:b/>
          <w:color w:val="808080" w:themeColor="background1" w:themeShade="80"/>
          <w:sz w:val="26"/>
          <w:szCs w:val="26"/>
        </w:rPr>
      </w:pPr>
      <w:r w:rsidRPr="003B51BD">
        <w:rPr>
          <w:b/>
          <w:color w:val="808080" w:themeColor="background1" w:themeShade="80"/>
          <w:sz w:val="26"/>
          <w:szCs w:val="26"/>
        </w:rPr>
        <w:lastRenderedPageBreak/>
        <w:t>Box 1</w:t>
      </w:r>
      <w:r w:rsidR="004E25DF" w:rsidRPr="003B51BD">
        <w:rPr>
          <w:b/>
          <w:color w:val="808080" w:themeColor="background1" w:themeShade="80"/>
          <w:sz w:val="26"/>
          <w:szCs w:val="26"/>
        </w:rPr>
        <w:t>:</w:t>
      </w:r>
      <w:r w:rsidR="001C65CE" w:rsidRPr="003B51BD">
        <w:rPr>
          <w:b/>
          <w:color w:val="808080" w:themeColor="background1" w:themeShade="80"/>
          <w:sz w:val="26"/>
          <w:szCs w:val="26"/>
        </w:rPr>
        <w:t xml:space="preserve"> </w:t>
      </w:r>
      <w:r w:rsidRPr="003B51BD">
        <w:rPr>
          <w:b/>
          <w:color w:val="808080" w:themeColor="background1" w:themeShade="80"/>
          <w:sz w:val="26"/>
          <w:szCs w:val="26"/>
        </w:rPr>
        <w:t xml:space="preserve"> </w:t>
      </w:r>
      <w:r w:rsidR="008B25B1" w:rsidRPr="003B51BD">
        <w:rPr>
          <w:b/>
          <w:color w:val="808080" w:themeColor="background1" w:themeShade="80"/>
          <w:sz w:val="26"/>
          <w:szCs w:val="26"/>
        </w:rPr>
        <w:t xml:space="preserve">The </w:t>
      </w:r>
      <w:r w:rsidR="008B25B1" w:rsidRPr="003B51BD">
        <w:rPr>
          <w:b/>
          <w:i/>
          <w:color w:val="808080" w:themeColor="background1" w:themeShade="80"/>
          <w:sz w:val="26"/>
          <w:szCs w:val="26"/>
        </w:rPr>
        <w:t xml:space="preserve">WA Health Promotion Strategic Framework </w:t>
      </w:r>
      <w:r w:rsidR="001C65CE" w:rsidRPr="003B51BD">
        <w:rPr>
          <w:b/>
          <w:i/>
          <w:color w:val="808080" w:themeColor="background1" w:themeShade="80"/>
          <w:sz w:val="26"/>
          <w:szCs w:val="26"/>
        </w:rPr>
        <w:t>2017–2021</w:t>
      </w:r>
      <w:r w:rsidR="008B25B1" w:rsidRPr="003B51BD">
        <w:rPr>
          <w:b/>
          <w:color w:val="808080" w:themeColor="background1" w:themeShade="80"/>
          <w:sz w:val="26"/>
          <w:szCs w:val="26"/>
        </w:rPr>
        <w:t xml:space="preserve"> at a </w:t>
      </w:r>
      <w:r w:rsidR="00624758" w:rsidRPr="003B51BD">
        <w:rPr>
          <w:b/>
          <w:color w:val="808080" w:themeColor="background1" w:themeShade="80"/>
          <w:sz w:val="26"/>
          <w:szCs w:val="26"/>
        </w:rPr>
        <w:t>g</w:t>
      </w:r>
      <w:r w:rsidR="008B25B1" w:rsidRPr="003B51BD">
        <w:rPr>
          <w:b/>
          <w:color w:val="808080" w:themeColor="background1" w:themeShade="80"/>
          <w:sz w:val="26"/>
          <w:szCs w:val="26"/>
        </w:rPr>
        <w:t xml:space="preserve">lance </w:t>
      </w:r>
    </w:p>
    <w:tbl>
      <w:tblPr>
        <w:tblW w:w="11199" w:type="dxa"/>
        <w:tblInd w:w="-1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1E0" w:firstRow="1" w:lastRow="1" w:firstColumn="1" w:lastColumn="1" w:noHBand="0" w:noVBand="0"/>
      </w:tblPr>
      <w:tblGrid>
        <w:gridCol w:w="1866"/>
        <w:gridCol w:w="1867"/>
        <w:gridCol w:w="1866"/>
        <w:gridCol w:w="1867"/>
        <w:gridCol w:w="1866"/>
        <w:gridCol w:w="1867"/>
      </w:tblGrid>
      <w:tr w:rsidR="00DF13AE" w:rsidTr="004F10EE">
        <w:trPr>
          <w:trHeight w:hRule="exact" w:val="316"/>
        </w:trPr>
        <w:tc>
          <w:tcPr>
            <w:tcW w:w="11199" w:type="dxa"/>
            <w:gridSpan w:val="6"/>
            <w:shd w:val="clear" w:color="auto" w:fill="808080" w:themeFill="background1" w:themeFillShade="80"/>
          </w:tcPr>
          <w:p w:rsidR="00DF13AE" w:rsidRPr="001469D8" w:rsidRDefault="00DF13AE" w:rsidP="001469D8">
            <w:pPr>
              <w:spacing w:before="38"/>
              <w:ind w:left="3802" w:right="3782"/>
              <w:jc w:val="center"/>
              <w:rPr>
                <w:rFonts w:eastAsia="Arial"/>
                <w:sz w:val="20"/>
                <w:szCs w:val="20"/>
              </w:rPr>
            </w:pPr>
            <w:r w:rsidRPr="0078446C">
              <w:rPr>
                <w:rFonts w:eastAsia="Arial"/>
                <w:b/>
                <w:bCs/>
                <w:color w:val="FFFFFF" w:themeColor="background1"/>
                <w:sz w:val="20"/>
                <w:szCs w:val="20"/>
              </w:rPr>
              <w:t>Goal</w:t>
            </w:r>
          </w:p>
        </w:tc>
      </w:tr>
      <w:tr w:rsidR="00DF13AE" w:rsidTr="004F10EE">
        <w:trPr>
          <w:trHeight w:hRule="exact" w:val="556"/>
        </w:trPr>
        <w:tc>
          <w:tcPr>
            <w:tcW w:w="11199" w:type="dxa"/>
            <w:gridSpan w:val="6"/>
          </w:tcPr>
          <w:p w:rsidR="00DF13AE" w:rsidRPr="0054253F" w:rsidRDefault="00DF13AE" w:rsidP="00847CA2">
            <w:pPr>
              <w:pStyle w:val="ListParagraph"/>
              <w:ind w:left="360"/>
              <w:jc w:val="center"/>
              <w:rPr>
                <w:sz w:val="20"/>
                <w:szCs w:val="20"/>
              </w:rPr>
            </w:pPr>
            <w:r w:rsidRPr="0054253F">
              <w:rPr>
                <w:sz w:val="20"/>
                <w:szCs w:val="20"/>
              </w:rPr>
              <w:t xml:space="preserve">To </w:t>
            </w:r>
            <w:r w:rsidR="00FE274B">
              <w:rPr>
                <w:sz w:val="20"/>
                <w:szCs w:val="20"/>
              </w:rPr>
              <w:t xml:space="preserve">lower the incidence of avoidable </w:t>
            </w:r>
            <w:r w:rsidRPr="0054253F">
              <w:rPr>
                <w:sz w:val="20"/>
                <w:szCs w:val="20"/>
              </w:rPr>
              <w:t xml:space="preserve">chronic disease and injury in </w:t>
            </w:r>
            <w:r w:rsidR="007D0F9E">
              <w:rPr>
                <w:sz w:val="20"/>
                <w:szCs w:val="20"/>
              </w:rPr>
              <w:t>WA</w:t>
            </w:r>
            <w:r w:rsidRPr="0054253F">
              <w:rPr>
                <w:sz w:val="20"/>
                <w:szCs w:val="20"/>
              </w:rPr>
              <w:t xml:space="preserve"> by facilitating </w:t>
            </w:r>
            <w:r w:rsidR="00FE274B">
              <w:rPr>
                <w:sz w:val="20"/>
                <w:szCs w:val="20"/>
              </w:rPr>
              <w:t>improvements</w:t>
            </w:r>
            <w:r w:rsidRPr="0054253F">
              <w:rPr>
                <w:sz w:val="20"/>
                <w:szCs w:val="20"/>
              </w:rPr>
              <w:t xml:space="preserve"> in </w:t>
            </w:r>
            <w:r w:rsidR="00DB6000">
              <w:rPr>
                <w:sz w:val="20"/>
                <w:szCs w:val="20"/>
              </w:rPr>
              <w:t>health</w:t>
            </w:r>
            <w:r w:rsidR="007717CF">
              <w:rPr>
                <w:sz w:val="20"/>
                <w:szCs w:val="20"/>
              </w:rPr>
              <w:t xml:space="preserve"> </w:t>
            </w:r>
            <w:r w:rsidRPr="0054253F">
              <w:rPr>
                <w:sz w:val="20"/>
                <w:szCs w:val="20"/>
              </w:rPr>
              <w:t>behavio</w:t>
            </w:r>
            <w:r w:rsidR="009344F3">
              <w:rPr>
                <w:sz w:val="20"/>
                <w:szCs w:val="20"/>
              </w:rPr>
              <w:t>u</w:t>
            </w:r>
            <w:r w:rsidRPr="0054253F">
              <w:rPr>
                <w:sz w:val="20"/>
                <w:szCs w:val="20"/>
              </w:rPr>
              <w:t>r</w:t>
            </w:r>
            <w:r w:rsidR="009344F3">
              <w:rPr>
                <w:sz w:val="20"/>
                <w:szCs w:val="20"/>
              </w:rPr>
              <w:t>s</w:t>
            </w:r>
            <w:r w:rsidR="00DB6000">
              <w:rPr>
                <w:sz w:val="20"/>
                <w:szCs w:val="20"/>
              </w:rPr>
              <w:t xml:space="preserve"> and</w:t>
            </w:r>
            <w:r w:rsidR="00DB6000" w:rsidRPr="0054253F">
              <w:rPr>
                <w:sz w:val="20"/>
                <w:szCs w:val="20"/>
              </w:rPr>
              <w:t xml:space="preserve"> environments</w:t>
            </w:r>
          </w:p>
          <w:p w:rsidR="00DF13AE" w:rsidRPr="0054253F" w:rsidRDefault="00DF13AE" w:rsidP="002A373E">
            <w:pPr>
              <w:spacing w:before="38" w:line="250" w:lineRule="auto"/>
              <w:ind w:left="3672" w:right="237" w:hanging="3381"/>
              <w:jc w:val="center"/>
              <w:rPr>
                <w:rFonts w:eastAsia="Arial"/>
                <w:sz w:val="20"/>
                <w:szCs w:val="20"/>
              </w:rPr>
            </w:pPr>
          </w:p>
        </w:tc>
      </w:tr>
      <w:tr w:rsidR="00DF13AE" w:rsidTr="004F10EE">
        <w:trPr>
          <w:trHeight w:hRule="exact" w:val="316"/>
        </w:trPr>
        <w:tc>
          <w:tcPr>
            <w:tcW w:w="11199" w:type="dxa"/>
            <w:gridSpan w:val="6"/>
            <w:shd w:val="clear" w:color="auto" w:fill="808080" w:themeFill="background1" w:themeFillShade="80"/>
          </w:tcPr>
          <w:p w:rsidR="00DF13AE" w:rsidRPr="008350C5" w:rsidRDefault="00DF13AE" w:rsidP="001469D8">
            <w:pPr>
              <w:spacing w:before="38"/>
              <w:ind w:left="3802" w:right="3782"/>
              <w:jc w:val="center"/>
              <w:rPr>
                <w:rFonts w:eastAsia="Arial"/>
                <w:b/>
                <w:sz w:val="20"/>
                <w:szCs w:val="20"/>
              </w:rPr>
            </w:pPr>
            <w:r w:rsidRPr="0078446C">
              <w:rPr>
                <w:rFonts w:eastAsia="Arial"/>
                <w:b/>
                <w:bCs/>
                <w:color w:val="FFFFFF" w:themeColor="background1"/>
                <w:sz w:val="20"/>
                <w:szCs w:val="20"/>
              </w:rPr>
              <w:t>Target</w:t>
            </w:r>
            <w:r w:rsidR="00A875E3" w:rsidRPr="0078446C">
              <w:rPr>
                <w:rFonts w:eastAsia="Arial"/>
                <w:b/>
                <w:bCs/>
                <w:color w:val="FFFFFF" w:themeColor="background1"/>
                <w:sz w:val="20"/>
                <w:szCs w:val="20"/>
              </w:rPr>
              <w:t xml:space="preserve"> p</w:t>
            </w:r>
            <w:r w:rsidRPr="0078446C">
              <w:rPr>
                <w:rFonts w:eastAsia="Arial"/>
                <w:b/>
                <w:bCs/>
                <w:color w:val="FFFFFF" w:themeColor="background1"/>
                <w:sz w:val="20"/>
                <w:szCs w:val="20"/>
              </w:rPr>
              <w:t>opulation</w:t>
            </w:r>
          </w:p>
        </w:tc>
      </w:tr>
      <w:tr w:rsidR="00DF13AE" w:rsidTr="004F10EE">
        <w:trPr>
          <w:trHeight w:hRule="exact" w:val="556"/>
        </w:trPr>
        <w:tc>
          <w:tcPr>
            <w:tcW w:w="11199" w:type="dxa"/>
            <w:gridSpan w:val="6"/>
          </w:tcPr>
          <w:p w:rsidR="00DF13AE" w:rsidRDefault="00DF13AE" w:rsidP="00FF22CC">
            <w:pPr>
              <w:spacing w:before="38" w:line="250" w:lineRule="auto"/>
              <w:ind w:left="2410" w:right="478" w:hanging="1985"/>
              <w:jc w:val="center"/>
              <w:rPr>
                <w:rFonts w:eastAsia="Arial"/>
                <w:sz w:val="20"/>
                <w:szCs w:val="20"/>
              </w:rPr>
            </w:pPr>
            <w:r>
              <w:rPr>
                <w:rFonts w:eastAsia="Arial"/>
                <w:sz w:val="20"/>
                <w:szCs w:val="20"/>
              </w:rPr>
              <w:t>People who are currently well, and those who are at risk of developing disease or exp</w:t>
            </w:r>
            <w:r w:rsidR="008A5B90">
              <w:rPr>
                <w:rFonts w:eastAsia="Arial"/>
                <w:sz w:val="20"/>
                <w:szCs w:val="20"/>
              </w:rPr>
              <w:t xml:space="preserve">eriencing injury by engaging in </w:t>
            </w:r>
            <w:r>
              <w:rPr>
                <w:rFonts w:eastAsia="Arial"/>
                <w:sz w:val="20"/>
                <w:szCs w:val="20"/>
              </w:rPr>
              <w:t>risky lifestyle behaviours</w:t>
            </w:r>
          </w:p>
        </w:tc>
      </w:tr>
      <w:tr w:rsidR="00DF13AE" w:rsidTr="004F10EE">
        <w:trPr>
          <w:trHeight w:hRule="exact" w:val="317"/>
        </w:trPr>
        <w:tc>
          <w:tcPr>
            <w:tcW w:w="11199" w:type="dxa"/>
            <w:gridSpan w:val="6"/>
            <w:shd w:val="clear" w:color="auto" w:fill="808080" w:themeFill="background1" w:themeFillShade="80"/>
          </w:tcPr>
          <w:p w:rsidR="00DF13AE" w:rsidRPr="008350C5" w:rsidRDefault="00DF13AE" w:rsidP="002A373E">
            <w:pPr>
              <w:spacing w:before="38"/>
              <w:ind w:left="3802" w:right="3782"/>
              <w:jc w:val="center"/>
              <w:rPr>
                <w:rFonts w:eastAsia="Arial"/>
                <w:b/>
                <w:sz w:val="20"/>
                <w:szCs w:val="20"/>
              </w:rPr>
            </w:pPr>
            <w:r w:rsidRPr="0078446C">
              <w:rPr>
                <w:rFonts w:eastAsia="Arial"/>
                <w:b/>
                <w:color w:val="FFFFFF" w:themeColor="background1"/>
                <w:sz w:val="20"/>
                <w:szCs w:val="20"/>
              </w:rPr>
              <w:t xml:space="preserve">Guiding principles </w:t>
            </w:r>
          </w:p>
        </w:tc>
      </w:tr>
      <w:tr w:rsidR="00BD6CA2" w:rsidTr="004F10EE">
        <w:trPr>
          <w:trHeight w:hRule="exact" w:val="587"/>
        </w:trPr>
        <w:tc>
          <w:tcPr>
            <w:tcW w:w="5599" w:type="dxa"/>
            <w:gridSpan w:val="3"/>
          </w:tcPr>
          <w:p w:rsidR="00BD6CA2" w:rsidRPr="00DF13AE" w:rsidRDefault="00BD6CA2" w:rsidP="00CE2FEF">
            <w:pPr>
              <w:pStyle w:val="ListParagraph"/>
              <w:widowControl/>
              <w:numPr>
                <w:ilvl w:val="0"/>
                <w:numId w:val="24"/>
              </w:numPr>
              <w:ind w:left="426"/>
              <w:rPr>
                <w:sz w:val="20"/>
                <w:szCs w:val="20"/>
              </w:rPr>
            </w:pPr>
            <w:r w:rsidRPr="00DF13AE">
              <w:rPr>
                <w:sz w:val="20"/>
                <w:szCs w:val="20"/>
              </w:rPr>
              <w:t>Adopting a comprehensive whole</w:t>
            </w:r>
            <w:r>
              <w:rPr>
                <w:sz w:val="20"/>
                <w:szCs w:val="20"/>
              </w:rPr>
              <w:t>-</w:t>
            </w:r>
            <w:r w:rsidRPr="00DF13AE">
              <w:rPr>
                <w:sz w:val="20"/>
                <w:szCs w:val="20"/>
              </w:rPr>
              <w:t>of</w:t>
            </w:r>
            <w:r>
              <w:rPr>
                <w:sz w:val="20"/>
                <w:szCs w:val="20"/>
              </w:rPr>
              <w:t>-</w:t>
            </w:r>
            <w:r w:rsidRPr="00DF13AE">
              <w:rPr>
                <w:sz w:val="20"/>
                <w:szCs w:val="20"/>
              </w:rPr>
              <w:t>population approach</w:t>
            </w:r>
          </w:p>
          <w:p w:rsidR="00BD6CA2" w:rsidRPr="00847CA2" w:rsidRDefault="00BD6CA2" w:rsidP="00CE2FEF">
            <w:pPr>
              <w:pStyle w:val="ListParagraph"/>
              <w:widowControl/>
              <w:numPr>
                <w:ilvl w:val="0"/>
                <w:numId w:val="24"/>
              </w:numPr>
              <w:ind w:left="426"/>
              <w:rPr>
                <w:sz w:val="20"/>
                <w:szCs w:val="20"/>
              </w:rPr>
            </w:pPr>
            <w:r w:rsidRPr="00DF13AE">
              <w:rPr>
                <w:sz w:val="20"/>
                <w:szCs w:val="20"/>
              </w:rPr>
              <w:t>Working in partnership and building capacity</w:t>
            </w:r>
          </w:p>
        </w:tc>
        <w:tc>
          <w:tcPr>
            <w:tcW w:w="5600" w:type="dxa"/>
            <w:gridSpan w:val="3"/>
          </w:tcPr>
          <w:p w:rsidR="00847CA2" w:rsidRDefault="00847CA2" w:rsidP="00CE2FEF">
            <w:pPr>
              <w:pStyle w:val="ListParagraph"/>
              <w:widowControl/>
              <w:numPr>
                <w:ilvl w:val="0"/>
                <w:numId w:val="24"/>
              </w:numPr>
              <w:ind w:left="426"/>
              <w:rPr>
                <w:sz w:val="20"/>
                <w:szCs w:val="20"/>
              </w:rPr>
            </w:pPr>
            <w:r w:rsidRPr="000565FB">
              <w:rPr>
                <w:sz w:val="20"/>
                <w:szCs w:val="20"/>
              </w:rPr>
              <w:t>Intervenin</w:t>
            </w:r>
            <w:r>
              <w:rPr>
                <w:sz w:val="20"/>
                <w:szCs w:val="20"/>
              </w:rPr>
              <w:t>g early and throughout life</w:t>
            </w:r>
          </w:p>
          <w:p w:rsidR="00BD6CA2" w:rsidRPr="000565FB" w:rsidRDefault="00847CA2" w:rsidP="00CE2FEF">
            <w:pPr>
              <w:pStyle w:val="ListParagraph"/>
              <w:widowControl/>
              <w:numPr>
                <w:ilvl w:val="0"/>
                <w:numId w:val="24"/>
              </w:numPr>
              <w:spacing w:after="200" w:line="276" w:lineRule="auto"/>
              <w:ind w:left="426"/>
              <w:rPr>
                <w:rFonts w:eastAsia="Arial"/>
                <w:sz w:val="20"/>
                <w:szCs w:val="20"/>
              </w:rPr>
            </w:pPr>
            <w:r w:rsidRPr="00847CA2">
              <w:rPr>
                <w:sz w:val="20"/>
                <w:szCs w:val="20"/>
              </w:rPr>
              <w:t>Promoting equity and inclusivity</w:t>
            </w:r>
          </w:p>
        </w:tc>
      </w:tr>
      <w:tr w:rsidR="00DF13AE" w:rsidTr="004F10EE">
        <w:trPr>
          <w:trHeight w:hRule="exact" w:val="316"/>
        </w:trPr>
        <w:tc>
          <w:tcPr>
            <w:tcW w:w="11199" w:type="dxa"/>
            <w:gridSpan w:val="6"/>
            <w:shd w:val="clear" w:color="auto" w:fill="808080" w:themeFill="background1" w:themeFillShade="80"/>
          </w:tcPr>
          <w:p w:rsidR="00DF13AE" w:rsidRDefault="000C2838" w:rsidP="00A875E3">
            <w:pPr>
              <w:spacing w:before="38"/>
              <w:ind w:left="3802" w:right="3782"/>
              <w:jc w:val="center"/>
              <w:rPr>
                <w:rFonts w:eastAsia="Arial"/>
                <w:sz w:val="20"/>
                <w:szCs w:val="20"/>
              </w:rPr>
            </w:pPr>
            <w:r>
              <w:rPr>
                <w:rFonts w:eastAsia="Arial"/>
                <w:b/>
                <w:bCs/>
                <w:color w:val="FFFFFF"/>
                <w:sz w:val="20"/>
                <w:szCs w:val="20"/>
              </w:rPr>
              <w:t>A framework for action</w:t>
            </w:r>
          </w:p>
        </w:tc>
      </w:tr>
      <w:tr w:rsidR="008F5C1A" w:rsidTr="004F10EE">
        <w:trPr>
          <w:trHeight w:hRule="exact" w:val="542"/>
        </w:trPr>
        <w:tc>
          <w:tcPr>
            <w:tcW w:w="5599" w:type="dxa"/>
            <w:gridSpan w:val="3"/>
            <w:vAlign w:val="center"/>
          </w:tcPr>
          <w:p w:rsidR="008F5C1A" w:rsidRPr="00DF13AE" w:rsidRDefault="008F5C1A" w:rsidP="00CE2FEF">
            <w:pPr>
              <w:pStyle w:val="ListParagraph"/>
              <w:numPr>
                <w:ilvl w:val="0"/>
                <w:numId w:val="23"/>
              </w:numPr>
              <w:ind w:left="426" w:right="260" w:hanging="284"/>
              <w:rPr>
                <w:rFonts w:eastAsia="Arial"/>
                <w:sz w:val="20"/>
                <w:szCs w:val="20"/>
              </w:rPr>
            </w:pPr>
            <w:r w:rsidRPr="00DF13AE">
              <w:rPr>
                <w:rFonts w:eastAsia="Arial"/>
                <w:sz w:val="20"/>
                <w:szCs w:val="20"/>
              </w:rPr>
              <w:t>Development of healthy policy at government and organi</w:t>
            </w:r>
            <w:r>
              <w:rPr>
                <w:rFonts w:eastAsia="Arial"/>
                <w:sz w:val="20"/>
                <w:szCs w:val="20"/>
              </w:rPr>
              <w:t>s</w:t>
            </w:r>
            <w:r w:rsidRPr="00DF13AE">
              <w:rPr>
                <w:rFonts w:eastAsia="Arial"/>
                <w:sz w:val="20"/>
                <w:szCs w:val="20"/>
              </w:rPr>
              <w:t>ational level</w:t>
            </w:r>
          </w:p>
        </w:tc>
        <w:tc>
          <w:tcPr>
            <w:tcW w:w="5600" w:type="dxa"/>
            <w:gridSpan w:val="3"/>
            <w:vAlign w:val="center"/>
          </w:tcPr>
          <w:p w:rsidR="008F5C1A" w:rsidRPr="00DF13AE" w:rsidRDefault="008F5C1A" w:rsidP="00CE2FEF">
            <w:pPr>
              <w:pStyle w:val="ListParagraph"/>
              <w:numPr>
                <w:ilvl w:val="0"/>
                <w:numId w:val="23"/>
              </w:numPr>
              <w:ind w:left="426" w:right="284" w:hanging="284"/>
              <w:rPr>
                <w:rFonts w:eastAsia="Arial"/>
                <w:sz w:val="20"/>
                <w:szCs w:val="20"/>
              </w:rPr>
            </w:pPr>
            <w:r w:rsidRPr="00DF13AE">
              <w:rPr>
                <w:rFonts w:eastAsia="Arial"/>
                <w:sz w:val="20"/>
                <w:szCs w:val="20"/>
              </w:rPr>
              <w:t>Raising public awareness and engagement</w:t>
            </w:r>
          </w:p>
        </w:tc>
      </w:tr>
      <w:tr w:rsidR="008F5C1A" w:rsidTr="004F10EE">
        <w:trPr>
          <w:trHeight w:hRule="exact" w:val="422"/>
        </w:trPr>
        <w:tc>
          <w:tcPr>
            <w:tcW w:w="5599" w:type="dxa"/>
            <w:gridSpan w:val="3"/>
            <w:vAlign w:val="center"/>
          </w:tcPr>
          <w:p w:rsidR="008F5C1A" w:rsidRPr="00DF13AE" w:rsidRDefault="008F5C1A" w:rsidP="00CE2FEF">
            <w:pPr>
              <w:pStyle w:val="ListParagraph"/>
              <w:numPr>
                <w:ilvl w:val="0"/>
                <w:numId w:val="23"/>
              </w:numPr>
              <w:ind w:left="426" w:right="260" w:hanging="284"/>
              <w:rPr>
                <w:rFonts w:eastAsia="Arial"/>
                <w:sz w:val="20"/>
                <w:szCs w:val="20"/>
              </w:rPr>
            </w:pPr>
            <w:r w:rsidRPr="00DF13AE">
              <w:rPr>
                <w:rFonts w:eastAsia="Arial"/>
                <w:sz w:val="20"/>
                <w:szCs w:val="20"/>
              </w:rPr>
              <w:t xml:space="preserve">Legislation </w:t>
            </w:r>
            <w:r>
              <w:rPr>
                <w:rFonts w:eastAsia="Arial"/>
                <w:sz w:val="20"/>
                <w:szCs w:val="20"/>
              </w:rPr>
              <w:t>a</w:t>
            </w:r>
            <w:r w:rsidRPr="00DF13AE">
              <w:rPr>
                <w:rFonts w:eastAsia="Arial"/>
                <w:sz w:val="20"/>
                <w:szCs w:val="20"/>
              </w:rPr>
              <w:t>nd regulation</w:t>
            </w:r>
          </w:p>
        </w:tc>
        <w:tc>
          <w:tcPr>
            <w:tcW w:w="5600" w:type="dxa"/>
            <w:gridSpan w:val="3"/>
            <w:vAlign w:val="center"/>
          </w:tcPr>
          <w:p w:rsidR="008F5C1A" w:rsidRPr="00DF13AE" w:rsidRDefault="008F5C1A" w:rsidP="00CE2FEF">
            <w:pPr>
              <w:pStyle w:val="ListParagraph"/>
              <w:numPr>
                <w:ilvl w:val="0"/>
                <w:numId w:val="23"/>
              </w:numPr>
              <w:ind w:left="426" w:right="284" w:hanging="284"/>
              <w:rPr>
                <w:rFonts w:eastAsia="Arial"/>
                <w:sz w:val="20"/>
                <w:szCs w:val="20"/>
              </w:rPr>
            </w:pPr>
            <w:r w:rsidRPr="00DF13AE">
              <w:rPr>
                <w:rFonts w:eastAsia="Arial"/>
                <w:sz w:val="20"/>
                <w:szCs w:val="20"/>
              </w:rPr>
              <w:t>Community development</w:t>
            </w:r>
          </w:p>
        </w:tc>
      </w:tr>
      <w:tr w:rsidR="008F5C1A" w:rsidTr="004F10EE">
        <w:trPr>
          <w:trHeight w:hRule="exact" w:val="415"/>
        </w:trPr>
        <w:tc>
          <w:tcPr>
            <w:tcW w:w="5599" w:type="dxa"/>
            <w:gridSpan w:val="3"/>
            <w:vAlign w:val="center"/>
          </w:tcPr>
          <w:p w:rsidR="008F5C1A" w:rsidRPr="00DF13AE" w:rsidRDefault="008F5C1A" w:rsidP="00CE2FEF">
            <w:pPr>
              <w:pStyle w:val="ListParagraph"/>
              <w:numPr>
                <w:ilvl w:val="0"/>
                <w:numId w:val="23"/>
              </w:numPr>
              <w:ind w:left="426" w:right="260" w:hanging="284"/>
              <w:rPr>
                <w:rFonts w:eastAsia="Arial"/>
                <w:sz w:val="20"/>
                <w:szCs w:val="20"/>
              </w:rPr>
            </w:pPr>
            <w:r w:rsidRPr="00DF13AE">
              <w:rPr>
                <w:rFonts w:eastAsia="Arial"/>
                <w:sz w:val="20"/>
                <w:szCs w:val="20"/>
              </w:rPr>
              <w:t>Economic intervention</w:t>
            </w:r>
          </w:p>
        </w:tc>
        <w:tc>
          <w:tcPr>
            <w:tcW w:w="5600" w:type="dxa"/>
            <w:gridSpan w:val="3"/>
            <w:vAlign w:val="center"/>
          </w:tcPr>
          <w:p w:rsidR="008F5C1A" w:rsidRPr="00DF13AE" w:rsidRDefault="008F5C1A" w:rsidP="00CE2FEF">
            <w:pPr>
              <w:pStyle w:val="ListParagraph"/>
              <w:numPr>
                <w:ilvl w:val="0"/>
                <w:numId w:val="23"/>
              </w:numPr>
              <w:ind w:left="426" w:right="284" w:hanging="284"/>
              <w:rPr>
                <w:rFonts w:eastAsia="Arial"/>
                <w:sz w:val="20"/>
                <w:szCs w:val="20"/>
              </w:rPr>
            </w:pPr>
            <w:r w:rsidRPr="00DF13AE">
              <w:rPr>
                <w:rFonts w:eastAsia="Arial"/>
                <w:spacing w:val="-22"/>
                <w:sz w:val="20"/>
                <w:szCs w:val="20"/>
              </w:rPr>
              <w:t>T</w:t>
            </w:r>
            <w:r w:rsidRPr="00DF13AE">
              <w:rPr>
                <w:rFonts w:eastAsia="Arial"/>
                <w:sz w:val="20"/>
                <w:szCs w:val="20"/>
              </w:rPr>
              <w:t>argeted interventions</w:t>
            </w:r>
          </w:p>
        </w:tc>
      </w:tr>
      <w:tr w:rsidR="008F5C1A" w:rsidTr="004F10EE">
        <w:trPr>
          <w:trHeight w:hRule="exact" w:val="563"/>
        </w:trPr>
        <w:tc>
          <w:tcPr>
            <w:tcW w:w="5599" w:type="dxa"/>
            <w:gridSpan w:val="3"/>
            <w:vAlign w:val="center"/>
          </w:tcPr>
          <w:p w:rsidR="008F5C1A" w:rsidRPr="00DF13AE" w:rsidRDefault="008F5C1A" w:rsidP="00CE2FEF">
            <w:pPr>
              <w:pStyle w:val="ListParagraph"/>
              <w:numPr>
                <w:ilvl w:val="0"/>
                <w:numId w:val="23"/>
              </w:numPr>
              <w:ind w:left="426" w:right="260" w:hanging="284"/>
              <w:rPr>
                <w:rFonts w:eastAsia="Arial"/>
                <w:sz w:val="20"/>
                <w:szCs w:val="20"/>
              </w:rPr>
            </w:pPr>
            <w:r w:rsidRPr="00DF13AE">
              <w:rPr>
                <w:rFonts w:eastAsia="Arial"/>
                <w:sz w:val="20"/>
                <w:szCs w:val="20"/>
              </w:rPr>
              <w:t>Creating environments for living, working and relaxing which support healthy choices</w:t>
            </w:r>
          </w:p>
        </w:tc>
        <w:tc>
          <w:tcPr>
            <w:tcW w:w="5600" w:type="dxa"/>
            <w:gridSpan w:val="3"/>
            <w:vAlign w:val="center"/>
          </w:tcPr>
          <w:p w:rsidR="008F5C1A" w:rsidRPr="00DF13AE" w:rsidRDefault="008F5C1A" w:rsidP="002C74D7">
            <w:pPr>
              <w:pStyle w:val="ListParagraph"/>
              <w:numPr>
                <w:ilvl w:val="0"/>
                <w:numId w:val="23"/>
              </w:numPr>
              <w:ind w:left="426" w:right="284" w:hanging="284"/>
              <w:rPr>
                <w:rFonts w:eastAsia="Arial"/>
                <w:sz w:val="20"/>
                <w:szCs w:val="20"/>
              </w:rPr>
            </w:pPr>
            <w:r w:rsidRPr="00DF13AE">
              <w:rPr>
                <w:rFonts w:eastAsia="Arial"/>
                <w:sz w:val="20"/>
                <w:szCs w:val="20"/>
              </w:rPr>
              <w:t xml:space="preserve">Strategic coordination, building partnerships and </w:t>
            </w:r>
            <w:r w:rsidR="002C74D7">
              <w:rPr>
                <w:rFonts w:eastAsia="Arial"/>
                <w:sz w:val="20"/>
                <w:szCs w:val="20"/>
              </w:rPr>
              <w:t>workforce development</w:t>
            </w:r>
          </w:p>
        </w:tc>
      </w:tr>
      <w:tr w:rsidR="00DF13AE" w:rsidTr="004F10EE">
        <w:trPr>
          <w:trHeight w:hRule="exact" w:val="316"/>
        </w:trPr>
        <w:tc>
          <w:tcPr>
            <w:tcW w:w="11199" w:type="dxa"/>
            <w:gridSpan w:val="6"/>
            <w:shd w:val="clear" w:color="auto" w:fill="808080" w:themeFill="background1" w:themeFillShade="80"/>
          </w:tcPr>
          <w:p w:rsidR="00DF13AE" w:rsidRDefault="00DF13AE" w:rsidP="002A373E">
            <w:pPr>
              <w:spacing w:before="38"/>
              <w:ind w:left="4297" w:right="4277"/>
              <w:jc w:val="center"/>
              <w:rPr>
                <w:rFonts w:eastAsia="Arial"/>
                <w:sz w:val="20"/>
                <w:szCs w:val="20"/>
              </w:rPr>
            </w:pPr>
            <w:r>
              <w:rPr>
                <w:rFonts w:eastAsia="Arial"/>
                <w:b/>
                <w:bCs/>
                <w:color w:val="FFFFFF"/>
                <w:sz w:val="20"/>
                <w:szCs w:val="20"/>
              </w:rPr>
              <w:t>Priority</w:t>
            </w:r>
            <w:r>
              <w:rPr>
                <w:rFonts w:eastAsia="Arial"/>
                <w:b/>
                <w:bCs/>
                <w:color w:val="FFFFFF"/>
                <w:spacing w:val="-14"/>
                <w:sz w:val="20"/>
                <w:szCs w:val="20"/>
              </w:rPr>
              <w:t xml:space="preserve"> </w:t>
            </w:r>
            <w:r w:rsidR="00A875E3">
              <w:rPr>
                <w:rFonts w:eastAsia="Arial"/>
                <w:b/>
                <w:bCs/>
                <w:color w:val="FFFFFF"/>
                <w:sz w:val="20"/>
                <w:szCs w:val="20"/>
              </w:rPr>
              <w:t>a</w:t>
            </w:r>
            <w:r>
              <w:rPr>
                <w:rFonts w:eastAsia="Arial"/>
                <w:b/>
                <w:bCs/>
                <w:color w:val="FFFFFF"/>
                <w:sz w:val="20"/>
                <w:szCs w:val="20"/>
              </w:rPr>
              <w:t>reas</w:t>
            </w:r>
          </w:p>
        </w:tc>
      </w:tr>
      <w:tr w:rsidR="00DF13AE" w:rsidTr="004F10EE">
        <w:trPr>
          <w:trHeight w:hRule="exact" w:val="1255"/>
        </w:trPr>
        <w:tc>
          <w:tcPr>
            <w:tcW w:w="1866" w:type="dxa"/>
            <w:shd w:val="clear" w:color="auto" w:fill="F2F2F2" w:themeFill="background1" w:themeFillShade="F2"/>
          </w:tcPr>
          <w:p w:rsidR="00DF13AE" w:rsidRPr="00B7183D" w:rsidRDefault="00DF13AE" w:rsidP="002A373E">
            <w:pPr>
              <w:spacing w:before="8" w:line="150" w:lineRule="exact"/>
              <w:rPr>
                <w:color w:val="808080" w:themeColor="background1" w:themeShade="80"/>
                <w:sz w:val="15"/>
                <w:szCs w:val="15"/>
              </w:rPr>
            </w:pPr>
          </w:p>
          <w:p w:rsidR="00DF13AE" w:rsidRPr="00B7183D" w:rsidRDefault="002754AA" w:rsidP="002A373E">
            <w:pPr>
              <w:spacing w:line="250" w:lineRule="auto"/>
              <w:ind w:left="554" w:right="60" w:hanging="439"/>
              <w:rPr>
                <w:rFonts w:eastAsia="Arial"/>
                <w:color w:val="808080" w:themeColor="background1" w:themeShade="80"/>
                <w:sz w:val="20"/>
                <w:szCs w:val="20"/>
              </w:rPr>
            </w:pPr>
            <w:r w:rsidRPr="00B7183D">
              <w:rPr>
                <w:rFonts w:eastAsia="Arial"/>
                <w:color w:val="808080" w:themeColor="background1" w:themeShade="80"/>
                <w:sz w:val="20"/>
                <w:szCs w:val="20"/>
              </w:rPr>
              <w:t>Healthy eating</w:t>
            </w:r>
          </w:p>
        </w:tc>
        <w:tc>
          <w:tcPr>
            <w:tcW w:w="1867" w:type="dxa"/>
            <w:shd w:val="clear" w:color="auto" w:fill="F2F2F2" w:themeFill="background1" w:themeFillShade="F2"/>
          </w:tcPr>
          <w:p w:rsidR="00DF13AE" w:rsidRPr="00B7183D" w:rsidRDefault="00DF13AE" w:rsidP="002A373E">
            <w:pPr>
              <w:spacing w:before="8" w:line="150" w:lineRule="exact"/>
              <w:rPr>
                <w:color w:val="808080" w:themeColor="background1" w:themeShade="80"/>
                <w:sz w:val="15"/>
                <w:szCs w:val="15"/>
              </w:rPr>
            </w:pPr>
          </w:p>
          <w:p w:rsidR="00DF13AE" w:rsidRPr="00B7183D" w:rsidRDefault="00DF13AE" w:rsidP="002A373E">
            <w:pPr>
              <w:ind w:left="183" w:right="163"/>
              <w:jc w:val="center"/>
              <w:rPr>
                <w:rFonts w:eastAsia="Arial"/>
                <w:color w:val="808080" w:themeColor="background1" w:themeShade="80"/>
                <w:sz w:val="20"/>
                <w:szCs w:val="20"/>
              </w:rPr>
            </w:pPr>
            <w:r w:rsidRPr="00B7183D">
              <w:rPr>
                <w:rFonts w:eastAsia="Arial"/>
                <w:color w:val="808080" w:themeColor="background1" w:themeShade="80"/>
                <w:sz w:val="20"/>
                <w:szCs w:val="20"/>
              </w:rPr>
              <w:t>A</w:t>
            </w:r>
            <w:r w:rsidRPr="00B7183D">
              <w:rPr>
                <w:rFonts w:eastAsia="Arial"/>
                <w:color w:val="808080" w:themeColor="background1" w:themeShade="80"/>
                <w:spacing w:val="-11"/>
                <w:sz w:val="20"/>
                <w:szCs w:val="20"/>
              </w:rPr>
              <w:t xml:space="preserve"> </w:t>
            </w:r>
            <w:r w:rsidRPr="00B7183D">
              <w:rPr>
                <w:rFonts w:eastAsia="Arial"/>
                <w:color w:val="808080" w:themeColor="background1" w:themeShade="80"/>
                <w:sz w:val="20"/>
                <w:szCs w:val="20"/>
              </w:rPr>
              <w:t>more active</w:t>
            </w:r>
          </w:p>
          <w:p w:rsidR="00DF13AE" w:rsidRPr="00B7183D" w:rsidRDefault="00DF13AE" w:rsidP="002A373E">
            <w:pPr>
              <w:spacing w:before="10"/>
              <w:ind w:left="640" w:right="616"/>
              <w:jc w:val="center"/>
              <w:rPr>
                <w:rFonts w:eastAsia="Arial"/>
                <w:color w:val="808080" w:themeColor="background1" w:themeShade="80"/>
                <w:sz w:val="20"/>
                <w:szCs w:val="20"/>
              </w:rPr>
            </w:pPr>
            <w:r w:rsidRPr="00B7183D">
              <w:rPr>
                <w:rFonts w:eastAsia="Arial"/>
                <w:color w:val="808080" w:themeColor="background1" w:themeShade="80"/>
                <w:spacing w:val="-7"/>
                <w:sz w:val="20"/>
                <w:szCs w:val="20"/>
              </w:rPr>
              <w:t>WA</w:t>
            </w:r>
          </w:p>
        </w:tc>
        <w:tc>
          <w:tcPr>
            <w:tcW w:w="1866" w:type="dxa"/>
            <w:shd w:val="clear" w:color="auto" w:fill="F2F2F2" w:themeFill="background1" w:themeFillShade="F2"/>
          </w:tcPr>
          <w:p w:rsidR="00DF13AE" w:rsidRPr="00B7183D" w:rsidRDefault="00DF13AE" w:rsidP="002A373E">
            <w:pPr>
              <w:spacing w:before="8" w:line="150" w:lineRule="exact"/>
              <w:rPr>
                <w:color w:val="808080" w:themeColor="background1" w:themeShade="80"/>
                <w:sz w:val="15"/>
                <w:szCs w:val="15"/>
              </w:rPr>
            </w:pPr>
          </w:p>
          <w:p w:rsidR="00DF13AE" w:rsidRPr="00B7183D" w:rsidRDefault="00EC6A0B" w:rsidP="00EC6A0B">
            <w:pPr>
              <w:spacing w:line="250" w:lineRule="auto"/>
              <w:ind w:left="187" w:right="133"/>
              <w:jc w:val="center"/>
              <w:rPr>
                <w:rFonts w:eastAsia="Arial"/>
                <w:color w:val="808080" w:themeColor="background1" w:themeShade="80"/>
                <w:sz w:val="20"/>
                <w:szCs w:val="20"/>
              </w:rPr>
            </w:pPr>
            <w:r>
              <w:rPr>
                <w:rFonts w:eastAsia="Arial"/>
                <w:color w:val="808080" w:themeColor="background1" w:themeShade="80"/>
                <w:sz w:val="20"/>
                <w:szCs w:val="20"/>
              </w:rPr>
              <w:t>C</w:t>
            </w:r>
            <w:r w:rsidR="00F51F9A" w:rsidRPr="00B7183D">
              <w:rPr>
                <w:rFonts w:eastAsia="Arial"/>
                <w:color w:val="808080" w:themeColor="background1" w:themeShade="80"/>
                <w:sz w:val="20"/>
                <w:szCs w:val="20"/>
              </w:rPr>
              <w:t xml:space="preserve">urbing the rise in </w:t>
            </w:r>
            <w:r w:rsidR="00DF13AE" w:rsidRPr="00B7183D">
              <w:rPr>
                <w:rFonts w:eastAsia="Arial"/>
                <w:color w:val="808080" w:themeColor="background1" w:themeShade="80"/>
                <w:sz w:val="20"/>
                <w:szCs w:val="20"/>
              </w:rPr>
              <w:t xml:space="preserve">overweight </w:t>
            </w:r>
            <w:r w:rsidR="00126FA0" w:rsidRPr="00B7183D">
              <w:rPr>
                <w:rFonts w:eastAsia="Arial"/>
                <w:color w:val="808080" w:themeColor="background1" w:themeShade="80"/>
                <w:sz w:val="20"/>
                <w:szCs w:val="20"/>
              </w:rPr>
              <w:t xml:space="preserve">and </w:t>
            </w:r>
            <w:r w:rsidR="00DF13AE" w:rsidRPr="00B7183D">
              <w:rPr>
                <w:rFonts w:eastAsia="Arial"/>
                <w:color w:val="808080" w:themeColor="background1" w:themeShade="80"/>
                <w:sz w:val="20"/>
                <w:szCs w:val="20"/>
              </w:rPr>
              <w:t>obesity</w:t>
            </w:r>
          </w:p>
        </w:tc>
        <w:tc>
          <w:tcPr>
            <w:tcW w:w="1867" w:type="dxa"/>
            <w:shd w:val="clear" w:color="auto" w:fill="F2F2F2" w:themeFill="background1" w:themeFillShade="F2"/>
          </w:tcPr>
          <w:p w:rsidR="00DF13AE" w:rsidRPr="00B7183D" w:rsidRDefault="00DF13AE" w:rsidP="002A373E">
            <w:pPr>
              <w:spacing w:before="8" w:line="150" w:lineRule="exact"/>
              <w:rPr>
                <w:color w:val="808080" w:themeColor="background1" w:themeShade="80"/>
                <w:sz w:val="15"/>
                <w:szCs w:val="15"/>
              </w:rPr>
            </w:pPr>
          </w:p>
          <w:p w:rsidR="00DF13AE" w:rsidRPr="00B7183D" w:rsidRDefault="00DF13AE" w:rsidP="002A373E">
            <w:pPr>
              <w:spacing w:line="250" w:lineRule="auto"/>
              <w:ind w:left="532" w:right="50" w:hanging="428"/>
              <w:rPr>
                <w:rFonts w:eastAsia="Arial"/>
                <w:color w:val="808080" w:themeColor="background1" w:themeShade="80"/>
                <w:sz w:val="20"/>
                <w:szCs w:val="20"/>
              </w:rPr>
            </w:pPr>
            <w:r w:rsidRPr="00B7183D">
              <w:rPr>
                <w:rFonts w:eastAsia="Arial"/>
                <w:color w:val="808080" w:themeColor="background1" w:themeShade="80"/>
                <w:sz w:val="20"/>
                <w:szCs w:val="20"/>
              </w:rPr>
              <w:t>Making smoking history</w:t>
            </w:r>
          </w:p>
        </w:tc>
        <w:tc>
          <w:tcPr>
            <w:tcW w:w="1866" w:type="dxa"/>
            <w:shd w:val="clear" w:color="auto" w:fill="F2F2F2" w:themeFill="background1" w:themeFillShade="F2"/>
            <w:vAlign w:val="center"/>
          </w:tcPr>
          <w:p w:rsidR="00DF13AE" w:rsidRPr="00B7183D" w:rsidRDefault="00DF13AE" w:rsidP="00126FA0">
            <w:pPr>
              <w:spacing w:before="38" w:line="250" w:lineRule="auto"/>
              <w:ind w:left="131" w:right="111"/>
              <w:jc w:val="center"/>
              <w:rPr>
                <w:rFonts w:eastAsia="Arial"/>
                <w:color w:val="808080" w:themeColor="background1" w:themeShade="80"/>
                <w:sz w:val="20"/>
                <w:szCs w:val="20"/>
              </w:rPr>
            </w:pPr>
            <w:r w:rsidRPr="00B7183D">
              <w:rPr>
                <w:rFonts w:eastAsia="Arial"/>
                <w:color w:val="808080" w:themeColor="background1" w:themeShade="80"/>
                <w:sz w:val="20"/>
                <w:szCs w:val="20"/>
              </w:rPr>
              <w:t>Reducing harmful alcohol use</w:t>
            </w:r>
          </w:p>
        </w:tc>
        <w:tc>
          <w:tcPr>
            <w:tcW w:w="1867" w:type="dxa"/>
            <w:shd w:val="clear" w:color="auto" w:fill="F2F2F2" w:themeFill="background1" w:themeFillShade="F2"/>
            <w:vAlign w:val="center"/>
          </w:tcPr>
          <w:p w:rsidR="00DF13AE" w:rsidRPr="00B7183D" w:rsidRDefault="00853679" w:rsidP="00126FA0">
            <w:pPr>
              <w:spacing w:line="250" w:lineRule="auto"/>
              <w:ind w:left="88" w:right="130"/>
              <w:jc w:val="center"/>
              <w:rPr>
                <w:rFonts w:eastAsia="Arial"/>
                <w:color w:val="808080" w:themeColor="background1" w:themeShade="80"/>
                <w:sz w:val="20"/>
                <w:szCs w:val="20"/>
              </w:rPr>
            </w:pPr>
            <w:r w:rsidRPr="00B7183D">
              <w:rPr>
                <w:rFonts w:eastAsia="Arial"/>
                <w:color w:val="808080" w:themeColor="background1" w:themeShade="80"/>
                <w:sz w:val="20"/>
                <w:szCs w:val="20"/>
              </w:rPr>
              <w:t>Preventing injury</w:t>
            </w:r>
            <w:r w:rsidR="00DF13AE" w:rsidRPr="00B7183D">
              <w:rPr>
                <w:rFonts w:eastAsia="Arial"/>
                <w:color w:val="808080" w:themeColor="background1" w:themeShade="80"/>
                <w:sz w:val="20"/>
                <w:szCs w:val="20"/>
              </w:rPr>
              <w:t xml:space="preserve"> </w:t>
            </w:r>
            <w:r w:rsidR="00E62272" w:rsidRPr="00B7183D">
              <w:rPr>
                <w:rFonts w:eastAsia="Arial"/>
                <w:color w:val="808080" w:themeColor="background1" w:themeShade="80"/>
                <w:sz w:val="20"/>
                <w:szCs w:val="20"/>
              </w:rPr>
              <w:t>and</w:t>
            </w:r>
            <w:r w:rsidR="00DF13AE" w:rsidRPr="00B7183D">
              <w:rPr>
                <w:rFonts w:eastAsia="Arial"/>
                <w:color w:val="808080" w:themeColor="background1" w:themeShade="80"/>
                <w:sz w:val="20"/>
                <w:szCs w:val="20"/>
              </w:rPr>
              <w:t xml:space="preserve"> </w:t>
            </w:r>
            <w:r w:rsidR="00134E8E" w:rsidRPr="00B7183D">
              <w:rPr>
                <w:rFonts w:eastAsia="Arial"/>
                <w:color w:val="808080" w:themeColor="background1" w:themeShade="80"/>
                <w:sz w:val="20"/>
                <w:szCs w:val="20"/>
              </w:rPr>
              <w:t xml:space="preserve">promoting </w:t>
            </w:r>
            <w:r w:rsidR="00DF13AE" w:rsidRPr="00B7183D">
              <w:rPr>
                <w:rFonts w:eastAsia="Arial"/>
                <w:color w:val="808080" w:themeColor="background1" w:themeShade="80"/>
                <w:sz w:val="20"/>
                <w:szCs w:val="20"/>
              </w:rPr>
              <w:t>safer communities</w:t>
            </w:r>
          </w:p>
        </w:tc>
      </w:tr>
      <w:tr w:rsidR="00DF13AE" w:rsidTr="004F10EE">
        <w:trPr>
          <w:trHeight w:hRule="exact" w:val="5238"/>
        </w:trPr>
        <w:tc>
          <w:tcPr>
            <w:tcW w:w="1866" w:type="dxa"/>
          </w:tcPr>
          <w:p w:rsidR="00DF13AE" w:rsidRDefault="001D20EA" w:rsidP="004F7F00">
            <w:pPr>
              <w:rPr>
                <w:rFonts w:eastAsia="Arial"/>
                <w:sz w:val="18"/>
                <w:szCs w:val="18"/>
              </w:rPr>
            </w:pPr>
            <w:r>
              <w:rPr>
                <w:rFonts w:eastAsia="Arial"/>
                <w:sz w:val="18"/>
                <w:szCs w:val="18"/>
              </w:rPr>
              <w:t xml:space="preserve">Foster </w:t>
            </w:r>
            <w:r w:rsidR="004F7F00" w:rsidRPr="0087313A">
              <w:rPr>
                <w:rFonts w:eastAsia="Arial"/>
                <w:sz w:val="18"/>
                <w:szCs w:val="18"/>
              </w:rPr>
              <w:t>environments that promote and s</w:t>
            </w:r>
            <w:r w:rsidR="005641D7">
              <w:rPr>
                <w:rFonts w:eastAsia="Arial"/>
                <w:sz w:val="18"/>
                <w:szCs w:val="18"/>
              </w:rPr>
              <w:t xml:space="preserve">upport </w:t>
            </w:r>
            <w:r w:rsidR="003924BC">
              <w:rPr>
                <w:rFonts w:eastAsia="Arial"/>
                <w:sz w:val="18"/>
                <w:szCs w:val="18"/>
              </w:rPr>
              <w:t>healthy eating</w:t>
            </w:r>
            <w:r w:rsidR="005641D7">
              <w:rPr>
                <w:rFonts w:eastAsia="Arial"/>
                <w:sz w:val="18"/>
                <w:szCs w:val="18"/>
              </w:rPr>
              <w:t xml:space="preserve"> patterns</w:t>
            </w:r>
          </w:p>
          <w:p w:rsidR="00A26433" w:rsidRDefault="00A26433" w:rsidP="004F7F00">
            <w:pPr>
              <w:rPr>
                <w:rFonts w:eastAsia="Arial"/>
                <w:sz w:val="18"/>
                <w:szCs w:val="18"/>
              </w:rPr>
            </w:pPr>
          </w:p>
          <w:p w:rsidR="004F7F00" w:rsidRPr="0087313A" w:rsidRDefault="004F4CB0" w:rsidP="004F7F00">
            <w:pPr>
              <w:rPr>
                <w:rFonts w:eastAsia="Arial"/>
                <w:sz w:val="18"/>
                <w:szCs w:val="18"/>
              </w:rPr>
            </w:pPr>
            <w:r>
              <w:rPr>
                <w:rFonts w:eastAsia="Arial"/>
                <w:sz w:val="18"/>
                <w:szCs w:val="18"/>
              </w:rPr>
              <w:t xml:space="preserve">Increase </w:t>
            </w:r>
            <w:r w:rsidR="004F7F00" w:rsidRPr="0087313A">
              <w:rPr>
                <w:rFonts w:eastAsia="Arial"/>
                <w:sz w:val="18"/>
                <w:szCs w:val="18"/>
              </w:rPr>
              <w:t xml:space="preserve">availability </w:t>
            </w:r>
            <w:r w:rsidR="00194AD8">
              <w:rPr>
                <w:rFonts w:eastAsia="Arial"/>
                <w:sz w:val="18"/>
                <w:szCs w:val="18"/>
              </w:rPr>
              <w:t xml:space="preserve">and </w:t>
            </w:r>
            <w:r w:rsidR="004F7F00" w:rsidRPr="0087313A">
              <w:rPr>
                <w:rFonts w:eastAsia="Arial"/>
                <w:sz w:val="18"/>
                <w:szCs w:val="18"/>
              </w:rPr>
              <w:t xml:space="preserve">accessibility of quality, affordable nutritious food </w:t>
            </w:r>
            <w:r w:rsidR="006660DB">
              <w:rPr>
                <w:rFonts w:eastAsia="Arial"/>
                <w:sz w:val="18"/>
                <w:szCs w:val="18"/>
              </w:rPr>
              <w:t>for all</w:t>
            </w:r>
          </w:p>
          <w:p w:rsidR="004F7F00" w:rsidRPr="0087313A" w:rsidRDefault="004F7F00" w:rsidP="004F7F00">
            <w:pPr>
              <w:rPr>
                <w:rFonts w:eastAsia="Arial"/>
                <w:sz w:val="18"/>
                <w:szCs w:val="18"/>
              </w:rPr>
            </w:pPr>
          </w:p>
          <w:p w:rsidR="004F7F00" w:rsidRPr="0087313A" w:rsidRDefault="00EF6DB3" w:rsidP="004F7F00">
            <w:pPr>
              <w:rPr>
                <w:rFonts w:eastAsia="Arial"/>
                <w:sz w:val="18"/>
                <w:szCs w:val="18"/>
              </w:rPr>
            </w:pPr>
            <w:r w:rsidRPr="00EF6DB3">
              <w:rPr>
                <w:rFonts w:eastAsia="Arial"/>
                <w:sz w:val="18"/>
                <w:szCs w:val="18"/>
              </w:rPr>
              <w:t>Increase the knowledge and skills necessary to choose a healthy diet</w:t>
            </w:r>
          </w:p>
        </w:tc>
        <w:tc>
          <w:tcPr>
            <w:tcW w:w="1867" w:type="dxa"/>
          </w:tcPr>
          <w:p w:rsidR="00DF13AE" w:rsidRPr="0087313A" w:rsidRDefault="000E0377" w:rsidP="004F7F00">
            <w:pPr>
              <w:rPr>
                <w:rFonts w:eastAsia="Arial"/>
                <w:sz w:val="18"/>
                <w:szCs w:val="18"/>
              </w:rPr>
            </w:pPr>
            <w:r>
              <w:rPr>
                <w:rFonts w:eastAsia="Arial"/>
                <w:sz w:val="18"/>
                <w:szCs w:val="18"/>
              </w:rPr>
              <w:t>Promote environments that support physical activity and reduced sedentary behaviour</w:t>
            </w:r>
          </w:p>
          <w:p w:rsidR="004F7F00" w:rsidRPr="0087313A" w:rsidRDefault="004F7F00" w:rsidP="004F7F00">
            <w:pPr>
              <w:rPr>
                <w:rFonts w:eastAsia="Arial"/>
                <w:sz w:val="18"/>
                <w:szCs w:val="18"/>
              </w:rPr>
            </w:pPr>
          </w:p>
          <w:p w:rsidR="004F7F00" w:rsidRDefault="004F7F00" w:rsidP="004F7F00">
            <w:pPr>
              <w:rPr>
                <w:rFonts w:eastAsia="Arial"/>
                <w:sz w:val="18"/>
                <w:szCs w:val="18"/>
              </w:rPr>
            </w:pPr>
            <w:r w:rsidRPr="0087313A">
              <w:rPr>
                <w:rFonts w:eastAsia="Arial"/>
                <w:sz w:val="18"/>
                <w:szCs w:val="18"/>
              </w:rPr>
              <w:t>Reduce barriers and increase opportunities for physical activity</w:t>
            </w:r>
            <w:r w:rsidR="000E0377">
              <w:rPr>
                <w:rFonts w:eastAsia="Arial"/>
                <w:sz w:val="18"/>
                <w:szCs w:val="18"/>
              </w:rPr>
              <w:t xml:space="preserve"> across all populations</w:t>
            </w:r>
          </w:p>
          <w:p w:rsidR="000E0377" w:rsidRDefault="000E0377" w:rsidP="004F7F00">
            <w:pPr>
              <w:rPr>
                <w:rFonts w:eastAsia="Arial"/>
                <w:sz w:val="18"/>
                <w:szCs w:val="18"/>
              </w:rPr>
            </w:pPr>
          </w:p>
          <w:p w:rsidR="000E0377" w:rsidRDefault="000E0377" w:rsidP="004F7F00">
            <w:pPr>
              <w:rPr>
                <w:rFonts w:eastAsia="Arial"/>
                <w:sz w:val="18"/>
                <w:szCs w:val="18"/>
              </w:rPr>
            </w:pPr>
            <w:r>
              <w:rPr>
                <w:rFonts w:eastAsia="Arial"/>
                <w:sz w:val="18"/>
                <w:szCs w:val="18"/>
              </w:rPr>
              <w:t xml:space="preserve">Increase understanding of the benefits of </w:t>
            </w:r>
            <w:r w:rsidR="00DA683C">
              <w:rPr>
                <w:rFonts w:eastAsia="Arial"/>
                <w:sz w:val="18"/>
                <w:szCs w:val="18"/>
              </w:rPr>
              <w:t>physical activity and encourage increased activity at all stages of life</w:t>
            </w:r>
          </w:p>
          <w:p w:rsidR="00DA683C" w:rsidRDefault="00DA683C" w:rsidP="004F7F00">
            <w:pPr>
              <w:rPr>
                <w:rFonts w:eastAsia="Arial"/>
                <w:sz w:val="18"/>
                <w:szCs w:val="18"/>
              </w:rPr>
            </w:pPr>
          </w:p>
          <w:p w:rsidR="00DA683C" w:rsidRPr="0087313A" w:rsidRDefault="00A36ECB" w:rsidP="004F7F00">
            <w:pPr>
              <w:rPr>
                <w:rFonts w:eastAsia="Arial"/>
                <w:sz w:val="18"/>
                <w:szCs w:val="18"/>
              </w:rPr>
            </w:pPr>
            <w:r>
              <w:rPr>
                <w:rFonts w:eastAsia="Arial"/>
                <w:sz w:val="18"/>
                <w:szCs w:val="18"/>
              </w:rPr>
              <w:t>Motivate lifestyle changes to reduce</w:t>
            </w:r>
            <w:r w:rsidR="00DA683C">
              <w:rPr>
                <w:rFonts w:eastAsia="Arial"/>
                <w:sz w:val="18"/>
                <w:szCs w:val="18"/>
              </w:rPr>
              <w:t xml:space="preserve"> sedentary behaviour</w:t>
            </w:r>
          </w:p>
        </w:tc>
        <w:tc>
          <w:tcPr>
            <w:tcW w:w="1866" w:type="dxa"/>
          </w:tcPr>
          <w:p w:rsidR="00DF13AE" w:rsidRPr="0087313A" w:rsidRDefault="009D1D80" w:rsidP="00977C20">
            <w:pPr>
              <w:rPr>
                <w:rFonts w:eastAsia="Arial"/>
                <w:sz w:val="18"/>
                <w:szCs w:val="18"/>
              </w:rPr>
            </w:pPr>
            <w:r>
              <w:rPr>
                <w:rFonts w:eastAsia="Arial"/>
                <w:sz w:val="18"/>
                <w:szCs w:val="18"/>
              </w:rPr>
              <w:t>Promote</w:t>
            </w:r>
            <w:r w:rsidR="004F7F00" w:rsidRPr="0087313A">
              <w:rPr>
                <w:rFonts w:eastAsia="Arial"/>
                <w:sz w:val="18"/>
                <w:szCs w:val="18"/>
              </w:rPr>
              <w:t xml:space="preserve"> environments </w:t>
            </w:r>
            <w:r w:rsidR="00674CF9">
              <w:rPr>
                <w:rFonts w:eastAsia="Arial"/>
                <w:sz w:val="18"/>
                <w:szCs w:val="18"/>
              </w:rPr>
              <w:t>that support people to achieve and maintain a healthy weight</w:t>
            </w:r>
          </w:p>
          <w:p w:rsidR="00977C20" w:rsidRPr="0087313A" w:rsidRDefault="00977C20" w:rsidP="00977C20">
            <w:pPr>
              <w:rPr>
                <w:rFonts w:eastAsia="Arial"/>
                <w:sz w:val="18"/>
                <w:szCs w:val="18"/>
              </w:rPr>
            </w:pPr>
          </w:p>
          <w:p w:rsidR="00674CF9" w:rsidRDefault="00674CF9" w:rsidP="00977C20">
            <w:pPr>
              <w:rPr>
                <w:rFonts w:eastAsia="Arial"/>
                <w:sz w:val="18"/>
                <w:szCs w:val="18"/>
              </w:rPr>
            </w:pPr>
            <w:r>
              <w:rPr>
                <w:rFonts w:eastAsia="Arial"/>
                <w:sz w:val="18"/>
                <w:szCs w:val="18"/>
              </w:rPr>
              <w:t>Prevent and reverse childhood overweight and obesity</w:t>
            </w:r>
          </w:p>
          <w:p w:rsidR="00674CF9" w:rsidRDefault="00674CF9" w:rsidP="00977C20">
            <w:pPr>
              <w:rPr>
                <w:rFonts w:eastAsia="Arial"/>
                <w:sz w:val="18"/>
                <w:szCs w:val="18"/>
              </w:rPr>
            </w:pPr>
          </w:p>
          <w:p w:rsidR="004F7F00" w:rsidRPr="0087313A" w:rsidRDefault="005A7D04" w:rsidP="00977C20">
            <w:pPr>
              <w:rPr>
                <w:rFonts w:eastAsia="Arial"/>
                <w:sz w:val="18"/>
                <w:szCs w:val="18"/>
              </w:rPr>
            </w:pPr>
            <w:r>
              <w:rPr>
                <w:rFonts w:eastAsia="Arial"/>
                <w:sz w:val="18"/>
                <w:szCs w:val="18"/>
              </w:rPr>
              <w:t>M</w:t>
            </w:r>
            <w:r w:rsidR="00674CF9">
              <w:rPr>
                <w:rFonts w:eastAsia="Arial"/>
                <w:sz w:val="18"/>
                <w:szCs w:val="18"/>
              </w:rPr>
              <w:t>otivate behavior to achieve and maintain a healthy weight</w:t>
            </w:r>
            <w:r w:rsidR="00F72CC9">
              <w:rPr>
                <w:rFonts w:eastAsia="Arial"/>
                <w:sz w:val="18"/>
                <w:szCs w:val="18"/>
              </w:rPr>
              <w:t xml:space="preserve"> among adu</w:t>
            </w:r>
            <w:r w:rsidR="0006060C">
              <w:rPr>
                <w:rFonts w:eastAsia="Arial"/>
                <w:sz w:val="18"/>
                <w:szCs w:val="18"/>
              </w:rPr>
              <w:t>l</w:t>
            </w:r>
            <w:r w:rsidR="00F72CC9">
              <w:rPr>
                <w:rFonts w:eastAsia="Arial"/>
                <w:sz w:val="18"/>
                <w:szCs w:val="18"/>
              </w:rPr>
              <w:t>ts</w:t>
            </w:r>
          </w:p>
          <w:p w:rsidR="00977C20" w:rsidRPr="0087313A" w:rsidRDefault="00977C20" w:rsidP="00977C20">
            <w:pPr>
              <w:rPr>
                <w:rFonts w:eastAsia="Arial"/>
                <w:sz w:val="18"/>
                <w:szCs w:val="18"/>
              </w:rPr>
            </w:pPr>
          </w:p>
          <w:p w:rsidR="00977C20" w:rsidRPr="0087313A" w:rsidRDefault="00977C20" w:rsidP="0087313A">
            <w:pPr>
              <w:rPr>
                <w:rFonts w:eastAsia="Arial"/>
                <w:sz w:val="18"/>
                <w:szCs w:val="18"/>
              </w:rPr>
            </w:pPr>
          </w:p>
        </w:tc>
        <w:tc>
          <w:tcPr>
            <w:tcW w:w="1867" w:type="dxa"/>
          </w:tcPr>
          <w:p w:rsidR="00DF13AE" w:rsidRPr="0087313A" w:rsidRDefault="00977C20" w:rsidP="0087313A">
            <w:pPr>
              <w:ind w:right="57"/>
              <w:rPr>
                <w:rFonts w:eastAsia="Arial"/>
                <w:sz w:val="18"/>
                <w:szCs w:val="18"/>
              </w:rPr>
            </w:pPr>
            <w:r w:rsidRPr="0087313A">
              <w:rPr>
                <w:rFonts w:eastAsia="Arial"/>
                <w:sz w:val="18"/>
                <w:szCs w:val="18"/>
              </w:rPr>
              <w:t xml:space="preserve">Continue efforts to </w:t>
            </w:r>
            <w:r w:rsidR="00B101E9">
              <w:rPr>
                <w:rFonts w:eastAsia="Arial"/>
                <w:sz w:val="18"/>
                <w:szCs w:val="18"/>
              </w:rPr>
              <w:t>lower smoking rates</w:t>
            </w:r>
          </w:p>
          <w:p w:rsidR="0087313A" w:rsidRPr="0087313A" w:rsidRDefault="0087313A" w:rsidP="0087313A">
            <w:pPr>
              <w:ind w:right="57"/>
              <w:rPr>
                <w:rFonts w:eastAsia="Arial"/>
                <w:sz w:val="18"/>
                <w:szCs w:val="18"/>
              </w:rPr>
            </w:pPr>
          </w:p>
          <w:p w:rsidR="00977C20" w:rsidRPr="0087313A" w:rsidRDefault="00977C20" w:rsidP="0087313A">
            <w:pPr>
              <w:rPr>
                <w:rFonts w:eastAsia="Arial"/>
                <w:sz w:val="18"/>
                <w:szCs w:val="18"/>
              </w:rPr>
            </w:pPr>
            <w:r w:rsidRPr="0087313A">
              <w:rPr>
                <w:rFonts w:eastAsia="Arial"/>
                <w:sz w:val="18"/>
                <w:szCs w:val="18"/>
              </w:rPr>
              <w:t xml:space="preserve">Eliminate exposure to </w:t>
            </w:r>
            <w:r w:rsidR="001D1AA4">
              <w:rPr>
                <w:rFonts w:eastAsia="Arial"/>
                <w:sz w:val="18"/>
                <w:szCs w:val="18"/>
              </w:rPr>
              <w:t>secondhand</w:t>
            </w:r>
            <w:r w:rsidRPr="0087313A">
              <w:rPr>
                <w:rFonts w:eastAsia="Arial"/>
                <w:sz w:val="18"/>
                <w:szCs w:val="18"/>
              </w:rPr>
              <w:t xml:space="preserve"> smoke </w:t>
            </w:r>
            <w:r w:rsidR="0087313A" w:rsidRPr="0087313A">
              <w:rPr>
                <w:rFonts w:eastAsia="Arial"/>
                <w:sz w:val="18"/>
                <w:szCs w:val="18"/>
              </w:rPr>
              <w:t xml:space="preserve">where </w:t>
            </w:r>
            <w:r w:rsidR="001D1AA4">
              <w:rPr>
                <w:rFonts w:eastAsia="Arial"/>
                <w:sz w:val="18"/>
                <w:szCs w:val="18"/>
              </w:rPr>
              <w:t xml:space="preserve">the health of </w:t>
            </w:r>
            <w:r w:rsidR="005641D7">
              <w:rPr>
                <w:rFonts w:eastAsia="Arial"/>
                <w:sz w:val="18"/>
                <w:szCs w:val="18"/>
              </w:rPr>
              <w:t>others</w:t>
            </w:r>
            <w:r w:rsidR="007549D8">
              <w:rPr>
                <w:rFonts w:eastAsia="Arial"/>
                <w:sz w:val="18"/>
                <w:szCs w:val="18"/>
              </w:rPr>
              <w:t xml:space="preserve"> </w:t>
            </w:r>
            <w:r w:rsidR="005641D7">
              <w:rPr>
                <w:rFonts w:eastAsia="Arial"/>
                <w:sz w:val="18"/>
                <w:szCs w:val="18"/>
              </w:rPr>
              <w:t>can be affected</w:t>
            </w:r>
          </w:p>
          <w:p w:rsidR="0087313A" w:rsidRPr="0087313A" w:rsidRDefault="0087313A" w:rsidP="0087313A">
            <w:pPr>
              <w:rPr>
                <w:rFonts w:eastAsia="Arial"/>
                <w:sz w:val="18"/>
                <w:szCs w:val="18"/>
              </w:rPr>
            </w:pPr>
          </w:p>
          <w:p w:rsidR="0087313A" w:rsidRDefault="007549D8" w:rsidP="0087313A">
            <w:pPr>
              <w:ind w:right="57"/>
              <w:rPr>
                <w:rFonts w:eastAsia="Arial"/>
                <w:sz w:val="18"/>
                <w:szCs w:val="18"/>
              </w:rPr>
            </w:pPr>
            <w:r>
              <w:rPr>
                <w:rFonts w:eastAsia="Arial"/>
                <w:sz w:val="18"/>
                <w:szCs w:val="18"/>
              </w:rPr>
              <w:t>R</w:t>
            </w:r>
            <w:r w:rsidR="0087313A" w:rsidRPr="0087313A">
              <w:rPr>
                <w:rFonts w:eastAsia="Arial"/>
                <w:sz w:val="18"/>
                <w:szCs w:val="18"/>
              </w:rPr>
              <w:t xml:space="preserve">educe smoking </w:t>
            </w:r>
            <w:r>
              <w:rPr>
                <w:rFonts w:eastAsia="Arial"/>
                <w:sz w:val="18"/>
                <w:szCs w:val="18"/>
              </w:rPr>
              <w:t xml:space="preserve">in </w:t>
            </w:r>
            <w:r w:rsidR="002F20AB">
              <w:rPr>
                <w:rFonts w:eastAsia="Arial"/>
                <w:sz w:val="18"/>
                <w:szCs w:val="18"/>
              </w:rPr>
              <w:t>groups</w:t>
            </w:r>
            <w:r w:rsidR="005641D7">
              <w:rPr>
                <w:rFonts w:eastAsia="Arial"/>
                <w:sz w:val="18"/>
                <w:szCs w:val="18"/>
              </w:rPr>
              <w:t xml:space="preserve"> </w:t>
            </w:r>
            <w:r w:rsidR="00194AD8">
              <w:rPr>
                <w:rFonts w:eastAsia="Arial"/>
                <w:sz w:val="18"/>
                <w:szCs w:val="18"/>
              </w:rPr>
              <w:t xml:space="preserve">with higher </w:t>
            </w:r>
            <w:r w:rsidR="005E68CA">
              <w:rPr>
                <w:rFonts w:eastAsia="Arial"/>
                <w:sz w:val="18"/>
                <w:szCs w:val="18"/>
              </w:rPr>
              <w:t xml:space="preserve">smoking </w:t>
            </w:r>
            <w:r>
              <w:rPr>
                <w:rFonts w:eastAsia="Arial"/>
                <w:sz w:val="18"/>
                <w:szCs w:val="18"/>
              </w:rPr>
              <w:t>rates</w:t>
            </w:r>
            <w:r w:rsidR="0087313A" w:rsidRPr="0087313A">
              <w:rPr>
                <w:rFonts w:eastAsia="Arial"/>
                <w:sz w:val="18"/>
                <w:szCs w:val="18"/>
              </w:rPr>
              <w:t xml:space="preserve"> </w:t>
            </w:r>
          </w:p>
          <w:p w:rsidR="0087313A" w:rsidRDefault="0087313A" w:rsidP="0087313A">
            <w:pPr>
              <w:ind w:right="57"/>
              <w:rPr>
                <w:rFonts w:eastAsia="Arial"/>
                <w:sz w:val="18"/>
                <w:szCs w:val="18"/>
              </w:rPr>
            </w:pPr>
          </w:p>
          <w:p w:rsidR="00794663" w:rsidRPr="00194AD8" w:rsidRDefault="007549D8" w:rsidP="00794663">
            <w:pPr>
              <w:ind w:right="57"/>
              <w:rPr>
                <w:rFonts w:eastAsia="Arial"/>
                <w:sz w:val="18"/>
                <w:szCs w:val="18"/>
              </w:rPr>
            </w:pPr>
            <w:r>
              <w:rPr>
                <w:rFonts w:eastAsia="Arial"/>
                <w:sz w:val="18"/>
                <w:szCs w:val="18"/>
              </w:rPr>
              <w:t xml:space="preserve">Improve </w:t>
            </w:r>
            <w:r w:rsidR="00794663" w:rsidRPr="00194AD8">
              <w:rPr>
                <w:rFonts w:eastAsia="Arial"/>
                <w:sz w:val="18"/>
                <w:szCs w:val="18"/>
              </w:rPr>
              <w:t>regulation of c</w:t>
            </w:r>
            <w:r w:rsidR="005E68CA">
              <w:rPr>
                <w:rFonts w:eastAsia="Arial"/>
                <w:sz w:val="18"/>
                <w:szCs w:val="18"/>
              </w:rPr>
              <w:t>ontents, product disclosure and</w:t>
            </w:r>
            <w:r w:rsidR="002F20AB">
              <w:rPr>
                <w:rFonts w:eastAsia="Arial"/>
                <w:sz w:val="18"/>
                <w:szCs w:val="18"/>
              </w:rPr>
              <w:t xml:space="preserve"> supply</w:t>
            </w:r>
          </w:p>
          <w:p w:rsidR="00794663" w:rsidRPr="00194AD8" w:rsidRDefault="00794663" w:rsidP="0087313A">
            <w:pPr>
              <w:ind w:right="57"/>
              <w:rPr>
                <w:rFonts w:eastAsia="Arial"/>
                <w:sz w:val="18"/>
                <w:szCs w:val="18"/>
              </w:rPr>
            </w:pPr>
          </w:p>
          <w:p w:rsidR="0087313A" w:rsidRPr="0087313A" w:rsidRDefault="00794663" w:rsidP="007549D8">
            <w:pPr>
              <w:ind w:right="57"/>
              <w:rPr>
                <w:rFonts w:eastAsia="Arial"/>
                <w:sz w:val="18"/>
                <w:szCs w:val="18"/>
              </w:rPr>
            </w:pPr>
            <w:r w:rsidRPr="00194AD8">
              <w:rPr>
                <w:rFonts w:eastAsia="Arial"/>
                <w:sz w:val="18"/>
                <w:szCs w:val="18"/>
              </w:rPr>
              <w:t>Monitor</w:t>
            </w:r>
            <w:r w:rsidR="00E61EC9" w:rsidRPr="00194AD8">
              <w:rPr>
                <w:rFonts w:eastAsia="Arial"/>
                <w:sz w:val="18"/>
                <w:szCs w:val="18"/>
              </w:rPr>
              <w:t xml:space="preserve"> </w:t>
            </w:r>
            <w:r w:rsidRPr="00194AD8">
              <w:rPr>
                <w:rFonts w:eastAsia="Arial"/>
                <w:sz w:val="18"/>
                <w:szCs w:val="18"/>
              </w:rPr>
              <w:t xml:space="preserve">emerging products and trends </w:t>
            </w:r>
          </w:p>
        </w:tc>
        <w:tc>
          <w:tcPr>
            <w:tcW w:w="1866" w:type="dxa"/>
          </w:tcPr>
          <w:p w:rsidR="00DF13AE" w:rsidRDefault="00A37B79" w:rsidP="00500BB8">
            <w:pPr>
              <w:rPr>
                <w:rFonts w:eastAsia="Arial"/>
                <w:sz w:val="18"/>
                <w:szCs w:val="18"/>
              </w:rPr>
            </w:pPr>
            <w:r>
              <w:rPr>
                <w:rFonts w:eastAsia="Arial"/>
                <w:sz w:val="18"/>
                <w:szCs w:val="18"/>
              </w:rPr>
              <w:t>Change communit</w:t>
            </w:r>
            <w:r w:rsidR="005641D7">
              <w:rPr>
                <w:rFonts w:eastAsia="Arial"/>
                <w:sz w:val="18"/>
                <w:szCs w:val="18"/>
              </w:rPr>
              <w:t>y attitudes towards alcohol use</w:t>
            </w:r>
          </w:p>
          <w:p w:rsidR="00500BB8" w:rsidRDefault="00500BB8" w:rsidP="00500BB8">
            <w:pPr>
              <w:rPr>
                <w:rFonts w:eastAsia="Arial"/>
                <w:sz w:val="18"/>
                <w:szCs w:val="18"/>
              </w:rPr>
            </w:pPr>
          </w:p>
          <w:p w:rsidR="00A37B79" w:rsidRDefault="00A37B79" w:rsidP="00500BB8">
            <w:pPr>
              <w:rPr>
                <w:rFonts w:eastAsia="Arial"/>
                <w:sz w:val="18"/>
                <w:szCs w:val="18"/>
              </w:rPr>
            </w:pPr>
            <w:r>
              <w:rPr>
                <w:rFonts w:eastAsia="Arial"/>
                <w:sz w:val="18"/>
                <w:szCs w:val="18"/>
              </w:rPr>
              <w:t>Influence the supply</w:t>
            </w:r>
            <w:r w:rsidR="00500BB8">
              <w:rPr>
                <w:rFonts w:eastAsia="Arial"/>
                <w:sz w:val="18"/>
                <w:szCs w:val="18"/>
              </w:rPr>
              <w:t xml:space="preserve"> </w:t>
            </w:r>
            <w:r w:rsidR="005641D7">
              <w:rPr>
                <w:rFonts w:eastAsia="Arial"/>
                <w:sz w:val="18"/>
                <w:szCs w:val="18"/>
              </w:rPr>
              <w:t>of alcohol</w:t>
            </w:r>
          </w:p>
          <w:p w:rsidR="00500BB8" w:rsidRDefault="00500BB8" w:rsidP="00500BB8">
            <w:pPr>
              <w:rPr>
                <w:rFonts w:eastAsia="Arial"/>
                <w:sz w:val="18"/>
                <w:szCs w:val="18"/>
              </w:rPr>
            </w:pPr>
          </w:p>
          <w:p w:rsidR="00A37B79" w:rsidRDefault="005641D7" w:rsidP="00500BB8">
            <w:pPr>
              <w:rPr>
                <w:rFonts w:eastAsia="Arial"/>
                <w:sz w:val="18"/>
                <w:szCs w:val="18"/>
              </w:rPr>
            </w:pPr>
            <w:r>
              <w:rPr>
                <w:rFonts w:eastAsia="Arial"/>
                <w:sz w:val="18"/>
                <w:szCs w:val="18"/>
              </w:rPr>
              <w:t>Reduce demand for alcohol</w:t>
            </w:r>
          </w:p>
          <w:p w:rsidR="00500BB8" w:rsidRDefault="00500BB8" w:rsidP="00500BB8">
            <w:pPr>
              <w:rPr>
                <w:rFonts w:eastAsia="Arial"/>
                <w:sz w:val="18"/>
                <w:szCs w:val="18"/>
              </w:rPr>
            </w:pPr>
          </w:p>
          <w:p w:rsidR="00A37B79" w:rsidRPr="0087313A" w:rsidRDefault="00A37B79" w:rsidP="00500BB8">
            <w:pPr>
              <w:rPr>
                <w:rFonts w:eastAsia="Arial"/>
                <w:sz w:val="18"/>
                <w:szCs w:val="18"/>
              </w:rPr>
            </w:pPr>
          </w:p>
        </w:tc>
        <w:tc>
          <w:tcPr>
            <w:tcW w:w="1867" w:type="dxa"/>
          </w:tcPr>
          <w:p w:rsidR="00A75E26" w:rsidRDefault="00A75E26" w:rsidP="00A75E26">
            <w:pPr>
              <w:rPr>
                <w:rFonts w:eastAsia="Arial"/>
                <w:sz w:val="18"/>
                <w:szCs w:val="18"/>
              </w:rPr>
            </w:pPr>
            <w:r>
              <w:rPr>
                <w:rFonts w:eastAsia="Arial"/>
                <w:sz w:val="18"/>
                <w:szCs w:val="18"/>
              </w:rPr>
              <w:t>Protect children from injury</w:t>
            </w:r>
          </w:p>
          <w:p w:rsidR="00A75E26" w:rsidRDefault="00A75E26" w:rsidP="00500BB8">
            <w:pPr>
              <w:rPr>
                <w:rFonts w:eastAsia="Arial"/>
                <w:sz w:val="18"/>
                <w:szCs w:val="18"/>
              </w:rPr>
            </w:pPr>
          </w:p>
          <w:p w:rsidR="00A37B79" w:rsidRDefault="005641D7" w:rsidP="00500BB8">
            <w:pPr>
              <w:rPr>
                <w:rFonts w:eastAsia="Arial"/>
                <w:sz w:val="18"/>
                <w:szCs w:val="18"/>
              </w:rPr>
            </w:pPr>
            <w:r>
              <w:rPr>
                <w:rFonts w:eastAsia="Arial"/>
                <w:sz w:val="18"/>
                <w:szCs w:val="18"/>
              </w:rPr>
              <w:t>Prevent falls in older people</w:t>
            </w:r>
          </w:p>
          <w:p w:rsidR="00500BB8" w:rsidRDefault="00500BB8" w:rsidP="00500BB8">
            <w:pPr>
              <w:rPr>
                <w:rFonts w:eastAsia="Arial"/>
                <w:sz w:val="18"/>
                <w:szCs w:val="18"/>
              </w:rPr>
            </w:pPr>
          </w:p>
          <w:p w:rsidR="00F81875" w:rsidRDefault="00F81875" w:rsidP="00F81875">
            <w:pPr>
              <w:rPr>
                <w:rFonts w:eastAsia="Arial"/>
                <w:sz w:val="18"/>
                <w:szCs w:val="18"/>
              </w:rPr>
            </w:pPr>
            <w:r>
              <w:rPr>
                <w:rFonts w:eastAsia="Arial"/>
                <w:sz w:val="18"/>
                <w:szCs w:val="18"/>
              </w:rPr>
              <w:t xml:space="preserve">Reduce road crashes and </w:t>
            </w:r>
            <w:r w:rsidR="00EC7B06">
              <w:rPr>
                <w:rFonts w:eastAsia="Arial"/>
                <w:sz w:val="18"/>
                <w:szCs w:val="18"/>
              </w:rPr>
              <w:t xml:space="preserve">road </w:t>
            </w:r>
            <w:r>
              <w:rPr>
                <w:rFonts w:eastAsia="Arial"/>
                <w:sz w:val="18"/>
                <w:szCs w:val="18"/>
              </w:rPr>
              <w:t>trauma</w:t>
            </w:r>
          </w:p>
          <w:p w:rsidR="00F81875" w:rsidRDefault="00F81875" w:rsidP="00500BB8">
            <w:pPr>
              <w:rPr>
                <w:rFonts w:eastAsia="Arial"/>
                <w:sz w:val="18"/>
                <w:szCs w:val="18"/>
              </w:rPr>
            </w:pPr>
          </w:p>
          <w:p w:rsidR="00A37B79" w:rsidRDefault="00A37B79" w:rsidP="00500BB8">
            <w:pPr>
              <w:rPr>
                <w:rFonts w:eastAsia="Arial"/>
                <w:sz w:val="18"/>
                <w:szCs w:val="18"/>
              </w:rPr>
            </w:pPr>
            <w:r>
              <w:rPr>
                <w:rFonts w:eastAsia="Arial"/>
                <w:sz w:val="18"/>
                <w:szCs w:val="18"/>
              </w:rPr>
              <w:t>Improve</w:t>
            </w:r>
            <w:r w:rsidR="003549BE">
              <w:rPr>
                <w:rFonts w:eastAsia="Arial"/>
                <w:sz w:val="18"/>
                <w:szCs w:val="18"/>
              </w:rPr>
              <w:t xml:space="preserve"> safety</w:t>
            </w:r>
            <w:r>
              <w:rPr>
                <w:rFonts w:eastAsia="Arial"/>
                <w:sz w:val="18"/>
                <w:szCs w:val="18"/>
              </w:rPr>
              <w:t xml:space="preserve"> </w:t>
            </w:r>
            <w:r w:rsidR="003549BE">
              <w:rPr>
                <w:rFonts w:eastAsia="Arial"/>
                <w:sz w:val="18"/>
                <w:szCs w:val="18"/>
              </w:rPr>
              <w:t>in, on and around water</w:t>
            </w:r>
          </w:p>
          <w:p w:rsidR="00500BB8" w:rsidRDefault="00500BB8" w:rsidP="00500BB8">
            <w:pPr>
              <w:rPr>
                <w:rFonts w:eastAsia="Arial"/>
                <w:sz w:val="18"/>
                <w:szCs w:val="18"/>
              </w:rPr>
            </w:pPr>
          </w:p>
          <w:p w:rsidR="00A37B79" w:rsidRDefault="00E62272" w:rsidP="00500BB8">
            <w:pPr>
              <w:rPr>
                <w:rFonts w:eastAsia="Arial"/>
                <w:sz w:val="18"/>
                <w:szCs w:val="18"/>
              </w:rPr>
            </w:pPr>
            <w:r>
              <w:rPr>
                <w:rFonts w:eastAsia="Arial"/>
                <w:sz w:val="18"/>
                <w:szCs w:val="18"/>
              </w:rPr>
              <w:t>Reduce interpersonal violence</w:t>
            </w:r>
          </w:p>
          <w:p w:rsidR="00500BB8" w:rsidRDefault="00500BB8" w:rsidP="00500BB8">
            <w:pPr>
              <w:rPr>
                <w:rFonts w:eastAsia="Arial"/>
                <w:sz w:val="18"/>
                <w:szCs w:val="18"/>
              </w:rPr>
            </w:pPr>
          </w:p>
          <w:p w:rsidR="00C461BA" w:rsidRDefault="00C461BA" w:rsidP="00500BB8">
            <w:pPr>
              <w:rPr>
                <w:rFonts w:eastAsia="Arial"/>
                <w:sz w:val="18"/>
                <w:szCs w:val="18"/>
              </w:rPr>
            </w:pPr>
            <w:r>
              <w:rPr>
                <w:rFonts w:eastAsia="Arial"/>
                <w:sz w:val="18"/>
                <w:szCs w:val="18"/>
              </w:rPr>
              <w:t>Develop the injury prevention and safer communities sector</w:t>
            </w:r>
          </w:p>
          <w:p w:rsidR="00C461BA" w:rsidRDefault="00C461BA" w:rsidP="00500BB8">
            <w:pPr>
              <w:rPr>
                <w:rFonts w:eastAsia="Arial"/>
                <w:sz w:val="18"/>
                <w:szCs w:val="18"/>
              </w:rPr>
            </w:pPr>
          </w:p>
          <w:p w:rsidR="00500BB8" w:rsidRPr="0087313A" w:rsidRDefault="00C461BA" w:rsidP="00590358">
            <w:pPr>
              <w:rPr>
                <w:rFonts w:eastAsia="Arial"/>
                <w:sz w:val="18"/>
                <w:szCs w:val="18"/>
              </w:rPr>
            </w:pPr>
            <w:r>
              <w:rPr>
                <w:rFonts w:eastAsia="Arial"/>
                <w:sz w:val="18"/>
                <w:szCs w:val="18"/>
              </w:rPr>
              <w:t>Monitor emerging issues in injury prevention</w:t>
            </w:r>
          </w:p>
        </w:tc>
      </w:tr>
      <w:tr w:rsidR="00DF13AE" w:rsidTr="004F10EE">
        <w:trPr>
          <w:trHeight w:hRule="exact" w:val="317"/>
        </w:trPr>
        <w:tc>
          <w:tcPr>
            <w:tcW w:w="11199" w:type="dxa"/>
            <w:gridSpan w:val="6"/>
            <w:shd w:val="clear" w:color="auto" w:fill="808080" w:themeFill="background1" w:themeFillShade="80"/>
          </w:tcPr>
          <w:p w:rsidR="00DF13AE" w:rsidRDefault="00DF13AE" w:rsidP="0087313A">
            <w:pPr>
              <w:spacing w:before="38"/>
              <w:ind w:right="57"/>
              <w:jc w:val="center"/>
              <w:rPr>
                <w:rFonts w:eastAsia="Arial"/>
                <w:sz w:val="20"/>
                <w:szCs w:val="20"/>
              </w:rPr>
            </w:pPr>
            <w:r>
              <w:rPr>
                <w:rFonts w:eastAsia="Arial"/>
                <w:b/>
                <w:bCs/>
                <w:color w:val="FFFFFF"/>
                <w:sz w:val="20"/>
                <w:szCs w:val="20"/>
              </w:rPr>
              <w:t>Measuring</w:t>
            </w:r>
            <w:r>
              <w:rPr>
                <w:rFonts w:eastAsia="Arial"/>
                <w:b/>
                <w:bCs/>
                <w:color w:val="FFFFFF"/>
                <w:spacing w:val="-10"/>
                <w:sz w:val="20"/>
                <w:szCs w:val="20"/>
              </w:rPr>
              <w:t xml:space="preserve"> </w:t>
            </w:r>
            <w:r w:rsidR="004F4FF1">
              <w:rPr>
                <w:rFonts w:eastAsia="Arial"/>
                <w:b/>
                <w:bCs/>
                <w:color w:val="FFFFFF"/>
                <w:spacing w:val="-10"/>
                <w:sz w:val="20"/>
                <w:szCs w:val="20"/>
              </w:rPr>
              <w:t>p</w:t>
            </w:r>
            <w:r>
              <w:rPr>
                <w:rFonts w:eastAsia="Arial"/>
                <w:b/>
                <w:bCs/>
                <w:color w:val="FFFFFF"/>
                <w:sz w:val="20"/>
                <w:szCs w:val="20"/>
              </w:rPr>
              <w:t>rogress</w:t>
            </w:r>
          </w:p>
        </w:tc>
      </w:tr>
      <w:tr w:rsidR="00DF13AE" w:rsidTr="004F10EE">
        <w:trPr>
          <w:trHeight w:hRule="exact" w:val="1039"/>
        </w:trPr>
        <w:tc>
          <w:tcPr>
            <w:tcW w:w="11199" w:type="dxa"/>
            <w:gridSpan w:val="6"/>
          </w:tcPr>
          <w:p w:rsidR="0046024B" w:rsidRPr="008350C5" w:rsidRDefault="00DF13AE" w:rsidP="00051CEE">
            <w:pPr>
              <w:spacing w:before="38"/>
              <w:ind w:left="181" w:right="299"/>
              <w:jc w:val="center"/>
              <w:rPr>
                <w:rFonts w:eastAsia="Arial"/>
                <w:b/>
                <w:sz w:val="20"/>
                <w:szCs w:val="20"/>
              </w:rPr>
            </w:pPr>
            <w:r w:rsidRPr="008350C5">
              <w:rPr>
                <w:rFonts w:eastAsia="Arial"/>
                <w:b/>
                <w:sz w:val="20"/>
                <w:szCs w:val="20"/>
              </w:rPr>
              <w:t xml:space="preserve">Key Performance Indicators for </w:t>
            </w:r>
            <w:r w:rsidRPr="00EC6A0B">
              <w:rPr>
                <w:rFonts w:eastAsia="Arial"/>
                <w:b/>
                <w:spacing w:val="-7"/>
                <w:sz w:val="20"/>
                <w:szCs w:val="20"/>
              </w:rPr>
              <w:t>W</w:t>
            </w:r>
            <w:r w:rsidRPr="00EC6A0B">
              <w:rPr>
                <w:rFonts w:eastAsia="Arial"/>
                <w:b/>
                <w:sz w:val="20"/>
                <w:szCs w:val="20"/>
              </w:rPr>
              <w:t>A</w:t>
            </w:r>
            <w:r w:rsidRPr="00EC6A0B">
              <w:rPr>
                <w:rFonts w:eastAsia="Arial"/>
                <w:b/>
                <w:spacing w:val="-11"/>
                <w:sz w:val="20"/>
                <w:szCs w:val="20"/>
              </w:rPr>
              <w:t xml:space="preserve"> </w:t>
            </w:r>
            <w:r w:rsidRPr="00EC6A0B">
              <w:rPr>
                <w:rFonts w:eastAsia="Arial"/>
                <w:b/>
                <w:sz w:val="20"/>
                <w:szCs w:val="20"/>
              </w:rPr>
              <w:t>Health</w:t>
            </w:r>
            <w:r w:rsidRPr="008350C5">
              <w:rPr>
                <w:rFonts w:eastAsia="Arial"/>
                <w:b/>
                <w:spacing w:val="-11"/>
                <w:sz w:val="20"/>
                <w:szCs w:val="20"/>
              </w:rPr>
              <w:t xml:space="preserve"> </w:t>
            </w:r>
            <w:r w:rsidR="00C1659B">
              <w:rPr>
                <w:rFonts w:eastAsia="Arial"/>
                <w:b/>
                <w:sz w:val="20"/>
                <w:szCs w:val="20"/>
              </w:rPr>
              <w:t>a</w:t>
            </w:r>
            <w:r w:rsidR="008350C5">
              <w:rPr>
                <w:rFonts w:eastAsia="Arial"/>
                <w:b/>
                <w:sz w:val="20"/>
                <w:szCs w:val="20"/>
              </w:rPr>
              <w:t xml:space="preserve">nnual </w:t>
            </w:r>
            <w:r w:rsidR="00C1659B">
              <w:rPr>
                <w:rFonts w:eastAsia="Arial"/>
                <w:b/>
                <w:sz w:val="20"/>
                <w:szCs w:val="20"/>
              </w:rPr>
              <w:t>r</w:t>
            </w:r>
            <w:r w:rsidR="008350C5">
              <w:rPr>
                <w:rFonts w:eastAsia="Arial"/>
                <w:b/>
                <w:sz w:val="20"/>
                <w:szCs w:val="20"/>
              </w:rPr>
              <w:t>eporting</w:t>
            </w:r>
          </w:p>
          <w:p w:rsidR="00DF13AE" w:rsidRDefault="00DF13AE" w:rsidP="00051CEE">
            <w:pPr>
              <w:spacing w:before="38"/>
              <w:ind w:left="181" w:right="299"/>
              <w:jc w:val="center"/>
              <w:rPr>
                <w:rFonts w:eastAsia="Arial"/>
                <w:b/>
                <w:i/>
                <w:sz w:val="20"/>
                <w:szCs w:val="20"/>
              </w:rPr>
            </w:pPr>
            <w:r w:rsidRPr="004E25DF">
              <w:rPr>
                <w:rFonts w:eastAsia="Arial"/>
                <w:b/>
                <w:i/>
                <w:sz w:val="20"/>
                <w:szCs w:val="20"/>
              </w:rPr>
              <w:t>National Healthcare</w:t>
            </w:r>
            <w:r w:rsidRPr="004E25DF">
              <w:rPr>
                <w:rFonts w:eastAsia="Arial"/>
                <w:b/>
                <w:i/>
                <w:spacing w:val="-11"/>
                <w:sz w:val="20"/>
                <w:szCs w:val="20"/>
              </w:rPr>
              <w:t xml:space="preserve"> </w:t>
            </w:r>
            <w:r w:rsidRPr="004E25DF">
              <w:rPr>
                <w:rFonts w:eastAsia="Arial"/>
                <w:b/>
                <w:i/>
                <w:sz w:val="20"/>
                <w:szCs w:val="20"/>
              </w:rPr>
              <w:t>Agreement</w:t>
            </w:r>
          </w:p>
          <w:p w:rsidR="00C1659B" w:rsidRDefault="00F43203" w:rsidP="00051CEE">
            <w:pPr>
              <w:spacing w:before="38"/>
              <w:ind w:left="181" w:right="299"/>
              <w:jc w:val="center"/>
              <w:rPr>
                <w:rFonts w:eastAsia="Arial"/>
                <w:b/>
                <w:i/>
                <w:sz w:val="20"/>
                <w:szCs w:val="20"/>
              </w:rPr>
            </w:pPr>
            <w:r>
              <w:rPr>
                <w:rFonts w:eastAsia="Arial"/>
                <w:b/>
                <w:sz w:val="20"/>
                <w:szCs w:val="20"/>
              </w:rPr>
              <w:t>Voluntary t</w:t>
            </w:r>
            <w:r w:rsidR="00C1659B" w:rsidRPr="00C1659B">
              <w:rPr>
                <w:rFonts w:eastAsia="Arial"/>
                <w:b/>
                <w:sz w:val="20"/>
                <w:szCs w:val="20"/>
              </w:rPr>
              <w:t>argets set by the</w:t>
            </w:r>
            <w:r w:rsidR="00C1659B">
              <w:rPr>
                <w:rFonts w:eastAsia="Arial"/>
                <w:b/>
                <w:i/>
                <w:sz w:val="20"/>
                <w:szCs w:val="20"/>
              </w:rPr>
              <w:t xml:space="preserve"> WHO Global Action Plan for the Prevention and Control of Noncommunicable Diseases</w:t>
            </w:r>
            <w:r w:rsidR="00DC109F">
              <w:rPr>
                <w:rFonts w:eastAsia="Arial"/>
                <w:b/>
                <w:i/>
                <w:sz w:val="20"/>
                <w:szCs w:val="20"/>
              </w:rPr>
              <w:t xml:space="preserve"> 2013–2020</w:t>
            </w:r>
          </w:p>
          <w:p w:rsidR="00C1659B" w:rsidRPr="004E25DF" w:rsidRDefault="00C1659B" w:rsidP="00051CEE">
            <w:pPr>
              <w:spacing w:before="38"/>
              <w:ind w:left="181" w:right="299"/>
              <w:jc w:val="center"/>
              <w:rPr>
                <w:rFonts w:eastAsia="Arial"/>
                <w:b/>
                <w:i/>
                <w:sz w:val="20"/>
                <w:szCs w:val="20"/>
              </w:rPr>
            </w:pPr>
          </w:p>
          <w:p w:rsidR="00DF13AE" w:rsidRPr="004E25DF" w:rsidRDefault="00DF13AE" w:rsidP="00051CEE">
            <w:pPr>
              <w:spacing w:before="3"/>
              <w:ind w:left="181" w:right="299"/>
              <w:jc w:val="center"/>
              <w:rPr>
                <w:rFonts w:eastAsia="Arial"/>
                <w:i/>
                <w:sz w:val="20"/>
                <w:szCs w:val="20"/>
              </w:rPr>
            </w:pPr>
          </w:p>
        </w:tc>
      </w:tr>
    </w:tbl>
    <w:p w:rsidR="00CC5555" w:rsidRPr="00C2221F" w:rsidRDefault="00594657" w:rsidP="00DF13AE">
      <w:pPr>
        <w:pStyle w:val="Heading1"/>
      </w:pPr>
      <w:bookmarkStart w:id="4" w:name="_Toc462049304"/>
      <w:r>
        <w:lastRenderedPageBreak/>
        <w:t xml:space="preserve">Part </w:t>
      </w:r>
      <w:r w:rsidR="00F30004">
        <w:t>1:</w:t>
      </w:r>
      <w:r>
        <w:t xml:space="preserve"> I</w:t>
      </w:r>
      <w:r w:rsidR="00CC5555" w:rsidRPr="00C2221F">
        <w:t>ntroduction</w:t>
      </w:r>
      <w:bookmarkEnd w:id="4"/>
    </w:p>
    <w:p w:rsidR="00954725" w:rsidRDefault="00954725" w:rsidP="00823AA2"/>
    <w:p w:rsidR="00CC5555" w:rsidRPr="00594657" w:rsidRDefault="00594657" w:rsidP="00647BC2">
      <w:pPr>
        <w:pStyle w:val="Heading2"/>
      </w:pPr>
      <w:bookmarkStart w:id="5" w:name="_Toc462049305"/>
      <w:r w:rsidRPr="00594657">
        <w:t xml:space="preserve">1.1 </w:t>
      </w:r>
      <w:r w:rsidR="00494236">
        <w:t xml:space="preserve"> </w:t>
      </w:r>
      <w:r w:rsidR="00CC5555" w:rsidRPr="00594657">
        <w:t xml:space="preserve">About the </w:t>
      </w:r>
      <w:r w:rsidR="00CC5555" w:rsidRPr="00B922ED">
        <w:rPr>
          <w:i/>
        </w:rPr>
        <w:t>Health Promotion Strategic Framework</w:t>
      </w:r>
      <w:r w:rsidR="00647BC2">
        <w:rPr>
          <w:i/>
        </w:rPr>
        <w:t xml:space="preserve"> </w:t>
      </w:r>
      <w:r w:rsidR="001C65CE" w:rsidRPr="00B922ED">
        <w:rPr>
          <w:i/>
        </w:rPr>
        <w:t>2017–2021</w:t>
      </w:r>
      <w:bookmarkEnd w:id="5"/>
    </w:p>
    <w:p w:rsidR="00426D73" w:rsidRDefault="00426D73" w:rsidP="00823AA2"/>
    <w:p w:rsidR="00823AA2" w:rsidRDefault="00CC5555" w:rsidP="00980AF2">
      <w:r w:rsidRPr="00C2221F">
        <w:t xml:space="preserve">The </w:t>
      </w:r>
      <w:r w:rsidRPr="00C2221F">
        <w:rPr>
          <w:i/>
        </w:rPr>
        <w:t>W</w:t>
      </w:r>
      <w:r w:rsidR="000B541D">
        <w:rPr>
          <w:i/>
        </w:rPr>
        <w:t xml:space="preserve">estern Australian </w:t>
      </w:r>
      <w:r w:rsidRPr="00C2221F">
        <w:rPr>
          <w:i/>
        </w:rPr>
        <w:t xml:space="preserve">Health Promotion Strategic Framework </w:t>
      </w:r>
      <w:r w:rsidR="001C65CE">
        <w:rPr>
          <w:i/>
        </w:rPr>
        <w:t>2017–2021</w:t>
      </w:r>
      <w:r w:rsidRPr="00C2221F">
        <w:t xml:space="preserve"> (</w:t>
      </w:r>
      <w:r w:rsidR="000B541D">
        <w:t>WA HPSF</w:t>
      </w:r>
      <w:r w:rsidR="00980AF2">
        <w:t>)</w:t>
      </w:r>
      <w:r w:rsidR="00EB5A77">
        <w:t xml:space="preserve"> </w:t>
      </w:r>
      <w:r w:rsidR="00EB5A77" w:rsidRPr="009344F3">
        <w:t>sets</w:t>
      </w:r>
      <w:r w:rsidR="00E64FEB" w:rsidRPr="009344F3">
        <w:t xml:space="preserve"> </w:t>
      </w:r>
      <w:r w:rsidR="003138E3">
        <w:t>out a strategic plan</w:t>
      </w:r>
      <w:r w:rsidR="00E64FEB" w:rsidRPr="00C2221F">
        <w:t xml:space="preserve"> for </w:t>
      </w:r>
      <w:r w:rsidR="00F95200">
        <w:t xml:space="preserve">reducing the prevalence of </w:t>
      </w:r>
      <w:r w:rsidR="00420C49" w:rsidRPr="00C2221F">
        <w:t>chronic disease and injury over the next five years.</w:t>
      </w:r>
      <w:r w:rsidR="00E64FEB" w:rsidRPr="00C2221F">
        <w:t xml:space="preserve"> </w:t>
      </w:r>
      <w:r w:rsidR="002A373E">
        <w:t xml:space="preserve">It </w:t>
      </w:r>
      <w:r w:rsidR="00980AF2">
        <w:t>articulat</w:t>
      </w:r>
      <w:r w:rsidR="002A373E">
        <w:t xml:space="preserve">es </w:t>
      </w:r>
      <w:r w:rsidR="00980AF2">
        <w:t>a</w:t>
      </w:r>
      <w:r w:rsidR="00823AA2">
        <w:t xml:space="preserve"> </w:t>
      </w:r>
      <w:r w:rsidR="00980AF2">
        <w:t xml:space="preserve">goal, </w:t>
      </w:r>
      <w:r w:rsidR="007B2A55">
        <w:t>policy priorities</w:t>
      </w:r>
      <w:r w:rsidR="00980AF2">
        <w:t xml:space="preserve">, and </w:t>
      </w:r>
      <w:r w:rsidR="00E2551C">
        <w:t xml:space="preserve">areas for </w:t>
      </w:r>
      <w:r w:rsidR="00980AF2">
        <w:t xml:space="preserve">action </w:t>
      </w:r>
      <w:r w:rsidR="00823AA2">
        <w:t xml:space="preserve">to improve </w:t>
      </w:r>
      <w:r w:rsidR="00980AF2">
        <w:t xml:space="preserve">the health of the population of </w:t>
      </w:r>
      <w:r w:rsidR="007D0F9E">
        <w:t>WA</w:t>
      </w:r>
      <w:r w:rsidR="00EB6ABF">
        <w:t>.</w:t>
      </w:r>
      <w:r w:rsidR="00B634F6">
        <w:t xml:space="preserve"> </w:t>
      </w:r>
    </w:p>
    <w:p w:rsidR="00B74EF5" w:rsidRDefault="00B74EF5" w:rsidP="00980AF2"/>
    <w:p w:rsidR="00E92C09" w:rsidRDefault="003138E3" w:rsidP="00E92C09">
      <w:r w:rsidRPr="00C2221F">
        <w:t xml:space="preserve">The </w:t>
      </w:r>
      <w:r>
        <w:t xml:space="preserve">WA HPSF </w:t>
      </w:r>
      <w:r w:rsidRPr="00C2221F">
        <w:t xml:space="preserve">builds on the achievements of the previous two </w:t>
      </w:r>
      <w:r>
        <w:t>HPSFs</w:t>
      </w:r>
      <w:r w:rsidRPr="00C2221F">
        <w:t xml:space="preserve"> (2007</w:t>
      </w:r>
      <w:r>
        <w:t>–2011 and 2012–2016)</w:t>
      </w:r>
      <w:r w:rsidRPr="00C2221F">
        <w:t xml:space="preserve"> and takes into account new evidence, policy changes</w:t>
      </w:r>
      <w:r>
        <w:t>,</w:t>
      </w:r>
      <w:r w:rsidRPr="00C2221F">
        <w:t xml:space="preserve"> relevant national and international developments</w:t>
      </w:r>
      <w:r>
        <w:t xml:space="preserve"> and </w:t>
      </w:r>
      <w:r w:rsidRPr="00C2221F">
        <w:t>feedback from stakeholder consultations</w:t>
      </w:r>
      <w:r w:rsidR="007B2A55">
        <w:t xml:space="preserve">. </w:t>
      </w:r>
      <w:r w:rsidR="00B5211F">
        <w:t xml:space="preserve">The </w:t>
      </w:r>
      <w:r w:rsidR="000B541D">
        <w:t>WA HPSF</w:t>
      </w:r>
      <w:r w:rsidR="00E92C09">
        <w:t xml:space="preserve"> complement</w:t>
      </w:r>
      <w:r w:rsidR="00B56593">
        <w:t>s</w:t>
      </w:r>
      <w:r w:rsidR="00E92C09">
        <w:t xml:space="preserve"> a range of other </w:t>
      </w:r>
      <w:r w:rsidR="00B56593">
        <w:t xml:space="preserve">health </w:t>
      </w:r>
      <w:r w:rsidR="00E92C09">
        <w:t xml:space="preserve">strategies and policies that have been developed by </w:t>
      </w:r>
      <w:r w:rsidR="00FE6CA6">
        <w:t>the Department of Health</w:t>
      </w:r>
      <w:r w:rsidR="00B56593">
        <w:t xml:space="preserve"> and </w:t>
      </w:r>
      <w:r w:rsidR="00E92C09">
        <w:t xml:space="preserve">other agencies. </w:t>
      </w:r>
    </w:p>
    <w:p w:rsidR="004C6B74" w:rsidRDefault="004C6B74" w:rsidP="004C6B74">
      <w:pPr>
        <w:rPr>
          <w:lang w:val="en-AU"/>
        </w:rPr>
      </w:pPr>
    </w:p>
    <w:p w:rsidR="00185493" w:rsidRPr="004C6B74" w:rsidRDefault="00185493" w:rsidP="004C6B74">
      <w:pPr>
        <w:rPr>
          <w:lang w:val="en-AU"/>
        </w:rPr>
      </w:pPr>
    </w:p>
    <w:p w:rsidR="004B0275" w:rsidRPr="00594657" w:rsidRDefault="00594657" w:rsidP="00EA1976">
      <w:pPr>
        <w:pStyle w:val="Heading2"/>
      </w:pPr>
      <w:bookmarkStart w:id="6" w:name="_Toc462049306"/>
      <w:r w:rsidRPr="00594657">
        <w:t xml:space="preserve">1.2 </w:t>
      </w:r>
      <w:r w:rsidR="00494236">
        <w:t xml:space="preserve"> </w:t>
      </w:r>
      <w:r w:rsidR="004B0275" w:rsidRPr="00594657">
        <w:t>Understanding chronic disease and injury</w:t>
      </w:r>
      <w:bookmarkEnd w:id="6"/>
    </w:p>
    <w:p w:rsidR="00F95200" w:rsidRDefault="00F95200" w:rsidP="00823AA2"/>
    <w:p w:rsidR="00F95200" w:rsidRDefault="00F95200" w:rsidP="00823AA2">
      <w:r>
        <w:t>C</w:t>
      </w:r>
      <w:r w:rsidRPr="00F95200">
        <w:t>hronic diseases</w:t>
      </w:r>
      <w:r w:rsidR="006D1FC2">
        <w:t>, also known as non-communicable diseases,</w:t>
      </w:r>
      <w:r>
        <w:t xml:space="preserve"> are </w:t>
      </w:r>
      <w:r w:rsidR="008F2E90">
        <w:t xml:space="preserve">broadly defined as </w:t>
      </w:r>
      <w:r w:rsidR="00A8353A">
        <w:t xml:space="preserve">health conditions </w:t>
      </w:r>
      <w:r w:rsidR="004C3D5C">
        <w:t>that</w:t>
      </w:r>
      <w:r w:rsidR="00A8353A">
        <w:t xml:space="preserve"> usually have a number of contributing factors, </w:t>
      </w:r>
      <w:r w:rsidRPr="00C2221F">
        <w:t>develop gradually</w:t>
      </w:r>
      <w:r w:rsidR="00291439">
        <w:t xml:space="preserve">, </w:t>
      </w:r>
      <w:r w:rsidRPr="00C2221F">
        <w:t xml:space="preserve">and </w:t>
      </w:r>
      <w:r w:rsidR="00552C9C">
        <w:t>have long-lasting effects. Some diseases may lead to many years of disability and require long-term management, while others cause premature death.</w:t>
      </w:r>
      <w:r>
        <w:t xml:space="preserve"> They include diseases such as cardiovascular disease</w:t>
      </w:r>
      <w:r w:rsidR="008F2E90">
        <w:t>,</w:t>
      </w:r>
      <w:r>
        <w:t xml:space="preserve"> type 2 </w:t>
      </w:r>
      <w:r w:rsidRPr="00F95200">
        <w:t>diabetes</w:t>
      </w:r>
      <w:r w:rsidR="00820CCD">
        <w:t>, respiratory disease</w:t>
      </w:r>
      <w:r w:rsidR="008F2E90">
        <w:t xml:space="preserve"> and some cancers</w:t>
      </w:r>
      <w:r>
        <w:t>.</w:t>
      </w:r>
      <w:r w:rsidR="008E4A1B">
        <w:fldChar w:fldCharType="begin"/>
      </w:r>
      <w:r w:rsidR="008E4A1B">
        <w:instrText xml:space="preserve"> ADDIN EN.CITE &lt;EndNote&gt;&lt;Cite&gt;&lt;Author&gt;Australian Institute of Health and Welfare&lt;/Author&gt;&lt;Year&gt;2014&lt;/Year&gt;&lt;RecNum&gt;4&lt;/RecNum&gt;&lt;DisplayText&gt;&lt;style face="superscript"&gt;1&lt;/style&gt;&lt;/DisplayText&gt;&lt;record&gt;&lt;rec-number&gt;4&lt;/rec-number&gt;&lt;foreign-keys&gt;&lt;key app="EN" db-id="zxa00wf2opvf9oeeset50xz7ezpfwre2v20z"&gt;4&lt;/key&gt;&lt;/foreign-keys&gt;&lt;ref-type name="Web Page"&gt;12&lt;/ref-type&gt;&lt;contributors&gt;&lt;authors&gt;&lt;author&gt;Australian Institute of Health and Welfare,&lt;/author&gt;&lt;/authors&gt;&lt;/contributors&gt;&lt;titles&gt;&lt;title&gt;Australia&amp;apos;s health 2014. Australia&amp;apos;s health series no. 12. Cat. no. AUS 178&lt;/title&gt;&lt;/titles&gt;&lt;dates&gt;&lt;year&gt;2014&lt;/year&gt;&lt;/dates&gt;&lt;pub-location&gt;Canberra&lt;/pub-location&gt;&lt;publisher&gt;Australian Institute of Health and Welfare&lt;/publisher&gt;&lt;urls&gt;&lt;related-urls&gt;&lt;url&gt;http://www.aihw.gov.au/WorkArea/DownloadAsset.aspx?id=60129548150&lt;/url&gt;&lt;/related-urls&gt;&lt;/urls&gt;&lt;/record&gt;&lt;/Cite&gt;&lt;/EndNote&gt;</w:instrText>
      </w:r>
      <w:r w:rsidR="008E4A1B">
        <w:fldChar w:fldCharType="separate"/>
      </w:r>
      <w:r w:rsidR="008E4A1B" w:rsidRPr="008E4A1B">
        <w:rPr>
          <w:noProof/>
          <w:vertAlign w:val="superscript"/>
        </w:rPr>
        <w:t>1</w:t>
      </w:r>
      <w:r w:rsidR="008E4A1B">
        <w:fldChar w:fldCharType="end"/>
      </w:r>
      <w:r>
        <w:t xml:space="preserve"> </w:t>
      </w:r>
    </w:p>
    <w:p w:rsidR="00F95200" w:rsidRDefault="00F95200" w:rsidP="00823AA2"/>
    <w:p w:rsidR="004C0B61" w:rsidRDefault="00DC078C" w:rsidP="00823AA2">
      <w:r w:rsidRPr="00DC078C">
        <w:t>I</w:t>
      </w:r>
      <w:r w:rsidR="00EC38D3" w:rsidRPr="00DC078C">
        <w:t xml:space="preserve">t is estimated that </w:t>
      </w:r>
      <w:r w:rsidR="00AF6913" w:rsidRPr="00DC078C">
        <w:t xml:space="preserve">in WA, </w:t>
      </w:r>
      <w:r w:rsidR="0075163D" w:rsidRPr="00DC078C">
        <w:t xml:space="preserve">435,000 </w:t>
      </w:r>
      <w:r w:rsidR="00AF6913" w:rsidRPr="00DC078C">
        <w:t xml:space="preserve">years were lost to premature death or </w:t>
      </w:r>
      <w:r w:rsidR="005D66C8" w:rsidRPr="00DC078C">
        <w:t xml:space="preserve">living with </w:t>
      </w:r>
      <w:r w:rsidR="008D555F" w:rsidRPr="00DC078C">
        <w:t xml:space="preserve">a </w:t>
      </w:r>
      <w:r w:rsidR="005D66C8" w:rsidRPr="00DC078C">
        <w:t>disability or illness due to chronic disease</w:t>
      </w:r>
      <w:r w:rsidR="00614EC9">
        <w:t xml:space="preserve"> or injury</w:t>
      </w:r>
      <w:r w:rsidRPr="00DC078C">
        <w:t xml:space="preserve"> in 2011</w:t>
      </w:r>
      <w:r w:rsidR="005D66C8" w:rsidRPr="00DC078C">
        <w:t>.</w:t>
      </w:r>
      <w:r w:rsidR="008E4A1B" w:rsidRPr="00DC078C">
        <w:fldChar w:fldCharType="begin"/>
      </w:r>
      <w:r w:rsidR="008E4A1B" w:rsidRPr="00DC078C">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8E4A1B" w:rsidRPr="00DC078C">
        <w:fldChar w:fldCharType="separate"/>
      </w:r>
      <w:r w:rsidR="008E4A1B" w:rsidRPr="00DC078C">
        <w:rPr>
          <w:noProof/>
          <w:vertAlign w:val="superscript"/>
        </w:rPr>
        <w:t>2</w:t>
      </w:r>
      <w:r w:rsidR="008E4A1B" w:rsidRPr="00DC078C">
        <w:fldChar w:fldCharType="end"/>
      </w:r>
      <w:r w:rsidR="00245FE9" w:rsidRPr="00DC078C">
        <w:t xml:space="preserve"> </w:t>
      </w:r>
      <w:r w:rsidR="009972FC" w:rsidRPr="00DC078C">
        <w:t>Chronic disease</w:t>
      </w:r>
      <w:r w:rsidR="003310DD">
        <w:t xml:space="preserve"> and injury</w:t>
      </w:r>
      <w:r w:rsidR="009972FC" w:rsidRPr="00DC078C">
        <w:t xml:space="preserve"> have a profound impact on an individual’s health </w:t>
      </w:r>
      <w:r w:rsidR="003310DD">
        <w:t xml:space="preserve">and well-being </w:t>
      </w:r>
      <w:r w:rsidR="009972FC" w:rsidRPr="00DC078C">
        <w:t>and place an enormous</w:t>
      </w:r>
      <w:r w:rsidR="009972FC" w:rsidRPr="00C2221F">
        <w:t xml:space="preserve"> burden on </w:t>
      </w:r>
      <w:r w:rsidR="00907F49">
        <w:t xml:space="preserve">families, </w:t>
      </w:r>
      <w:r w:rsidR="00907F49" w:rsidRPr="002E59B7">
        <w:rPr>
          <w:lang w:val="en-AU"/>
        </w:rPr>
        <w:t>carers</w:t>
      </w:r>
      <w:r w:rsidR="00907F49">
        <w:t xml:space="preserve"> and our </w:t>
      </w:r>
      <w:r w:rsidR="009972FC" w:rsidRPr="00C2221F">
        <w:t xml:space="preserve">healthcare </w:t>
      </w:r>
      <w:r w:rsidR="00907F49">
        <w:t>system</w:t>
      </w:r>
      <w:r w:rsidR="00907F49" w:rsidRPr="00907F49">
        <w:t>.</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r w:rsidR="00366189">
        <w:t xml:space="preserve"> </w:t>
      </w:r>
    </w:p>
    <w:p w:rsidR="00437B26" w:rsidRDefault="00437B26" w:rsidP="00437B26">
      <w:pPr>
        <w:pStyle w:val="CommentText"/>
        <w:rPr>
          <w:shd w:val="clear" w:color="auto" w:fill="FFFFFF"/>
        </w:rPr>
      </w:pPr>
    </w:p>
    <w:p w:rsidR="00530D92" w:rsidRDefault="00A43CDE" w:rsidP="00823AA2">
      <w:r>
        <w:t>Many c</w:t>
      </w:r>
      <w:r w:rsidR="00907F49">
        <w:t xml:space="preserve">hronic diseases are associated with </w:t>
      </w:r>
      <w:r w:rsidR="004E0157">
        <w:t>a cluster of risk factors</w:t>
      </w:r>
      <w:r w:rsidR="00C84223">
        <w:t xml:space="preserve"> </w:t>
      </w:r>
      <w:r w:rsidR="002C63DF">
        <w:t>that can be prevented or modified</w:t>
      </w:r>
      <w:r w:rsidR="00D06412">
        <w:t xml:space="preserve"> (Table </w:t>
      </w:r>
      <w:r w:rsidR="00365904">
        <w:t>1</w:t>
      </w:r>
      <w:r w:rsidR="00D06412">
        <w:t>)</w:t>
      </w:r>
      <w:r w:rsidR="004E0157">
        <w:t>.</w:t>
      </w:r>
      <w:r w:rsidR="000D30F4">
        <w:t xml:space="preserve"> </w:t>
      </w:r>
      <w:r w:rsidR="008575B2">
        <w:t>They</w:t>
      </w:r>
      <w:r w:rsidR="008B0646">
        <w:t xml:space="preserve"> are</w:t>
      </w:r>
      <w:r w:rsidR="00530D92" w:rsidRPr="00C2221F">
        <w:t>:</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p>
    <w:p w:rsidR="00995272" w:rsidRPr="00C2221F" w:rsidRDefault="00995272" w:rsidP="00823AA2"/>
    <w:p w:rsidR="00530D92" w:rsidRPr="00C2221F" w:rsidRDefault="00E262DA" w:rsidP="009252B1">
      <w:pPr>
        <w:pStyle w:val="ListParagraph"/>
        <w:numPr>
          <w:ilvl w:val="0"/>
          <w:numId w:val="4"/>
        </w:numPr>
        <w:ind w:left="567" w:hanging="567"/>
      </w:pPr>
      <w:r w:rsidRPr="00C2221F">
        <w:t>b</w:t>
      </w:r>
      <w:r w:rsidR="00995272">
        <w:t>eing overweight or obese</w:t>
      </w:r>
    </w:p>
    <w:p w:rsidR="00530D92" w:rsidRPr="00C2221F" w:rsidRDefault="00E262DA" w:rsidP="009252B1">
      <w:pPr>
        <w:pStyle w:val="ListParagraph"/>
        <w:numPr>
          <w:ilvl w:val="0"/>
          <w:numId w:val="4"/>
        </w:numPr>
        <w:ind w:left="567" w:hanging="567"/>
      </w:pPr>
      <w:r w:rsidRPr="00C2221F">
        <w:t>p</w:t>
      </w:r>
      <w:r w:rsidR="00995272">
        <w:t>oor diet</w:t>
      </w:r>
    </w:p>
    <w:p w:rsidR="00530D92" w:rsidRPr="00C2221F" w:rsidRDefault="00E262DA" w:rsidP="009252B1">
      <w:pPr>
        <w:pStyle w:val="ListParagraph"/>
        <w:numPr>
          <w:ilvl w:val="0"/>
          <w:numId w:val="4"/>
        </w:numPr>
        <w:ind w:left="567" w:hanging="567"/>
      </w:pPr>
      <w:r w:rsidRPr="00C2221F">
        <w:t>i</w:t>
      </w:r>
      <w:r w:rsidR="00995272">
        <w:t>nsufficient physical activity</w:t>
      </w:r>
    </w:p>
    <w:p w:rsidR="00530D92" w:rsidRPr="00C2221F" w:rsidRDefault="00E262DA" w:rsidP="009252B1">
      <w:pPr>
        <w:pStyle w:val="ListParagraph"/>
        <w:numPr>
          <w:ilvl w:val="0"/>
          <w:numId w:val="4"/>
        </w:numPr>
        <w:ind w:left="567" w:hanging="567"/>
      </w:pPr>
      <w:r w:rsidRPr="00C2221F">
        <w:t>s</w:t>
      </w:r>
      <w:r w:rsidR="00995272">
        <w:t xml:space="preserve">moking </w:t>
      </w:r>
    </w:p>
    <w:p w:rsidR="00530D92" w:rsidRPr="00C2221F" w:rsidRDefault="00E262DA" w:rsidP="009252B1">
      <w:pPr>
        <w:pStyle w:val="ListParagraph"/>
        <w:numPr>
          <w:ilvl w:val="0"/>
          <w:numId w:val="4"/>
        </w:numPr>
        <w:ind w:left="567" w:hanging="567"/>
      </w:pPr>
      <w:r w:rsidRPr="00C2221F">
        <w:t>h</w:t>
      </w:r>
      <w:r w:rsidR="00530D92" w:rsidRPr="00C2221F">
        <w:t>armful levels of alcohol use</w:t>
      </w:r>
    </w:p>
    <w:p w:rsidR="001F4D74" w:rsidRDefault="001F4D74">
      <w:pPr>
        <w:widowControl/>
        <w:spacing w:after="200" w:line="276" w:lineRule="auto"/>
      </w:pPr>
      <w:r>
        <w:br w:type="page"/>
      </w:r>
    </w:p>
    <w:p w:rsidR="00365904" w:rsidRPr="00A52339" w:rsidRDefault="00365904" w:rsidP="00365904">
      <w:pPr>
        <w:tabs>
          <w:tab w:val="left" w:pos="2080"/>
        </w:tabs>
        <w:spacing w:before="31" w:line="270" w:lineRule="exact"/>
        <w:ind w:right="-20"/>
        <w:rPr>
          <w:rFonts w:eastAsia="Arial"/>
          <w:b/>
        </w:rPr>
      </w:pPr>
      <w:r w:rsidRPr="00A52339">
        <w:rPr>
          <w:rFonts w:eastAsia="Arial"/>
          <w:b/>
          <w:spacing w:val="-27"/>
          <w:position w:val="-1"/>
        </w:rPr>
        <w:lastRenderedPageBreak/>
        <w:t>T</w:t>
      </w:r>
      <w:r w:rsidRPr="00A52339">
        <w:rPr>
          <w:rFonts w:eastAsia="Arial"/>
          <w:b/>
          <w:position w:val="-1"/>
        </w:rPr>
        <w:t xml:space="preserve">able 1:  </w:t>
      </w:r>
      <w:r w:rsidRPr="00A52339">
        <w:rPr>
          <w:rFonts w:eastAsia="Arial"/>
          <w:b/>
          <w:bCs/>
          <w:position w:val="-1"/>
        </w:rPr>
        <w:t>Associations between risk factors and selected chronic diseases and injury</w:t>
      </w:r>
    </w:p>
    <w:p w:rsidR="00365904" w:rsidRDefault="00365904" w:rsidP="00365904">
      <w:pPr>
        <w:spacing w:before="5" w:line="200" w:lineRule="exact"/>
        <w:rPr>
          <w:sz w:val="20"/>
          <w:szCs w:val="20"/>
        </w:rPr>
      </w:pPr>
    </w:p>
    <w:tbl>
      <w:tblPr>
        <w:tblW w:w="8647" w:type="dxa"/>
        <w:tblInd w:w="5" w:type="dxa"/>
        <w:tblLayout w:type="fixed"/>
        <w:tblCellMar>
          <w:left w:w="0" w:type="dxa"/>
          <w:right w:w="0" w:type="dxa"/>
        </w:tblCellMar>
        <w:tblLook w:val="01E0" w:firstRow="1" w:lastRow="1" w:firstColumn="1" w:lastColumn="1" w:noHBand="0" w:noVBand="0"/>
      </w:tblPr>
      <w:tblGrid>
        <w:gridCol w:w="1909"/>
        <w:gridCol w:w="746"/>
        <w:gridCol w:w="751"/>
        <w:gridCol w:w="751"/>
        <w:gridCol w:w="754"/>
        <w:gridCol w:w="754"/>
        <w:gridCol w:w="754"/>
        <w:gridCol w:w="754"/>
        <w:gridCol w:w="754"/>
        <w:gridCol w:w="720"/>
      </w:tblGrid>
      <w:tr w:rsidR="00365904" w:rsidTr="001F05BA">
        <w:trPr>
          <w:trHeight w:hRule="exact" w:val="834"/>
        </w:trPr>
        <w:tc>
          <w:tcPr>
            <w:tcW w:w="1909" w:type="dxa"/>
            <w:tcBorders>
              <w:top w:val="single" w:sz="4" w:space="0" w:color="00929F"/>
              <w:left w:val="single" w:sz="4" w:space="0" w:color="00929F"/>
              <w:bottom w:val="single" w:sz="4" w:space="0" w:color="FFFFFF"/>
              <w:right w:val="nil"/>
            </w:tcBorders>
            <w:shd w:val="clear" w:color="auto" w:fill="808080" w:themeFill="background1" w:themeFillShade="80"/>
          </w:tcPr>
          <w:p w:rsidR="00365904" w:rsidRDefault="00365904" w:rsidP="009B232B">
            <w:pPr>
              <w:spacing w:before="5" w:line="100" w:lineRule="exact"/>
              <w:rPr>
                <w:sz w:val="10"/>
                <w:szCs w:val="10"/>
              </w:rPr>
            </w:pPr>
          </w:p>
          <w:p w:rsidR="00365904" w:rsidRDefault="00365904" w:rsidP="009B232B">
            <w:pPr>
              <w:spacing w:line="200" w:lineRule="exact"/>
              <w:rPr>
                <w:sz w:val="20"/>
                <w:szCs w:val="20"/>
              </w:rPr>
            </w:pPr>
          </w:p>
          <w:p w:rsidR="00365904" w:rsidRDefault="00365904" w:rsidP="009B232B">
            <w:pPr>
              <w:ind w:left="75" w:right="-20"/>
              <w:rPr>
                <w:rFonts w:eastAsia="Arial"/>
                <w:sz w:val="20"/>
                <w:szCs w:val="20"/>
              </w:rPr>
            </w:pPr>
            <w:r>
              <w:rPr>
                <w:rFonts w:eastAsia="Arial"/>
                <w:b/>
                <w:bCs/>
                <w:color w:val="FFFFFF"/>
                <w:sz w:val="20"/>
                <w:szCs w:val="20"/>
              </w:rPr>
              <w:t>Conditions</w:t>
            </w:r>
          </w:p>
        </w:tc>
        <w:tc>
          <w:tcPr>
            <w:tcW w:w="6738" w:type="dxa"/>
            <w:gridSpan w:val="9"/>
            <w:vMerge w:val="restart"/>
            <w:tcBorders>
              <w:top w:val="single" w:sz="4" w:space="0" w:color="00929F"/>
              <w:left w:val="nil"/>
              <w:right w:val="single" w:sz="4" w:space="0" w:color="00929F"/>
            </w:tcBorders>
            <w:shd w:val="clear" w:color="auto" w:fill="808080" w:themeFill="background1" w:themeFillShade="80"/>
            <w:textDirection w:val="btLr"/>
          </w:tcPr>
          <w:p w:rsidR="00365904" w:rsidRDefault="00365904" w:rsidP="009B232B">
            <w:pPr>
              <w:spacing w:line="150" w:lineRule="exact"/>
              <w:rPr>
                <w:sz w:val="15"/>
                <w:szCs w:val="15"/>
              </w:rPr>
            </w:pPr>
          </w:p>
          <w:p w:rsidR="00365904" w:rsidRDefault="00365904" w:rsidP="009B232B">
            <w:pPr>
              <w:spacing w:line="220" w:lineRule="exact"/>
              <w:ind w:left="75" w:right="106"/>
              <w:rPr>
                <w:rFonts w:eastAsia="Arial"/>
                <w:sz w:val="20"/>
                <w:szCs w:val="20"/>
              </w:rPr>
            </w:pPr>
            <w:r>
              <w:rPr>
                <w:rFonts w:eastAsia="Arial"/>
                <w:b/>
                <w:bCs/>
                <w:color w:val="FFFFFF"/>
                <w:sz w:val="20"/>
                <w:szCs w:val="20"/>
              </w:rPr>
              <w:t>Cardiovascular diseases</w:t>
            </w:r>
          </w:p>
          <w:p w:rsidR="00365904" w:rsidRDefault="00365904" w:rsidP="009B232B">
            <w:pPr>
              <w:spacing w:before="5" w:line="190" w:lineRule="exact"/>
              <w:rPr>
                <w:sz w:val="19"/>
                <w:szCs w:val="19"/>
              </w:rPr>
            </w:pPr>
          </w:p>
          <w:p w:rsidR="00365904" w:rsidRDefault="00365904" w:rsidP="009B232B">
            <w:pPr>
              <w:spacing w:line="200" w:lineRule="exact"/>
              <w:rPr>
                <w:sz w:val="20"/>
                <w:szCs w:val="20"/>
              </w:rPr>
            </w:pPr>
          </w:p>
          <w:p w:rsidR="00365904" w:rsidRDefault="00365904" w:rsidP="009B232B">
            <w:pPr>
              <w:ind w:left="75" w:right="-20"/>
              <w:rPr>
                <w:rFonts w:eastAsia="Arial"/>
                <w:sz w:val="20"/>
                <w:szCs w:val="20"/>
              </w:rPr>
            </w:pPr>
            <w:r>
              <w:rPr>
                <w:rFonts w:eastAsia="Arial"/>
                <w:b/>
                <w:bCs/>
                <w:color w:val="FFFFFF"/>
                <w:spacing w:val="-15"/>
                <w:sz w:val="20"/>
                <w:szCs w:val="20"/>
              </w:rPr>
              <w:t>T</w:t>
            </w:r>
            <w:r>
              <w:rPr>
                <w:rFonts w:eastAsia="Arial"/>
                <w:b/>
                <w:bCs/>
                <w:color w:val="FFFFFF"/>
                <w:sz w:val="20"/>
                <w:szCs w:val="20"/>
              </w:rPr>
              <w:t>ype 2 diabetes</w:t>
            </w:r>
          </w:p>
          <w:p w:rsidR="00365904" w:rsidRDefault="00365904" w:rsidP="009B232B">
            <w:pPr>
              <w:spacing w:before="7" w:line="100" w:lineRule="exact"/>
              <w:rPr>
                <w:sz w:val="10"/>
                <w:szCs w:val="10"/>
              </w:rPr>
            </w:pPr>
          </w:p>
          <w:p w:rsidR="00365904" w:rsidRDefault="00365904" w:rsidP="009B232B">
            <w:pPr>
              <w:spacing w:line="200" w:lineRule="exact"/>
              <w:rPr>
                <w:sz w:val="20"/>
                <w:szCs w:val="20"/>
              </w:rPr>
            </w:pPr>
          </w:p>
          <w:p w:rsidR="00365904" w:rsidRDefault="00365904" w:rsidP="009B232B">
            <w:pPr>
              <w:spacing w:line="200" w:lineRule="exact"/>
              <w:rPr>
                <w:sz w:val="20"/>
                <w:szCs w:val="20"/>
              </w:rPr>
            </w:pPr>
          </w:p>
          <w:p w:rsidR="00365904" w:rsidRDefault="00365904" w:rsidP="009B232B">
            <w:pPr>
              <w:ind w:left="75" w:right="-20"/>
              <w:rPr>
                <w:rFonts w:eastAsia="Arial"/>
                <w:sz w:val="20"/>
                <w:szCs w:val="20"/>
              </w:rPr>
            </w:pPr>
            <w:r>
              <w:rPr>
                <w:rFonts w:eastAsia="Arial"/>
                <w:b/>
                <w:bCs/>
                <w:color w:val="FFFFFF"/>
                <w:sz w:val="20"/>
                <w:szCs w:val="20"/>
              </w:rPr>
              <w:t>Mental health</w:t>
            </w:r>
          </w:p>
          <w:p w:rsidR="00365904" w:rsidRDefault="00365904" w:rsidP="009B232B">
            <w:pPr>
              <w:spacing w:line="200" w:lineRule="exact"/>
              <w:rPr>
                <w:sz w:val="20"/>
                <w:szCs w:val="20"/>
              </w:rPr>
            </w:pPr>
          </w:p>
          <w:p w:rsidR="00365904" w:rsidRDefault="00365904" w:rsidP="009B232B">
            <w:pPr>
              <w:spacing w:before="9" w:line="200" w:lineRule="exact"/>
              <w:rPr>
                <w:sz w:val="20"/>
                <w:szCs w:val="20"/>
              </w:rPr>
            </w:pPr>
          </w:p>
          <w:p w:rsidR="00365904" w:rsidRDefault="00365904" w:rsidP="009B232B">
            <w:pPr>
              <w:spacing w:line="220" w:lineRule="exact"/>
              <w:ind w:left="75" w:right="173"/>
              <w:rPr>
                <w:rFonts w:eastAsia="Arial"/>
                <w:b/>
                <w:bCs/>
                <w:color w:val="FFFFFF"/>
                <w:sz w:val="20"/>
                <w:szCs w:val="20"/>
              </w:rPr>
            </w:pPr>
            <w:r>
              <w:rPr>
                <w:rFonts w:eastAsia="Arial"/>
                <w:b/>
                <w:bCs/>
                <w:color w:val="FFFFFF"/>
                <w:sz w:val="20"/>
                <w:szCs w:val="20"/>
              </w:rPr>
              <w:t>Chronic kidney disease</w:t>
            </w:r>
          </w:p>
          <w:p w:rsidR="008B655C" w:rsidRDefault="008B655C" w:rsidP="009B232B">
            <w:pPr>
              <w:spacing w:line="220" w:lineRule="exact"/>
              <w:ind w:left="75" w:right="173"/>
              <w:rPr>
                <w:rFonts w:eastAsia="Arial"/>
                <w:sz w:val="20"/>
                <w:szCs w:val="20"/>
              </w:rPr>
            </w:pPr>
          </w:p>
          <w:p w:rsidR="00365904" w:rsidRDefault="00365904" w:rsidP="009B232B">
            <w:pPr>
              <w:spacing w:before="5" w:line="190" w:lineRule="exact"/>
              <w:rPr>
                <w:sz w:val="19"/>
                <w:szCs w:val="19"/>
              </w:rPr>
            </w:pPr>
          </w:p>
          <w:p w:rsidR="00365904" w:rsidRDefault="00365904" w:rsidP="009B232B">
            <w:pPr>
              <w:spacing w:line="200" w:lineRule="exact"/>
              <w:rPr>
                <w:sz w:val="20"/>
                <w:szCs w:val="20"/>
              </w:rPr>
            </w:pPr>
          </w:p>
          <w:p w:rsidR="008B655C" w:rsidRDefault="00365904" w:rsidP="00D87BF5">
            <w:pPr>
              <w:ind w:left="74" w:right="261"/>
              <w:rPr>
                <w:rFonts w:eastAsia="Arial"/>
                <w:b/>
                <w:bCs/>
                <w:color w:val="FFFFFF"/>
                <w:sz w:val="20"/>
                <w:szCs w:val="20"/>
              </w:rPr>
            </w:pPr>
            <w:r>
              <w:rPr>
                <w:rFonts w:eastAsia="Arial"/>
                <w:b/>
                <w:bCs/>
                <w:color w:val="FFFFFF"/>
                <w:sz w:val="20"/>
                <w:szCs w:val="20"/>
              </w:rPr>
              <w:t xml:space="preserve">Some </w:t>
            </w:r>
            <w:r w:rsidR="001E7689">
              <w:rPr>
                <w:rFonts w:eastAsia="Arial"/>
                <w:b/>
                <w:bCs/>
                <w:color w:val="FFFFFF"/>
                <w:sz w:val="20"/>
                <w:szCs w:val="20"/>
              </w:rPr>
              <w:t xml:space="preserve"> cancers</w:t>
            </w:r>
          </w:p>
          <w:p w:rsidR="008B655C" w:rsidRDefault="00365904" w:rsidP="00D87BF5">
            <w:pPr>
              <w:ind w:left="74" w:right="261"/>
              <w:rPr>
                <w:rFonts w:eastAsia="Arial"/>
                <w:b/>
                <w:bCs/>
                <w:color w:val="FFFFFF"/>
                <w:sz w:val="20"/>
                <w:szCs w:val="20"/>
              </w:rPr>
            </w:pPr>
            <w:r>
              <w:rPr>
                <w:rFonts w:eastAsia="Arial"/>
                <w:b/>
                <w:bCs/>
                <w:color w:val="FFFFFF"/>
                <w:sz w:val="20"/>
                <w:szCs w:val="20"/>
              </w:rPr>
              <w:t xml:space="preserve"> </w:t>
            </w:r>
          </w:p>
          <w:p w:rsidR="008B655C" w:rsidRDefault="008B655C" w:rsidP="008B655C">
            <w:pPr>
              <w:ind w:left="113" w:right="261"/>
              <w:rPr>
                <w:rFonts w:eastAsia="Arial"/>
                <w:b/>
                <w:bCs/>
                <w:color w:val="FFFFFF"/>
                <w:sz w:val="20"/>
                <w:szCs w:val="20"/>
              </w:rPr>
            </w:pPr>
            <w:r>
              <w:rPr>
                <w:rFonts w:eastAsia="Arial"/>
                <w:b/>
                <w:bCs/>
                <w:color w:val="FFFFFF"/>
                <w:sz w:val="20"/>
                <w:szCs w:val="20"/>
              </w:rPr>
              <w:t>I</w:t>
            </w:r>
            <w:r w:rsidR="00365904">
              <w:rPr>
                <w:rFonts w:eastAsia="Arial"/>
                <w:b/>
                <w:bCs/>
                <w:color w:val="FFFFFF"/>
                <w:sz w:val="20"/>
                <w:szCs w:val="20"/>
              </w:rPr>
              <w:t xml:space="preserve">njury </w:t>
            </w:r>
          </w:p>
          <w:p w:rsidR="008B655C" w:rsidRDefault="008B655C" w:rsidP="00D87BF5">
            <w:pPr>
              <w:ind w:left="74" w:right="261"/>
              <w:rPr>
                <w:rFonts w:eastAsia="Arial"/>
                <w:b/>
                <w:bCs/>
                <w:color w:val="FFFFFF"/>
                <w:sz w:val="20"/>
                <w:szCs w:val="20"/>
              </w:rPr>
            </w:pPr>
          </w:p>
          <w:p w:rsidR="008B655C" w:rsidRDefault="008B655C" w:rsidP="00D87BF5">
            <w:pPr>
              <w:ind w:left="74" w:right="261"/>
              <w:rPr>
                <w:rFonts w:eastAsia="Arial"/>
                <w:b/>
                <w:bCs/>
                <w:color w:val="FFFFFF"/>
                <w:sz w:val="20"/>
                <w:szCs w:val="20"/>
              </w:rPr>
            </w:pPr>
          </w:p>
          <w:p w:rsidR="001A5168" w:rsidRDefault="001A5168" w:rsidP="00D87BF5">
            <w:pPr>
              <w:ind w:left="74" w:right="261"/>
              <w:rPr>
                <w:rFonts w:eastAsia="Arial"/>
                <w:b/>
                <w:color w:val="FFFFFF" w:themeColor="background1"/>
                <w:sz w:val="20"/>
                <w:szCs w:val="20"/>
              </w:rPr>
            </w:pPr>
            <w:r w:rsidRPr="00D87BF5">
              <w:rPr>
                <w:rFonts w:eastAsia="Arial"/>
                <w:b/>
                <w:color w:val="FFFFFF" w:themeColor="background1"/>
                <w:sz w:val="20"/>
                <w:szCs w:val="20"/>
              </w:rPr>
              <w:t>Muscular</w:t>
            </w:r>
            <w:r w:rsidR="008B655C">
              <w:rPr>
                <w:rFonts w:eastAsia="Arial"/>
                <w:b/>
                <w:color w:val="FFFFFF" w:themeColor="background1"/>
                <w:sz w:val="20"/>
                <w:szCs w:val="20"/>
              </w:rPr>
              <w:t>—skeletal</w:t>
            </w:r>
          </w:p>
          <w:p w:rsidR="008B655C" w:rsidRPr="00D87BF5" w:rsidRDefault="008B655C" w:rsidP="00D87BF5">
            <w:pPr>
              <w:ind w:left="74" w:right="261"/>
              <w:rPr>
                <w:rFonts w:eastAsia="Arial"/>
                <w:b/>
                <w:color w:val="FFFFFF" w:themeColor="background1"/>
                <w:sz w:val="20"/>
                <w:szCs w:val="20"/>
              </w:rPr>
            </w:pPr>
          </w:p>
          <w:p w:rsidR="00925C68" w:rsidRDefault="00365904" w:rsidP="00925C68">
            <w:pPr>
              <w:spacing w:before="14"/>
              <w:ind w:left="75" w:right="-20"/>
              <w:rPr>
                <w:rFonts w:eastAsia="Arial"/>
                <w:b/>
                <w:bCs/>
                <w:color w:val="FFFFFF"/>
                <w:sz w:val="20"/>
                <w:szCs w:val="20"/>
              </w:rPr>
            </w:pPr>
            <w:r>
              <w:rPr>
                <w:rFonts w:eastAsia="Arial"/>
                <w:b/>
                <w:bCs/>
                <w:color w:val="FFFFFF"/>
                <w:sz w:val="20"/>
                <w:szCs w:val="20"/>
              </w:rPr>
              <w:t xml:space="preserve">Oral diseases </w:t>
            </w:r>
          </w:p>
          <w:p w:rsidR="00925C68" w:rsidRDefault="00925C68" w:rsidP="00925C68">
            <w:pPr>
              <w:spacing w:before="14"/>
              <w:ind w:left="75" w:right="-20"/>
              <w:rPr>
                <w:rFonts w:eastAsia="Arial"/>
                <w:b/>
                <w:bCs/>
                <w:color w:val="FFFFFF"/>
                <w:sz w:val="20"/>
                <w:szCs w:val="20"/>
              </w:rPr>
            </w:pPr>
          </w:p>
          <w:p w:rsidR="008B655C" w:rsidRDefault="008B655C" w:rsidP="00925C68">
            <w:pPr>
              <w:spacing w:before="14"/>
              <w:ind w:left="75" w:right="-20"/>
              <w:rPr>
                <w:rFonts w:eastAsia="Arial"/>
                <w:b/>
                <w:bCs/>
                <w:color w:val="FFFFFF"/>
                <w:sz w:val="20"/>
                <w:szCs w:val="20"/>
              </w:rPr>
            </w:pPr>
          </w:p>
          <w:p w:rsidR="00925C68" w:rsidRDefault="00925C68" w:rsidP="00925C68">
            <w:pPr>
              <w:spacing w:before="14"/>
              <w:ind w:left="75" w:right="-20"/>
              <w:rPr>
                <w:rFonts w:eastAsia="Arial"/>
                <w:b/>
                <w:bCs/>
                <w:color w:val="FFFFFF"/>
                <w:sz w:val="20"/>
                <w:szCs w:val="20"/>
              </w:rPr>
            </w:pPr>
            <w:r>
              <w:rPr>
                <w:rFonts w:eastAsia="Arial"/>
                <w:b/>
                <w:bCs/>
                <w:color w:val="FFFFFF"/>
                <w:sz w:val="20"/>
                <w:szCs w:val="20"/>
              </w:rPr>
              <w:t>Respiratory</w:t>
            </w:r>
          </w:p>
          <w:p w:rsidR="00365904" w:rsidRDefault="00925C68" w:rsidP="00925C68">
            <w:pPr>
              <w:spacing w:line="769" w:lineRule="auto"/>
              <w:ind w:left="75" w:right="262"/>
              <w:rPr>
                <w:rFonts w:eastAsia="Arial"/>
                <w:sz w:val="20"/>
                <w:szCs w:val="20"/>
              </w:rPr>
            </w:pPr>
            <w:r>
              <w:rPr>
                <w:rFonts w:eastAsia="Arial"/>
                <w:b/>
                <w:bCs/>
                <w:color w:val="FFFFFF"/>
                <w:sz w:val="20"/>
                <w:szCs w:val="20"/>
              </w:rPr>
              <w:t>diseases</w:t>
            </w:r>
          </w:p>
          <w:p w:rsidR="00EA77AD" w:rsidRDefault="00EA77AD" w:rsidP="00EA77AD">
            <w:pPr>
              <w:spacing w:before="14"/>
              <w:ind w:left="75" w:right="-20"/>
              <w:rPr>
                <w:rFonts w:eastAsia="Arial"/>
                <w:sz w:val="20"/>
                <w:szCs w:val="20"/>
              </w:rPr>
            </w:pPr>
          </w:p>
        </w:tc>
      </w:tr>
      <w:tr w:rsidR="00365904" w:rsidTr="001F05BA">
        <w:trPr>
          <w:trHeight w:hRule="exact" w:val="928"/>
        </w:trPr>
        <w:tc>
          <w:tcPr>
            <w:tcW w:w="1909" w:type="dxa"/>
            <w:tcBorders>
              <w:top w:val="single" w:sz="4" w:space="0" w:color="FFFFFF"/>
              <w:left w:val="single" w:sz="4" w:space="0" w:color="00929F"/>
              <w:bottom w:val="single" w:sz="4" w:space="0" w:color="00929F"/>
              <w:right w:val="nil"/>
            </w:tcBorders>
            <w:shd w:val="clear" w:color="auto" w:fill="808080" w:themeFill="background1" w:themeFillShade="80"/>
          </w:tcPr>
          <w:p w:rsidR="00365904" w:rsidRDefault="00365904" w:rsidP="009B232B">
            <w:pPr>
              <w:spacing w:line="200" w:lineRule="exact"/>
              <w:rPr>
                <w:sz w:val="20"/>
                <w:szCs w:val="20"/>
              </w:rPr>
            </w:pPr>
          </w:p>
          <w:p w:rsidR="00365904" w:rsidRDefault="00365904" w:rsidP="009B232B">
            <w:pPr>
              <w:spacing w:before="3" w:line="220" w:lineRule="exact"/>
            </w:pPr>
          </w:p>
          <w:p w:rsidR="00365904" w:rsidRDefault="00365904" w:rsidP="009B232B">
            <w:pPr>
              <w:ind w:left="75" w:right="-20"/>
              <w:rPr>
                <w:rFonts w:eastAsia="Arial"/>
                <w:sz w:val="20"/>
                <w:szCs w:val="20"/>
              </w:rPr>
            </w:pPr>
            <w:r>
              <w:rPr>
                <w:rFonts w:eastAsia="Arial"/>
                <w:b/>
                <w:bCs/>
                <w:color w:val="FFFFFF"/>
                <w:sz w:val="20"/>
                <w:szCs w:val="20"/>
              </w:rPr>
              <w:t>Risk factors</w:t>
            </w:r>
          </w:p>
        </w:tc>
        <w:tc>
          <w:tcPr>
            <w:tcW w:w="6738" w:type="dxa"/>
            <w:gridSpan w:val="9"/>
            <w:vMerge/>
            <w:tcBorders>
              <w:left w:val="nil"/>
              <w:bottom w:val="single" w:sz="4" w:space="0" w:color="00929F"/>
              <w:right w:val="single" w:sz="4" w:space="0" w:color="00929F"/>
            </w:tcBorders>
            <w:shd w:val="clear" w:color="auto" w:fill="808080" w:themeFill="background1" w:themeFillShade="80"/>
            <w:textDirection w:val="btLr"/>
          </w:tcPr>
          <w:p w:rsidR="00365904" w:rsidRDefault="00365904" w:rsidP="009B232B"/>
        </w:tc>
      </w:tr>
      <w:tr w:rsidR="00365904" w:rsidTr="001F05BA">
        <w:trPr>
          <w:trHeight w:hRule="exact" w:val="306"/>
        </w:trPr>
        <w:tc>
          <w:tcPr>
            <w:tcW w:w="8647" w:type="dxa"/>
            <w:gridSpan w:val="10"/>
            <w:tcBorders>
              <w:top w:val="single" w:sz="4" w:space="0" w:color="00929F"/>
              <w:left w:val="single" w:sz="4" w:space="0" w:color="000000"/>
              <w:bottom w:val="single" w:sz="4" w:space="0" w:color="000000"/>
              <w:right w:val="single" w:sz="4" w:space="0" w:color="000000"/>
            </w:tcBorders>
          </w:tcPr>
          <w:p w:rsidR="00365904" w:rsidRDefault="00365904" w:rsidP="009B232B">
            <w:pPr>
              <w:spacing w:before="32"/>
              <w:ind w:left="75" w:right="-20"/>
              <w:rPr>
                <w:rFonts w:eastAsia="Arial"/>
                <w:sz w:val="20"/>
                <w:szCs w:val="20"/>
              </w:rPr>
            </w:pPr>
            <w:r>
              <w:rPr>
                <w:rFonts w:eastAsia="Arial"/>
                <w:b/>
                <w:bCs/>
                <w:sz w:val="20"/>
                <w:szCs w:val="20"/>
              </w:rPr>
              <w:t>Behavioural</w:t>
            </w:r>
          </w:p>
        </w:tc>
      </w:tr>
      <w:tr w:rsidR="00B63CA6"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B63CA6" w:rsidRDefault="00B63CA6" w:rsidP="009B232B">
            <w:pPr>
              <w:spacing w:before="3" w:line="160" w:lineRule="exact"/>
              <w:rPr>
                <w:sz w:val="16"/>
                <w:szCs w:val="16"/>
              </w:rPr>
            </w:pPr>
          </w:p>
          <w:p w:rsidR="00B63CA6" w:rsidRDefault="00B63CA6" w:rsidP="00F4077B">
            <w:pPr>
              <w:ind w:left="75" w:right="-20"/>
              <w:rPr>
                <w:rFonts w:eastAsia="Arial"/>
                <w:sz w:val="20"/>
                <w:szCs w:val="20"/>
              </w:rPr>
            </w:pPr>
            <w:r>
              <w:rPr>
                <w:rFonts w:eastAsia="Arial"/>
                <w:spacing w:val="-22"/>
                <w:sz w:val="20"/>
                <w:szCs w:val="20"/>
              </w:rPr>
              <w:t>T</w:t>
            </w:r>
            <w:r>
              <w:rPr>
                <w:rFonts w:eastAsia="Arial"/>
                <w:sz w:val="20"/>
                <w:szCs w:val="20"/>
              </w:rPr>
              <w:t>obacco smoking</w:t>
            </w:r>
          </w:p>
        </w:tc>
        <w:tc>
          <w:tcPr>
            <w:tcW w:w="746"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ind w:left="244" w:right="219"/>
              <w:jc w:val="center"/>
              <w:rPr>
                <w:rFonts w:ascii="Times New Roman" w:hAnsi="Times New Roman" w:cs="Times New Roman"/>
                <w:b/>
                <w:sz w:val="20"/>
                <w:szCs w:val="20"/>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F4077B">
            <w:pPr>
              <w:ind w:right="-25"/>
              <w:jc w:val="center"/>
              <w:rPr>
                <w:b/>
              </w:rPr>
            </w:pPr>
            <w:r w:rsidRPr="00384027">
              <w:rPr>
                <w:rFonts w:ascii="Times New Roman" w:hAnsi="Times New Roman" w:cs="Times New Roman"/>
                <w:b/>
                <w:w w:val="169"/>
                <w:sz w:val="20"/>
                <w:szCs w:val="20"/>
              </w:rPr>
              <w:t>√</w:t>
            </w:r>
          </w:p>
        </w:tc>
      </w:tr>
      <w:tr w:rsidR="00B63CA6"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B63CA6" w:rsidRDefault="00B63CA6" w:rsidP="009B232B">
            <w:pPr>
              <w:spacing w:before="3" w:line="160" w:lineRule="exact"/>
              <w:rPr>
                <w:sz w:val="16"/>
                <w:szCs w:val="16"/>
              </w:rPr>
            </w:pPr>
          </w:p>
          <w:p w:rsidR="00B63CA6" w:rsidRDefault="00B63CA6" w:rsidP="009B232B">
            <w:pPr>
              <w:ind w:left="75" w:right="-20"/>
              <w:rPr>
                <w:rFonts w:eastAsia="Arial"/>
                <w:sz w:val="20"/>
                <w:szCs w:val="20"/>
              </w:rPr>
            </w:pPr>
            <w:r>
              <w:rPr>
                <w:rFonts w:eastAsia="Arial"/>
                <w:sz w:val="20"/>
                <w:szCs w:val="20"/>
              </w:rPr>
              <w:t>Physical inactivity</w:t>
            </w:r>
          </w:p>
        </w:tc>
        <w:tc>
          <w:tcPr>
            <w:tcW w:w="746"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F4077B">
            <w:pPr>
              <w:ind w:left="244" w:right="-25"/>
              <w:jc w:val="center"/>
              <w:rPr>
                <w:rFonts w:ascii="Times New Roman" w:hAnsi="Times New Roman" w:cs="Times New Roman"/>
                <w:b/>
                <w:sz w:val="20"/>
                <w:szCs w:val="20"/>
              </w:rPr>
            </w:pPr>
          </w:p>
        </w:tc>
      </w:tr>
      <w:tr w:rsidR="00B63CA6"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B63CA6" w:rsidRDefault="00B63CA6" w:rsidP="009B232B">
            <w:pPr>
              <w:spacing w:before="65" w:line="220" w:lineRule="exact"/>
              <w:ind w:left="75" w:right="342"/>
              <w:rPr>
                <w:rFonts w:eastAsia="Arial"/>
                <w:sz w:val="20"/>
                <w:szCs w:val="20"/>
              </w:rPr>
            </w:pPr>
            <w:r>
              <w:rPr>
                <w:rFonts w:eastAsia="Arial"/>
                <w:sz w:val="20"/>
                <w:szCs w:val="20"/>
              </w:rPr>
              <w:t>Harmful alcohol use</w:t>
            </w:r>
          </w:p>
        </w:tc>
        <w:tc>
          <w:tcPr>
            <w:tcW w:w="746"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ind w:left="244" w:right="219"/>
              <w:jc w:val="center"/>
              <w:rPr>
                <w:rFonts w:ascii="Times New Roman" w:hAnsi="Times New Roman" w:cs="Times New Roman"/>
                <w:b/>
                <w:sz w:val="20"/>
                <w:szCs w:val="20"/>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ind w:left="244" w:right="224"/>
              <w:jc w:val="center"/>
              <w:rPr>
                <w:rFonts w:ascii="Times New Roman" w:hAnsi="Times New Roman" w:cs="Times New Roman"/>
                <w:b/>
                <w:sz w:val="20"/>
                <w:szCs w:val="20"/>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F4077B">
            <w:pPr>
              <w:ind w:right="-25"/>
              <w:jc w:val="center"/>
              <w:rPr>
                <w:b/>
              </w:rPr>
            </w:pPr>
          </w:p>
        </w:tc>
      </w:tr>
      <w:tr w:rsidR="00B63CA6"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B63CA6" w:rsidRDefault="00B63CA6" w:rsidP="009B232B">
            <w:pPr>
              <w:spacing w:before="3" w:line="160" w:lineRule="exact"/>
              <w:rPr>
                <w:sz w:val="16"/>
                <w:szCs w:val="16"/>
              </w:rPr>
            </w:pPr>
          </w:p>
          <w:p w:rsidR="00B63CA6" w:rsidRDefault="00B63CA6" w:rsidP="009B232B">
            <w:pPr>
              <w:ind w:left="75" w:right="-20"/>
              <w:rPr>
                <w:rFonts w:eastAsia="Arial"/>
                <w:sz w:val="20"/>
                <w:szCs w:val="20"/>
              </w:rPr>
            </w:pPr>
            <w:r>
              <w:rPr>
                <w:rFonts w:eastAsia="Arial"/>
                <w:sz w:val="20"/>
                <w:szCs w:val="20"/>
              </w:rPr>
              <w:t>Poor nutrition</w:t>
            </w:r>
          </w:p>
        </w:tc>
        <w:tc>
          <w:tcPr>
            <w:tcW w:w="746"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9B232B">
            <w:pPr>
              <w:jc w:val="center"/>
              <w:rPr>
                <w:b/>
              </w:rPr>
            </w:pPr>
            <w:r w:rsidRPr="00384027">
              <w:rPr>
                <w:rFonts w:ascii="Times New Roman" w:hAnsi="Times New Roman" w:cs="Times New Roman"/>
                <w:b/>
                <w:w w:val="169"/>
                <w:sz w:val="20"/>
                <w:szCs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B63CA6" w:rsidRPr="00384027" w:rsidRDefault="00B63CA6" w:rsidP="00F4077B">
            <w:pPr>
              <w:ind w:right="-25"/>
              <w:jc w:val="center"/>
              <w:rPr>
                <w:b/>
              </w:rPr>
            </w:pPr>
          </w:p>
        </w:tc>
      </w:tr>
      <w:tr w:rsidR="00365904" w:rsidTr="001F05BA">
        <w:trPr>
          <w:trHeight w:hRule="exact" w:val="306"/>
        </w:trPr>
        <w:tc>
          <w:tcPr>
            <w:tcW w:w="8647" w:type="dxa"/>
            <w:gridSpan w:val="10"/>
            <w:tcBorders>
              <w:top w:val="single" w:sz="4" w:space="0" w:color="000000"/>
              <w:left w:val="single" w:sz="4" w:space="0" w:color="000000"/>
              <w:bottom w:val="single" w:sz="4" w:space="0" w:color="000000"/>
              <w:right w:val="single" w:sz="4" w:space="0" w:color="000000"/>
            </w:tcBorders>
          </w:tcPr>
          <w:p w:rsidR="00365904" w:rsidRPr="00384027" w:rsidRDefault="00365904" w:rsidP="009B232B">
            <w:pPr>
              <w:spacing w:before="32"/>
              <w:ind w:left="75" w:right="-20"/>
              <w:rPr>
                <w:rFonts w:eastAsia="Arial"/>
                <w:b/>
                <w:sz w:val="20"/>
                <w:szCs w:val="20"/>
              </w:rPr>
            </w:pPr>
            <w:r w:rsidRPr="00384027">
              <w:rPr>
                <w:rFonts w:eastAsia="Arial"/>
                <w:b/>
                <w:bCs/>
                <w:sz w:val="20"/>
                <w:szCs w:val="20"/>
              </w:rPr>
              <w:t>Biomedical</w:t>
            </w:r>
          </w:p>
        </w:tc>
      </w:tr>
      <w:tr w:rsidR="0064570D"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64570D" w:rsidRDefault="0064570D" w:rsidP="009B232B">
            <w:pPr>
              <w:spacing w:before="65" w:line="220" w:lineRule="exact"/>
              <w:ind w:left="75" w:right="331"/>
              <w:rPr>
                <w:rFonts w:eastAsia="Arial"/>
                <w:sz w:val="20"/>
                <w:szCs w:val="20"/>
              </w:rPr>
            </w:pPr>
            <w:r>
              <w:rPr>
                <w:rFonts w:eastAsia="Arial"/>
                <w:sz w:val="20"/>
                <w:szCs w:val="20"/>
              </w:rPr>
              <w:t>Overweight and obesity</w:t>
            </w:r>
          </w:p>
        </w:tc>
        <w:tc>
          <w:tcPr>
            <w:tcW w:w="746"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1963DB">
            <w:pPr>
              <w:ind w:left="236" w:right="142"/>
              <w:jc w:val="center"/>
              <w:rPr>
                <w:rFonts w:ascii="Times New Roman" w:hAnsi="Times New Roman" w:cs="Times New Roman"/>
                <w:b/>
                <w:sz w:val="20"/>
                <w:szCs w:val="20"/>
              </w:rPr>
            </w:pPr>
          </w:p>
        </w:tc>
      </w:tr>
      <w:tr w:rsidR="0064570D"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64570D" w:rsidRDefault="0064570D" w:rsidP="009B232B">
            <w:pPr>
              <w:spacing w:before="65" w:line="220" w:lineRule="exact"/>
              <w:ind w:left="75" w:right="775"/>
              <w:rPr>
                <w:rFonts w:eastAsia="Arial"/>
                <w:sz w:val="20"/>
                <w:szCs w:val="20"/>
              </w:rPr>
            </w:pPr>
            <w:r>
              <w:rPr>
                <w:rFonts w:eastAsia="Arial"/>
                <w:sz w:val="20"/>
                <w:szCs w:val="20"/>
              </w:rPr>
              <w:t>High blood pressure</w:t>
            </w:r>
          </w:p>
        </w:tc>
        <w:tc>
          <w:tcPr>
            <w:tcW w:w="746"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ind w:left="244" w:right="219"/>
              <w:jc w:val="center"/>
              <w:rPr>
                <w:rFonts w:ascii="Times New Roman" w:hAnsi="Times New Roman" w:cs="Times New Roman"/>
                <w:b/>
                <w:sz w:val="20"/>
                <w:szCs w:val="20"/>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ind w:left="236" w:right="216"/>
              <w:jc w:val="center"/>
              <w:rPr>
                <w:rFonts w:ascii="Times New Roman" w:hAnsi="Times New Roman" w:cs="Times New Roman"/>
                <w:b/>
                <w:sz w:val="20"/>
                <w:szCs w:val="20"/>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r>
      <w:tr w:rsidR="0064570D"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64570D" w:rsidRDefault="0064570D" w:rsidP="009B232B">
            <w:pPr>
              <w:spacing w:before="65" w:line="220" w:lineRule="exact"/>
              <w:ind w:left="75" w:right="764"/>
              <w:rPr>
                <w:rFonts w:eastAsia="Arial"/>
                <w:sz w:val="20"/>
                <w:szCs w:val="20"/>
              </w:rPr>
            </w:pPr>
            <w:r>
              <w:rPr>
                <w:rFonts w:eastAsia="Arial"/>
                <w:sz w:val="20"/>
                <w:szCs w:val="20"/>
              </w:rPr>
              <w:t>High blood cholesterol</w:t>
            </w:r>
          </w:p>
        </w:tc>
        <w:tc>
          <w:tcPr>
            <w:tcW w:w="746"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r>
      <w:tr w:rsidR="0064570D" w:rsidTr="001F05BA">
        <w:trPr>
          <w:trHeight w:hRule="exact" w:val="568"/>
        </w:trPr>
        <w:tc>
          <w:tcPr>
            <w:tcW w:w="1909" w:type="dxa"/>
            <w:tcBorders>
              <w:top w:val="single" w:sz="4" w:space="0" w:color="000000"/>
              <w:left w:val="single" w:sz="4" w:space="0" w:color="000000"/>
              <w:bottom w:val="single" w:sz="4" w:space="0" w:color="000000"/>
              <w:right w:val="single" w:sz="4" w:space="0" w:color="000000"/>
            </w:tcBorders>
          </w:tcPr>
          <w:p w:rsidR="0064570D" w:rsidRDefault="0064570D" w:rsidP="009B232B">
            <w:pPr>
              <w:spacing w:before="65" w:line="220" w:lineRule="exact"/>
              <w:ind w:left="75" w:right="764"/>
              <w:rPr>
                <w:rFonts w:eastAsia="Arial"/>
                <w:sz w:val="20"/>
                <w:szCs w:val="20"/>
              </w:rPr>
            </w:pPr>
            <w:r>
              <w:rPr>
                <w:rFonts w:eastAsia="Arial"/>
                <w:sz w:val="20"/>
                <w:szCs w:val="20"/>
              </w:rPr>
              <w:t xml:space="preserve">High blood sugar </w:t>
            </w:r>
          </w:p>
        </w:tc>
        <w:tc>
          <w:tcPr>
            <w:tcW w:w="746"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rFonts w:ascii="Times New Roman" w:hAnsi="Times New Roman" w:cs="Times New Roman"/>
                <w:b/>
                <w:w w:val="169"/>
                <w:sz w:val="20"/>
                <w:szCs w:val="20"/>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rFonts w:ascii="Times New Roman" w:hAnsi="Times New Roman" w:cs="Times New Roman"/>
                <w:b/>
                <w:w w:val="169"/>
                <w:sz w:val="20"/>
                <w:szCs w:val="20"/>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r>
      <w:tr w:rsidR="0064570D" w:rsidTr="001F05BA">
        <w:trPr>
          <w:trHeight w:hRule="exact" w:val="852"/>
        </w:trPr>
        <w:tc>
          <w:tcPr>
            <w:tcW w:w="1909" w:type="dxa"/>
            <w:tcBorders>
              <w:top w:val="single" w:sz="4" w:space="0" w:color="000000"/>
              <w:left w:val="single" w:sz="4" w:space="0" w:color="000000"/>
              <w:bottom w:val="single" w:sz="4" w:space="0" w:color="000000"/>
              <w:right w:val="single" w:sz="4" w:space="0" w:color="000000"/>
            </w:tcBorders>
          </w:tcPr>
          <w:p w:rsidR="0064570D" w:rsidRDefault="0064570D" w:rsidP="009B232B">
            <w:pPr>
              <w:spacing w:before="96" w:line="220" w:lineRule="exact"/>
              <w:ind w:left="75" w:right="309"/>
              <w:rPr>
                <w:rFonts w:eastAsia="Arial"/>
                <w:sz w:val="20"/>
                <w:szCs w:val="20"/>
              </w:rPr>
            </w:pPr>
            <w:r>
              <w:rPr>
                <w:rFonts w:eastAsia="Arial"/>
                <w:sz w:val="20"/>
                <w:szCs w:val="20"/>
              </w:rPr>
              <w:t>Early life factors (including low birthweight)</w:t>
            </w:r>
          </w:p>
        </w:tc>
        <w:tc>
          <w:tcPr>
            <w:tcW w:w="746"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1"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p>
        </w:tc>
        <w:tc>
          <w:tcPr>
            <w:tcW w:w="754"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c>
          <w:tcPr>
            <w:tcW w:w="720" w:type="dxa"/>
            <w:tcBorders>
              <w:top w:val="single" w:sz="4" w:space="0" w:color="000000"/>
              <w:left w:val="single" w:sz="4" w:space="0" w:color="000000"/>
              <w:bottom w:val="single" w:sz="4" w:space="0" w:color="000000"/>
              <w:right w:val="single" w:sz="4" w:space="0" w:color="000000"/>
            </w:tcBorders>
            <w:vAlign w:val="center"/>
          </w:tcPr>
          <w:p w:rsidR="0064570D" w:rsidRPr="00384027" w:rsidRDefault="0064570D" w:rsidP="009B232B">
            <w:pPr>
              <w:jc w:val="center"/>
              <w:rPr>
                <w:b/>
              </w:rPr>
            </w:pPr>
            <w:r w:rsidRPr="00384027">
              <w:rPr>
                <w:rFonts w:ascii="Times New Roman" w:hAnsi="Times New Roman" w:cs="Times New Roman"/>
                <w:b/>
                <w:w w:val="169"/>
                <w:sz w:val="20"/>
                <w:szCs w:val="20"/>
              </w:rPr>
              <w:t>√</w:t>
            </w:r>
          </w:p>
        </w:tc>
      </w:tr>
    </w:tbl>
    <w:p w:rsidR="00365904" w:rsidRDefault="00365904" w:rsidP="00365904">
      <w:pPr>
        <w:spacing w:before="5" w:line="110" w:lineRule="exact"/>
        <w:rPr>
          <w:sz w:val="11"/>
          <w:szCs w:val="11"/>
        </w:rPr>
      </w:pPr>
    </w:p>
    <w:p w:rsidR="00365904" w:rsidRPr="00D06412" w:rsidRDefault="00365904" w:rsidP="00332D02">
      <w:pPr>
        <w:spacing w:line="170" w:lineRule="exact"/>
        <w:rPr>
          <w:sz w:val="22"/>
          <w:szCs w:val="22"/>
        </w:rPr>
      </w:pPr>
    </w:p>
    <w:p w:rsidR="00365904" w:rsidRPr="00D06412" w:rsidRDefault="00365904" w:rsidP="00332D02">
      <w:pPr>
        <w:ind w:right="-20"/>
        <w:rPr>
          <w:rFonts w:eastAsia="Arial"/>
          <w:sz w:val="22"/>
          <w:szCs w:val="22"/>
        </w:rPr>
      </w:pPr>
      <w:r w:rsidRPr="00D06412">
        <w:rPr>
          <w:rFonts w:eastAsia="Arial"/>
          <w:sz w:val="22"/>
          <w:szCs w:val="22"/>
        </w:rPr>
        <w:t>Sources:</w:t>
      </w:r>
      <w:r w:rsidRPr="00D06412">
        <w:rPr>
          <w:rFonts w:eastAsia="Arial"/>
          <w:spacing w:val="-13"/>
          <w:sz w:val="22"/>
          <w:szCs w:val="22"/>
        </w:rPr>
        <w:t xml:space="preserve"> </w:t>
      </w:r>
      <w:r w:rsidRPr="00D06412">
        <w:rPr>
          <w:rFonts w:eastAsia="Arial"/>
          <w:sz w:val="22"/>
          <w:szCs w:val="22"/>
        </w:rPr>
        <w:t>AIH</w:t>
      </w:r>
      <w:r w:rsidRPr="00D06412">
        <w:rPr>
          <w:rFonts w:eastAsia="Arial"/>
          <w:spacing w:val="-13"/>
          <w:sz w:val="22"/>
          <w:szCs w:val="22"/>
        </w:rPr>
        <w:t>W</w:t>
      </w:r>
      <w:r w:rsidRPr="00D06412">
        <w:rPr>
          <w:rFonts w:eastAsia="Arial"/>
          <w:sz w:val="22"/>
          <w:szCs w:val="22"/>
        </w:rPr>
        <w:t>,</w:t>
      </w:r>
      <w:r w:rsidR="008E4A1B">
        <w:rPr>
          <w:rFonts w:eastAsia="Arial"/>
          <w:sz w:val="22"/>
          <w:szCs w:val="22"/>
        </w:rPr>
        <w:fldChar w:fldCharType="begin">
          <w:fldData xml:space="preserve">PEVuZE5vdGU+PENpdGU+PEF1dGhvcj5BdXN0cmFsaWFuIEluc3RpdHV0ZSBvZiBIZWFsdGggYW5k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</w:fldData>
        </w:fldChar>
      </w:r>
      <w:r w:rsidR="00C21325">
        <w:rPr>
          <w:rFonts w:eastAsia="Arial"/>
          <w:sz w:val="22"/>
          <w:szCs w:val="22"/>
        </w:rPr>
        <w:instrText xml:space="preserve"> ADDIN EN.CITE </w:instrText>
      </w:r>
      <w:r w:rsidR="00C21325">
        <w:rPr>
          <w:rFonts w:eastAsia="Arial"/>
          <w:sz w:val="22"/>
          <w:szCs w:val="22"/>
        </w:rPr>
        <w:fldChar w:fldCharType="begin">
          <w:fldData xml:space="preserve">PEVuZE5vdGU+PENpdGU+PEF1dGhvcj5BdXN0cmFsaWFuIEluc3RpdHV0ZSBvZiBIZWFsdGggYW5k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</w:fldData>
        </w:fldChar>
      </w:r>
      <w:r w:rsidR="00C21325">
        <w:rPr>
          <w:rFonts w:eastAsia="Arial"/>
          <w:sz w:val="22"/>
          <w:szCs w:val="22"/>
        </w:rPr>
        <w:instrText xml:space="preserve"> ADDIN EN.CITE.DATA </w:instrText>
      </w:r>
      <w:r w:rsidR="00C21325">
        <w:rPr>
          <w:rFonts w:eastAsia="Arial"/>
          <w:sz w:val="22"/>
          <w:szCs w:val="22"/>
        </w:rPr>
      </w:r>
      <w:r w:rsidR="00C21325">
        <w:rPr>
          <w:rFonts w:eastAsia="Arial"/>
          <w:sz w:val="22"/>
          <w:szCs w:val="22"/>
        </w:rPr>
        <w:fldChar w:fldCharType="end"/>
      </w:r>
      <w:r w:rsidR="008E4A1B">
        <w:rPr>
          <w:rFonts w:eastAsia="Arial"/>
          <w:sz w:val="22"/>
          <w:szCs w:val="22"/>
        </w:rPr>
      </w:r>
      <w:r w:rsidR="008E4A1B">
        <w:rPr>
          <w:rFonts w:eastAsia="Arial"/>
          <w:sz w:val="22"/>
          <w:szCs w:val="22"/>
        </w:rPr>
        <w:fldChar w:fldCharType="separate"/>
      </w:r>
      <w:r w:rsidR="00C21325" w:rsidRPr="00C21325">
        <w:rPr>
          <w:rFonts w:eastAsia="Arial"/>
          <w:noProof/>
          <w:sz w:val="22"/>
          <w:szCs w:val="22"/>
          <w:vertAlign w:val="superscript"/>
        </w:rPr>
        <w:t>3, 7, 16</w:t>
      </w:r>
      <w:r w:rsidR="008E4A1B">
        <w:rPr>
          <w:rFonts w:eastAsia="Arial"/>
          <w:sz w:val="22"/>
          <w:szCs w:val="22"/>
        </w:rPr>
        <w:fldChar w:fldCharType="end"/>
      </w:r>
      <w:r>
        <w:rPr>
          <w:rFonts w:eastAsia="Arial"/>
          <w:sz w:val="22"/>
          <w:szCs w:val="22"/>
        </w:rPr>
        <w:t xml:space="preserve"> Oral Health Monitoring Group</w:t>
      </w:r>
      <w:r w:rsidR="008E4A1B">
        <w:rPr>
          <w:rFonts w:eastAsia="Arial"/>
          <w:sz w:val="22"/>
          <w:szCs w:val="22"/>
        </w:rPr>
        <w:fldChar w:fldCharType="begin"/>
      </w:r>
      <w:r w:rsidR="00C21325">
        <w:rPr>
          <w:rFonts w:eastAsia="Arial"/>
          <w:sz w:val="22"/>
          <w:szCs w:val="22"/>
        </w:rPr>
        <w:instrText xml:space="preserve"> ADDIN EN.CITE &lt;EndNote&gt;&lt;Cite&gt;&lt;Author&gt;Oral Health Monitoring Group&lt;/Author&gt;&lt;Year&gt;2015&lt;/Year&gt;&lt;RecNum&gt;1065&lt;/RecNum&gt;&lt;DisplayText&gt;&lt;style face="superscript"&gt;17&lt;/style&gt;&lt;/DisplayText&gt;&lt;record&gt;&lt;rec-number&gt;1065&lt;/rec-number&gt;&lt;foreign-keys&gt;&lt;key app="EN" db-id="zxa00wf2opvf9oeeset50xz7ezpfwre2v20z"&gt;1065&lt;/key&gt;&lt;/foreign-keys&gt;&lt;ref-type name="Report"&gt;27&lt;/ref-type&gt;&lt;contributors&gt;&lt;authors&gt;&lt;author&gt;Oral Health Monitoring Group,&lt;/author&gt;&lt;/authors&gt;&lt;/contributors&gt;&lt;titles&gt;&lt;title&gt;Healthy Mouths, Healthy Lives: Australia’s National Oral Health Plan 2015–2024&lt;/title&gt;&lt;/titles&gt;&lt;dates&gt;&lt;year&gt;2015&lt;/year&gt;&lt;/dates&gt;&lt;pub-location&gt;Canberra&lt;/pub-location&gt;&lt;publisher&gt;COAG Health Council&lt;/publisher&gt;&lt;urls&gt;&lt;related-urls&gt;&lt;url&gt;http://www.coaghealthcouncil.gov.au/Portals/0/Australia%27s%20National%20Oral%20Health%20Plan%202015-2024_uploaded%20170216.pdf&lt;/url&gt;&lt;/related-urls&gt;&lt;/urls&gt;&lt;/record&gt;&lt;/Cite&gt;&lt;/EndNote&gt;</w:instrText>
      </w:r>
      <w:r w:rsidR="008E4A1B">
        <w:rPr>
          <w:rFonts w:eastAsia="Arial"/>
          <w:sz w:val="22"/>
          <w:szCs w:val="22"/>
        </w:rPr>
        <w:fldChar w:fldCharType="separate"/>
      </w:r>
      <w:r w:rsidR="00C21325" w:rsidRPr="00C21325">
        <w:rPr>
          <w:rFonts w:eastAsia="Arial"/>
          <w:noProof/>
          <w:sz w:val="22"/>
          <w:szCs w:val="22"/>
          <w:vertAlign w:val="superscript"/>
        </w:rPr>
        <w:t>17</w:t>
      </w:r>
      <w:r w:rsidR="008E4A1B">
        <w:rPr>
          <w:rFonts w:eastAsia="Arial"/>
          <w:sz w:val="22"/>
          <w:szCs w:val="22"/>
        </w:rPr>
        <w:fldChar w:fldCharType="end"/>
      </w:r>
      <w:r w:rsidRPr="00D06412">
        <w:rPr>
          <w:rFonts w:eastAsia="Arial"/>
          <w:spacing w:val="28"/>
          <w:position w:val="8"/>
          <w:sz w:val="22"/>
          <w:szCs w:val="22"/>
        </w:rPr>
        <w:t xml:space="preserve"> </w:t>
      </w:r>
    </w:p>
    <w:p w:rsidR="00EA77AD" w:rsidRDefault="00EA77AD" w:rsidP="00365904"/>
    <w:p w:rsidR="007E0F63" w:rsidRDefault="00AA4492" w:rsidP="00365904">
      <w:r>
        <w:t xml:space="preserve">The WA HPSF focuses on </w:t>
      </w:r>
      <w:r w:rsidR="003F09D5">
        <w:t xml:space="preserve">being overweight or obese, </w:t>
      </w:r>
      <w:r w:rsidR="00577C79" w:rsidRPr="00C2221F">
        <w:t>p</w:t>
      </w:r>
      <w:r w:rsidR="00577C79">
        <w:t xml:space="preserve">oor diet, </w:t>
      </w:r>
      <w:r w:rsidR="00577C79" w:rsidRPr="00C2221F">
        <w:t>i</w:t>
      </w:r>
      <w:r w:rsidR="00577C79">
        <w:t xml:space="preserve">nsufficient physical activity, </w:t>
      </w:r>
      <w:r w:rsidR="00577C79" w:rsidRPr="00C2221F">
        <w:t>s</w:t>
      </w:r>
      <w:r w:rsidR="00577C79">
        <w:t>moking</w:t>
      </w:r>
      <w:r w:rsidR="00680A93">
        <w:t>,</w:t>
      </w:r>
      <w:r w:rsidR="003F09D5">
        <w:t xml:space="preserve"> and</w:t>
      </w:r>
      <w:r w:rsidR="00577C79">
        <w:t xml:space="preserve"> </w:t>
      </w:r>
      <w:r w:rsidR="00577C79" w:rsidRPr="00C2221F">
        <w:t>harmful levels of alcohol use</w:t>
      </w:r>
      <w:r w:rsidR="00577C79">
        <w:t xml:space="preserve"> because they are among </w:t>
      </w:r>
      <w:r w:rsidR="003F09D5">
        <w:t>the risk factors which cause</w:t>
      </w:r>
      <w:r w:rsidR="00FD0DDA">
        <w:t xml:space="preserve"> the greatest burden of disease</w:t>
      </w:r>
      <w:r w:rsidR="002022EE">
        <w:t>.</w:t>
      </w:r>
      <w:r w:rsidR="00417EBE">
        <w:t xml:space="preserve"> In Australia in 2011, </w:t>
      </w:r>
      <w:r w:rsidR="005F1B3B">
        <w:t>tobacco use was responsible</w:t>
      </w:r>
      <w:r w:rsidR="00127459">
        <w:t xml:space="preserve"> for 9% of the </w:t>
      </w:r>
      <w:r w:rsidR="005C0C19">
        <w:t>burden of disease, followed by dietary factors (7%).</w:t>
      </w:r>
      <w:r w:rsidR="0075761E">
        <w:fldChar w:fldCharType="begin"/>
      </w:r>
      <w:r w:rsidR="00C21325">
        <w:instrText xml:space="preserve"> ADDIN EN.CITE &lt;EndNote&gt;&lt;Cite&gt;&lt;Author&gt;Australian Institute of Health and Welfare&lt;/Author&gt;&lt;Year&gt;2016&lt;/Year&gt;&lt;RecNum&gt;1085&lt;/RecNum&gt;&lt;DisplayText&gt;&lt;style face="superscript"&gt;7&lt;/style&gt;&lt;/DisplayText&gt;&lt;record&gt;&lt;rec-number&gt;1085&lt;/rec-number&gt;&lt;foreign-keys&gt;&lt;key app="EN" db-id="zxa00wf2opvf9oeeset50xz7ezpfwre2v20z"&gt;1085&lt;/key&gt;&lt;/foreign-keys&gt;&lt;ref-type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2011-Summary report. Australian Burden of Disease Study series no. 4. BOD 5.&lt;/title&gt;&lt;/titles&gt;&lt;dates&gt;&lt;year&gt;2016&lt;/year&gt;&lt;/dates&gt;&lt;pub-location&gt;Canberra&lt;/pub-location&gt;&lt;publisher&gt;AIHW&lt;/publisher&gt;&lt;urls&gt;&lt;related-urls&gt;&lt;url&gt;http://www.aihw.gov.au/publication-detail/?id=60129556205&lt;/url&gt;&lt;/related-urls&gt;&lt;/urls&gt;&lt;/record&gt;&lt;/Cite&gt;&lt;/EndNote&gt;</w:instrText>
      </w:r>
      <w:r w:rsidR="0075761E">
        <w:fldChar w:fldCharType="separate"/>
      </w:r>
      <w:r w:rsidR="00C21325" w:rsidRPr="00C21325">
        <w:rPr>
          <w:noProof/>
          <w:vertAlign w:val="superscript"/>
        </w:rPr>
        <w:t>7</w:t>
      </w:r>
      <w:r w:rsidR="0075761E">
        <w:fldChar w:fldCharType="end"/>
      </w:r>
      <w:r w:rsidR="002022EE">
        <w:t xml:space="preserve"> It is estimated that </w:t>
      </w:r>
      <w:r w:rsidR="00630273">
        <w:t xml:space="preserve">by </w:t>
      </w:r>
      <w:r w:rsidR="007E35A4">
        <w:t xml:space="preserve">avoiding these risk factors, the </w:t>
      </w:r>
      <w:r w:rsidR="002F121A">
        <w:t xml:space="preserve">total </w:t>
      </w:r>
      <w:r w:rsidR="007E35A4">
        <w:t xml:space="preserve">burden of disease </w:t>
      </w:r>
      <w:r w:rsidR="002F121A">
        <w:t>in Australia could be reduced by almost one third</w:t>
      </w:r>
      <w:r w:rsidR="00FD0DDA">
        <w:t xml:space="preserve"> (</w:t>
      </w:r>
      <w:r w:rsidR="00417EBE">
        <w:t>31%</w:t>
      </w:r>
      <w:r w:rsidR="00FD0DDA">
        <w:t>).</w:t>
      </w:r>
      <w:r w:rsidR="008E4A1B">
        <w:fldChar w:fldCharType="begin"/>
      </w:r>
      <w:r w:rsidR="008E4A1B">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8E4A1B">
        <w:fldChar w:fldCharType="separate"/>
      </w:r>
      <w:r w:rsidR="008E4A1B" w:rsidRPr="008E4A1B">
        <w:rPr>
          <w:noProof/>
          <w:vertAlign w:val="superscript"/>
        </w:rPr>
        <w:t>2</w:t>
      </w:r>
      <w:r w:rsidR="008E4A1B">
        <w:fldChar w:fldCharType="end"/>
      </w:r>
      <w:r w:rsidR="002022EE">
        <w:t xml:space="preserve"> </w:t>
      </w:r>
      <w:r w:rsidR="00365904" w:rsidRPr="0020016C">
        <w:t>Influencing these</w:t>
      </w:r>
      <w:r w:rsidR="00365904" w:rsidRPr="0020016C">
        <w:rPr>
          <w:lang w:val="en-AU"/>
        </w:rPr>
        <w:t xml:space="preserve"> </w:t>
      </w:r>
      <w:r w:rsidR="00365904" w:rsidRPr="0020016C">
        <w:t xml:space="preserve">risk factors </w:t>
      </w:r>
      <w:r w:rsidR="005055B0">
        <w:t xml:space="preserve">therefore </w:t>
      </w:r>
      <w:r w:rsidR="00365904" w:rsidRPr="0020016C">
        <w:t xml:space="preserve">has the potential to significantly reduce the prevalence </w:t>
      </w:r>
      <w:r w:rsidR="00365904">
        <w:t xml:space="preserve">and severity of chronic disease </w:t>
      </w:r>
      <w:r w:rsidR="00365904" w:rsidRPr="0020016C">
        <w:t xml:space="preserve">and improve the health of people in WA. </w:t>
      </w:r>
    </w:p>
    <w:p w:rsidR="003A66F8" w:rsidRDefault="003A66F8" w:rsidP="00365904"/>
    <w:p w:rsidR="00365904" w:rsidRDefault="003A66F8" w:rsidP="00365904">
      <w:r w:rsidRPr="00891B2A">
        <w:t xml:space="preserve">The </w:t>
      </w:r>
      <w:r w:rsidR="00DA1C28" w:rsidRPr="00891B2A">
        <w:t xml:space="preserve">leading four </w:t>
      </w:r>
      <w:r w:rsidRPr="00891B2A">
        <w:t>disease groups which cause the greatest burden are cancer, cardiovascular disease, mental and substance use disorders</w:t>
      </w:r>
      <w:r w:rsidR="001A6FDA" w:rsidRPr="00891B2A">
        <w:t xml:space="preserve"> and</w:t>
      </w:r>
      <w:r w:rsidRPr="00891B2A">
        <w:t xml:space="preserve"> musculoskeletal conditions (</w:t>
      </w:r>
      <w:r w:rsidR="00474CC8" w:rsidRPr="00891B2A">
        <w:t>including</w:t>
      </w:r>
      <w:r w:rsidR="00A11215" w:rsidRPr="00891B2A">
        <w:t xml:space="preserve"> </w:t>
      </w:r>
      <w:r w:rsidR="00474CC8" w:rsidRPr="00891B2A">
        <w:t xml:space="preserve">back problems, </w:t>
      </w:r>
      <w:r w:rsidRPr="00891B2A">
        <w:t>arthritis and osteoporosis).</w:t>
      </w:r>
      <w:r w:rsidR="0099210E">
        <w:t xml:space="preserve"> </w:t>
      </w:r>
      <w:r w:rsidR="001A6FDA" w:rsidRPr="00891B2A">
        <w:t>The fifth-greatest burden</w:t>
      </w:r>
      <w:r w:rsidR="00963225" w:rsidRPr="00891B2A">
        <w:t xml:space="preserve"> of </w:t>
      </w:r>
      <w:r w:rsidR="00A02A5C" w:rsidRPr="00891B2A">
        <w:t xml:space="preserve">premature </w:t>
      </w:r>
      <w:r w:rsidR="00963225" w:rsidRPr="00891B2A">
        <w:t>death and disability</w:t>
      </w:r>
      <w:r w:rsidR="001A6FDA" w:rsidRPr="00891B2A">
        <w:t xml:space="preserve"> is due to injuries.</w:t>
      </w:r>
      <w:r w:rsidR="008E4A1B" w:rsidRPr="00891B2A">
        <w:fldChar w:fldCharType="begin"/>
      </w:r>
      <w:r w:rsidR="008E4A1B" w:rsidRPr="00891B2A">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8E4A1B" w:rsidRPr="00891B2A">
        <w:fldChar w:fldCharType="separate"/>
      </w:r>
      <w:r w:rsidR="008E4A1B" w:rsidRPr="00891B2A">
        <w:rPr>
          <w:noProof/>
          <w:vertAlign w:val="superscript"/>
        </w:rPr>
        <w:t>2</w:t>
      </w:r>
      <w:r w:rsidR="008E4A1B" w:rsidRPr="00891B2A">
        <w:fldChar w:fldCharType="end"/>
      </w:r>
      <w:r w:rsidR="002E55C0" w:rsidRPr="00891B2A">
        <w:t xml:space="preserve"> Lifestyle interventions and the creation of safer environments can be effective in preventing many types of injuries, and factors such as alcohol use</w:t>
      </w:r>
      <w:r w:rsidR="002E55C0" w:rsidRPr="00891B2A">
        <w:fldChar w:fldCharType="begin"/>
      </w:r>
      <w:r w:rsidR="002E55C0" w:rsidRPr="00891B2A">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2E55C0" w:rsidRPr="00891B2A">
        <w:fldChar w:fldCharType="separate"/>
      </w:r>
      <w:r w:rsidR="002E55C0" w:rsidRPr="00891B2A">
        <w:rPr>
          <w:noProof/>
          <w:vertAlign w:val="superscript"/>
        </w:rPr>
        <w:t>2</w:t>
      </w:r>
      <w:r w:rsidR="002E55C0" w:rsidRPr="00891B2A">
        <w:fldChar w:fldCharType="end"/>
      </w:r>
      <w:r w:rsidR="002E55C0" w:rsidRPr="00891B2A">
        <w:t xml:space="preserve"> and physical inactivity</w:t>
      </w:r>
      <w:r w:rsidR="002E55C0" w:rsidRPr="00891B2A">
        <w:fldChar w:fldCharType="begin"/>
      </w:r>
      <w:r w:rsidR="002E55C0" w:rsidRPr="00891B2A">
        <w:instrText xml:space="preserve"> ADDIN EN.CITE &lt;EndNote&gt;&lt;Cite&gt;&lt;Author&gt;Sherrington&lt;/Author&gt;&lt;Year&gt;2011&lt;/Year&gt;&lt;RecNum&gt;807&lt;/RecNum&gt;&lt;DisplayText&gt;&lt;style face="superscript"&gt;4&lt;/style&gt;&lt;/DisplayText&gt;&lt;record&gt;&lt;rec-number&gt;807&lt;/rec-number&gt;&lt;foreign-keys&gt;&lt;key app="EN" db-id="zxa00wf2opvf9oeeset50xz7ezpfwre2v20z"&gt;807&lt;/key&gt;&lt;/foreign-keys&gt;&lt;ref-type name="Journal Article"&gt;17&lt;/ref-type&gt;&lt;contributors&gt;&lt;authors&gt;&lt;author&gt;Sherrington, C.&lt;/author&gt;&lt;author&gt;Tiedemann, A.&lt;/author&gt;&lt;author&gt;Fairhall, N.&lt;/author&gt;&lt;author&gt;Close, J. C.&lt;/author&gt;&lt;author&gt;Lord, S. R.&lt;/author&gt;&lt;/authors&gt;&lt;/contributors&gt;&lt;auth-address&gt;Musculoskeletal Division, The George Institute for Global Health, The University of Sydney, Australia. csherrington@georgeinstitute.org.au&lt;/auth-address&gt;&lt;titles&gt;&lt;title&gt;Exercise to prevent falls in older adults: an updated meta-analysis and best practice recommendations&lt;/title&gt;&lt;secondary-title&gt;NSW Public Health Bull&lt;/secondary-title&gt;&lt;/titles&gt;&lt;periodical&gt;&lt;full-title&gt;NSW Public Health Bull&lt;/full-title&gt;&lt;/periodical&gt;&lt;pages&gt;78-83&lt;/pages&gt;&lt;volume&gt;22&lt;/volume&gt;&lt;number&gt;3-4&lt;/number&gt;&lt;keywords&gt;&lt;keyword&gt;Accidental Falls/*prevention &amp;amp; control&lt;/keyword&gt;&lt;keyword&gt;Aged&lt;/keyword&gt;&lt;keyword&gt;*Exercise&lt;/keyword&gt;&lt;keyword&gt;Humans&lt;/keyword&gt;&lt;keyword&gt;Randomized Controlled Trials as Topic&lt;/keyword&gt;&lt;keyword&gt;Resistance Training&lt;/keyword&gt;&lt;keyword&gt;Risk Factors&lt;/keyword&gt;&lt;keyword&gt;Walking&lt;/keyword&gt;&lt;/keywords&gt;&lt;dates&gt;&lt;year&gt;2011&lt;/year&gt;&lt;/dates&gt;&lt;urls&gt;&lt;related-urls&gt;&lt;url&gt;http://www.ncbi.nlm.nih.gov/pubmed/21632004&lt;/url&gt;&lt;/related-urls&gt;&lt;/urls&gt;&lt;/record&gt;&lt;/Cite&gt;&lt;/EndNote&gt;</w:instrText>
      </w:r>
      <w:r w:rsidR="002E55C0" w:rsidRPr="00891B2A">
        <w:fldChar w:fldCharType="separate"/>
      </w:r>
      <w:r w:rsidR="002E55C0" w:rsidRPr="00891B2A">
        <w:rPr>
          <w:noProof/>
          <w:vertAlign w:val="superscript"/>
        </w:rPr>
        <w:t>4</w:t>
      </w:r>
      <w:r w:rsidR="002E55C0" w:rsidRPr="00891B2A">
        <w:fldChar w:fldCharType="end"/>
      </w:r>
      <w:r w:rsidR="002E55C0" w:rsidRPr="00891B2A">
        <w:t xml:space="preserve"> also influence the risk of injury. S</w:t>
      </w:r>
      <w:r w:rsidR="00365904" w:rsidRPr="00891B2A">
        <w:t>trategies to prevent chronic diseases and injury are</w:t>
      </w:r>
      <w:r w:rsidR="00891B2A" w:rsidRPr="00891B2A">
        <w:t xml:space="preserve"> therefore</w:t>
      </w:r>
      <w:r w:rsidR="00365904" w:rsidRPr="00891B2A">
        <w:t xml:space="preserve"> often</w:t>
      </w:r>
      <w:r w:rsidR="00365904">
        <w:t xml:space="preserve"> </w:t>
      </w:r>
      <w:r w:rsidR="00365904">
        <w:lastRenderedPageBreak/>
        <w:t>implemented together.</w:t>
      </w:r>
      <w:r w:rsidR="00543457">
        <w:t xml:space="preserve"> The WA </w:t>
      </w:r>
      <w:r w:rsidR="00B72CE5">
        <w:t>HPSF includes preventing injury</w:t>
      </w:r>
      <w:r w:rsidR="00B72CE5" w:rsidRPr="00F17E4F">
        <w:t xml:space="preserve"> and promoting safer communities</w:t>
      </w:r>
      <w:r w:rsidR="00B72CE5">
        <w:t xml:space="preserve"> as a priority area for action.</w:t>
      </w:r>
    </w:p>
    <w:p w:rsidR="00365904" w:rsidRDefault="00365904" w:rsidP="00365904"/>
    <w:p w:rsidR="00365904" w:rsidRDefault="00365904" w:rsidP="00365904">
      <w:r>
        <w:t xml:space="preserve">The risk factors </w:t>
      </w:r>
      <w:r w:rsidR="00630273">
        <w:t xml:space="preserve">on </w:t>
      </w:r>
      <w:r w:rsidR="00474CC8">
        <w:t xml:space="preserve">which the WA HPSF focuses </w:t>
      </w:r>
      <w:r>
        <w:t xml:space="preserve">are common </w:t>
      </w:r>
      <w:r w:rsidR="00D31393">
        <w:t>in</w:t>
      </w:r>
      <w:r>
        <w:t xml:space="preserve"> the </w:t>
      </w:r>
      <w:r w:rsidR="00D31393">
        <w:t xml:space="preserve">Western Australian </w:t>
      </w:r>
      <w:r>
        <w:t xml:space="preserve">community. </w:t>
      </w:r>
      <w:r w:rsidRPr="008B0646">
        <w:t>Most people have at least one risk factor and many have several risk factors.</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r w:rsidRPr="008B0646">
        <w:t xml:space="preserve"> </w:t>
      </w:r>
      <w:r>
        <w:t xml:space="preserve">Often, these risk factors occur together. For example, </w:t>
      </w:r>
      <w:r w:rsidRPr="008B0646">
        <w:t xml:space="preserve">people who consume alcohol at risky levels are </w:t>
      </w:r>
      <w:r>
        <w:t xml:space="preserve">also </w:t>
      </w:r>
      <w:r w:rsidRPr="008B0646">
        <w:t>more likely</w:t>
      </w:r>
      <w:r>
        <w:t xml:space="preserve"> to be daily smokers</w:t>
      </w:r>
      <w:r w:rsidRPr="008B0646">
        <w:t xml:space="preserve">. Daily smoking is also more common among people with </w:t>
      </w:r>
      <w:r>
        <w:t xml:space="preserve">low levels of physical activity. </w:t>
      </w:r>
      <w:r w:rsidRPr="008B0646">
        <w:t xml:space="preserve">Having more risk factors is usually associated with </w:t>
      </w:r>
      <w:r>
        <w:t>higher levels of c</w:t>
      </w:r>
      <w:r w:rsidRPr="008B0646">
        <w:t>hronic disease</w:t>
      </w:r>
      <w:r>
        <w:t>.</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p>
    <w:p w:rsidR="00332D02" w:rsidRDefault="00332D02" w:rsidP="00365904"/>
    <w:p w:rsidR="00332D02" w:rsidRDefault="00332D02" w:rsidP="00332D02">
      <w:pPr>
        <w:rPr>
          <w:rFonts w:eastAsia="Arial"/>
        </w:rPr>
      </w:pPr>
    </w:p>
    <w:p w:rsidR="00332D02" w:rsidRPr="00F00725" w:rsidRDefault="00332D02" w:rsidP="00332D02">
      <w:pPr>
        <w:rPr>
          <w:rFonts w:eastAsia="Arial"/>
          <w:b/>
        </w:rPr>
      </w:pPr>
      <w:r w:rsidRPr="00F00725">
        <w:rPr>
          <w:rFonts w:eastAsia="Arial"/>
          <w:b/>
        </w:rPr>
        <w:t xml:space="preserve">Table 2:  Proportion (%) of burden of disease and illness attributable to </w:t>
      </w:r>
      <w:r w:rsidR="00D66C54" w:rsidRPr="00F00725">
        <w:rPr>
          <w:rFonts w:eastAsia="Arial"/>
          <w:b/>
        </w:rPr>
        <w:t xml:space="preserve">selected </w:t>
      </w:r>
      <w:r w:rsidRPr="00F00725">
        <w:rPr>
          <w:rFonts w:eastAsia="Arial"/>
          <w:b/>
        </w:rPr>
        <w:t>risk factors</w:t>
      </w:r>
      <w:r w:rsidR="00D66C54" w:rsidRPr="00F00725">
        <w:rPr>
          <w:rFonts w:eastAsia="Arial"/>
          <w:b/>
        </w:rPr>
        <w:t>, Australia</w:t>
      </w:r>
      <w:r w:rsidRPr="00F00725">
        <w:rPr>
          <w:rFonts w:eastAsia="Arial"/>
          <w:b/>
        </w:rPr>
        <w:t>, 2011</w:t>
      </w:r>
    </w:p>
    <w:p w:rsidR="005E7C80" w:rsidRDefault="005E7C80" w:rsidP="00332D02">
      <w:pPr>
        <w:rPr>
          <w:rFonts w:eastAsia="Arial"/>
        </w:rPr>
      </w:pPr>
    </w:p>
    <w:tbl>
      <w:tblPr>
        <w:tblW w:w="9432" w:type="dxa"/>
        <w:tblLayout w:type="fixed"/>
        <w:tblCellMar>
          <w:left w:w="0" w:type="dxa"/>
          <w:right w:w="0" w:type="dxa"/>
        </w:tblCellMar>
        <w:tblLook w:val="01E0" w:firstRow="1" w:lastRow="1" w:firstColumn="1" w:lastColumn="1" w:noHBand="0" w:noVBand="0"/>
      </w:tblPr>
      <w:tblGrid>
        <w:gridCol w:w="1930"/>
        <w:gridCol w:w="816"/>
        <w:gridCol w:w="816"/>
        <w:gridCol w:w="816"/>
        <w:gridCol w:w="816"/>
        <w:gridCol w:w="816"/>
        <w:gridCol w:w="816"/>
        <w:gridCol w:w="816"/>
        <w:gridCol w:w="820"/>
        <w:gridCol w:w="970"/>
      </w:tblGrid>
      <w:tr w:rsidR="009A2E07" w:rsidTr="003D4AC9">
        <w:trPr>
          <w:trHeight w:hRule="exact" w:val="885"/>
        </w:trPr>
        <w:tc>
          <w:tcPr>
            <w:tcW w:w="1930" w:type="dxa"/>
            <w:tcBorders>
              <w:top w:val="single" w:sz="4" w:space="0" w:color="00929F"/>
              <w:left w:val="single" w:sz="4" w:space="0" w:color="00929F"/>
              <w:bottom w:val="single" w:sz="4" w:space="0" w:color="FFFFFF"/>
              <w:right w:val="nil"/>
            </w:tcBorders>
            <w:shd w:val="clear" w:color="auto" w:fill="808080" w:themeFill="background1" w:themeFillShade="80"/>
          </w:tcPr>
          <w:p w:rsidR="009A2E07" w:rsidRDefault="009A2E07" w:rsidP="003D4AC9">
            <w:pPr>
              <w:spacing w:before="5" w:line="100" w:lineRule="exact"/>
              <w:rPr>
                <w:sz w:val="10"/>
                <w:szCs w:val="10"/>
              </w:rPr>
            </w:pPr>
          </w:p>
          <w:p w:rsidR="009A2E07" w:rsidRDefault="009A2E07" w:rsidP="003D4AC9">
            <w:pPr>
              <w:spacing w:line="200" w:lineRule="exact"/>
              <w:rPr>
                <w:sz w:val="20"/>
                <w:szCs w:val="20"/>
              </w:rPr>
            </w:pPr>
          </w:p>
          <w:p w:rsidR="009A2E07" w:rsidRDefault="009A2E07" w:rsidP="003D4AC9">
            <w:pPr>
              <w:ind w:left="75" w:right="-20"/>
              <w:rPr>
                <w:rFonts w:eastAsia="Arial"/>
                <w:sz w:val="20"/>
                <w:szCs w:val="20"/>
              </w:rPr>
            </w:pPr>
            <w:r>
              <w:rPr>
                <w:rFonts w:eastAsia="Arial"/>
                <w:b/>
                <w:bCs/>
                <w:color w:val="FFFFFF"/>
                <w:sz w:val="20"/>
                <w:szCs w:val="20"/>
              </w:rPr>
              <w:t>Conditions</w:t>
            </w:r>
          </w:p>
        </w:tc>
        <w:tc>
          <w:tcPr>
            <w:tcW w:w="6532" w:type="dxa"/>
            <w:gridSpan w:val="8"/>
            <w:vMerge w:val="restart"/>
            <w:tcBorders>
              <w:top w:val="single" w:sz="4" w:space="0" w:color="00929F"/>
              <w:left w:val="nil"/>
              <w:right w:val="single" w:sz="4" w:space="0" w:color="00929F"/>
            </w:tcBorders>
            <w:shd w:val="clear" w:color="auto" w:fill="808080" w:themeFill="background1" w:themeFillShade="80"/>
            <w:textDirection w:val="btLr"/>
          </w:tcPr>
          <w:p w:rsidR="009A2E07" w:rsidRDefault="009A2E07" w:rsidP="003D4AC9">
            <w:pPr>
              <w:spacing w:line="150" w:lineRule="exact"/>
              <w:rPr>
                <w:sz w:val="15"/>
                <w:szCs w:val="15"/>
              </w:rPr>
            </w:pPr>
          </w:p>
          <w:p w:rsidR="009A2E07" w:rsidRDefault="009A2E07" w:rsidP="003D4AC9">
            <w:pPr>
              <w:spacing w:line="220" w:lineRule="exact"/>
              <w:ind w:left="75" w:right="106"/>
              <w:rPr>
                <w:rFonts w:eastAsia="Arial"/>
                <w:sz w:val="20"/>
                <w:szCs w:val="20"/>
              </w:rPr>
            </w:pPr>
            <w:r>
              <w:rPr>
                <w:rFonts w:eastAsia="Arial"/>
                <w:b/>
                <w:bCs/>
                <w:color w:val="FFFFFF"/>
                <w:sz w:val="20"/>
                <w:szCs w:val="20"/>
              </w:rPr>
              <w:t>Cardiovascular diseases</w:t>
            </w:r>
          </w:p>
          <w:p w:rsidR="009A2E07" w:rsidRDefault="009A2E07" w:rsidP="003D4AC9">
            <w:pPr>
              <w:spacing w:before="5" w:line="190" w:lineRule="exact"/>
              <w:rPr>
                <w:sz w:val="19"/>
                <w:szCs w:val="19"/>
              </w:rPr>
            </w:pPr>
          </w:p>
          <w:p w:rsidR="009A2E07" w:rsidRDefault="009A2E07" w:rsidP="003D4AC9">
            <w:pPr>
              <w:spacing w:before="5" w:line="190" w:lineRule="exact"/>
              <w:rPr>
                <w:sz w:val="19"/>
                <w:szCs w:val="19"/>
              </w:rPr>
            </w:pPr>
          </w:p>
          <w:p w:rsidR="009A2E07" w:rsidRDefault="009A2E07" w:rsidP="003D4AC9">
            <w:pPr>
              <w:spacing w:line="200" w:lineRule="exact"/>
              <w:rPr>
                <w:sz w:val="20"/>
                <w:szCs w:val="20"/>
              </w:rPr>
            </w:pPr>
          </w:p>
          <w:p w:rsidR="009A2E07" w:rsidRDefault="009A2E07" w:rsidP="003D4AC9">
            <w:pPr>
              <w:ind w:left="75" w:right="-20"/>
              <w:rPr>
                <w:rFonts w:eastAsia="Arial"/>
                <w:sz w:val="20"/>
                <w:szCs w:val="20"/>
              </w:rPr>
            </w:pPr>
            <w:r>
              <w:rPr>
                <w:rFonts w:eastAsia="Arial"/>
                <w:b/>
                <w:bCs/>
                <w:color w:val="FFFFFF"/>
                <w:spacing w:val="-15"/>
                <w:sz w:val="20"/>
                <w:szCs w:val="20"/>
              </w:rPr>
              <w:t>T</w:t>
            </w:r>
            <w:r>
              <w:rPr>
                <w:rFonts w:eastAsia="Arial"/>
                <w:b/>
                <w:bCs/>
                <w:color w:val="FFFFFF"/>
                <w:sz w:val="20"/>
                <w:szCs w:val="20"/>
              </w:rPr>
              <w:t>ype 2 diabetes</w:t>
            </w:r>
          </w:p>
          <w:p w:rsidR="009A2E07" w:rsidRDefault="009A2E07" w:rsidP="003D4AC9">
            <w:pPr>
              <w:spacing w:before="7" w:line="100" w:lineRule="exact"/>
              <w:rPr>
                <w:sz w:val="10"/>
                <w:szCs w:val="10"/>
              </w:rPr>
            </w:pPr>
          </w:p>
          <w:p w:rsidR="009A2E07" w:rsidRDefault="009A2E07" w:rsidP="003D4AC9">
            <w:pPr>
              <w:spacing w:line="200" w:lineRule="exact"/>
              <w:rPr>
                <w:sz w:val="20"/>
                <w:szCs w:val="20"/>
              </w:rPr>
            </w:pPr>
          </w:p>
          <w:p w:rsidR="009A2E07" w:rsidRDefault="009A2E07" w:rsidP="003D4AC9">
            <w:pPr>
              <w:spacing w:line="200" w:lineRule="exact"/>
              <w:rPr>
                <w:sz w:val="20"/>
                <w:szCs w:val="20"/>
              </w:rPr>
            </w:pPr>
          </w:p>
          <w:p w:rsidR="009A2E07" w:rsidRDefault="009A2E07" w:rsidP="003D4AC9">
            <w:pPr>
              <w:ind w:left="75" w:right="-20"/>
              <w:rPr>
                <w:rFonts w:eastAsia="Arial"/>
                <w:sz w:val="20"/>
                <w:szCs w:val="20"/>
              </w:rPr>
            </w:pPr>
            <w:r>
              <w:rPr>
                <w:rFonts w:eastAsia="Arial"/>
                <w:b/>
                <w:bCs/>
                <w:color w:val="FFFFFF"/>
                <w:sz w:val="20"/>
                <w:szCs w:val="20"/>
              </w:rPr>
              <w:t>Mental health</w:t>
            </w:r>
          </w:p>
          <w:p w:rsidR="009A2E07" w:rsidRDefault="009A2E07" w:rsidP="003D4AC9">
            <w:pPr>
              <w:spacing w:line="200" w:lineRule="exact"/>
              <w:rPr>
                <w:sz w:val="20"/>
                <w:szCs w:val="20"/>
              </w:rPr>
            </w:pPr>
          </w:p>
          <w:p w:rsidR="009A2E07" w:rsidRDefault="009A2E07" w:rsidP="003D4AC9">
            <w:pPr>
              <w:spacing w:before="9" w:line="200" w:lineRule="exact"/>
              <w:rPr>
                <w:sz w:val="20"/>
                <w:szCs w:val="20"/>
              </w:rPr>
            </w:pPr>
          </w:p>
          <w:p w:rsidR="009A2E07" w:rsidRDefault="009A2E07" w:rsidP="003D4AC9">
            <w:pPr>
              <w:spacing w:line="220" w:lineRule="exact"/>
              <w:ind w:left="75" w:right="173"/>
              <w:rPr>
                <w:rFonts w:eastAsia="Arial"/>
                <w:sz w:val="20"/>
                <w:szCs w:val="20"/>
              </w:rPr>
            </w:pPr>
            <w:r>
              <w:rPr>
                <w:rFonts w:eastAsia="Arial"/>
                <w:b/>
                <w:bCs/>
                <w:color w:val="FFFFFF"/>
                <w:sz w:val="20"/>
                <w:szCs w:val="20"/>
              </w:rPr>
              <w:t>Chronic kidney disease</w:t>
            </w:r>
          </w:p>
          <w:p w:rsidR="009A2E07" w:rsidRDefault="009A2E07" w:rsidP="003D4AC9">
            <w:pPr>
              <w:spacing w:before="5" w:line="190" w:lineRule="exact"/>
              <w:rPr>
                <w:sz w:val="19"/>
                <w:szCs w:val="19"/>
              </w:rPr>
            </w:pPr>
          </w:p>
          <w:p w:rsidR="009A2E07" w:rsidRDefault="009A2E07" w:rsidP="003D4AC9">
            <w:pPr>
              <w:spacing w:line="200" w:lineRule="exact"/>
              <w:rPr>
                <w:sz w:val="20"/>
                <w:szCs w:val="20"/>
              </w:rPr>
            </w:pPr>
          </w:p>
          <w:p w:rsidR="009A2E07" w:rsidRDefault="009A2E07" w:rsidP="003D4AC9">
            <w:pPr>
              <w:spacing w:line="200" w:lineRule="exact"/>
              <w:rPr>
                <w:sz w:val="20"/>
                <w:szCs w:val="20"/>
              </w:rPr>
            </w:pPr>
          </w:p>
          <w:p w:rsidR="009A2E07" w:rsidRDefault="009A2E07" w:rsidP="003D4AC9">
            <w:pPr>
              <w:spacing w:line="769" w:lineRule="auto"/>
              <w:ind w:left="75" w:right="262"/>
              <w:rPr>
                <w:rFonts w:eastAsia="Arial"/>
                <w:b/>
                <w:bCs/>
                <w:color w:val="FFFFFF"/>
                <w:sz w:val="20"/>
                <w:szCs w:val="20"/>
              </w:rPr>
            </w:pPr>
            <w:r>
              <w:rPr>
                <w:rFonts w:eastAsia="Arial"/>
                <w:b/>
                <w:bCs/>
                <w:color w:val="FFFFFF"/>
                <w:sz w:val="20"/>
                <w:szCs w:val="20"/>
              </w:rPr>
              <w:t>Some cancers Injury</w:t>
            </w:r>
          </w:p>
          <w:p w:rsidR="009A2E07" w:rsidRDefault="009A2E07" w:rsidP="003D4AC9">
            <w:pPr>
              <w:ind w:left="75" w:right="262"/>
              <w:rPr>
                <w:rFonts w:eastAsia="Arial"/>
                <w:b/>
                <w:bCs/>
                <w:color w:val="FFFFFF"/>
                <w:sz w:val="20"/>
                <w:szCs w:val="20"/>
              </w:rPr>
            </w:pPr>
            <w:r>
              <w:rPr>
                <w:rFonts w:eastAsia="Arial"/>
                <w:b/>
                <w:bCs/>
                <w:color w:val="FFFFFF"/>
                <w:sz w:val="20"/>
                <w:szCs w:val="20"/>
              </w:rPr>
              <w:t>Musculo-</w:t>
            </w:r>
          </w:p>
          <w:p w:rsidR="009A2E07" w:rsidRDefault="009A2E07" w:rsidP="003D4AC9">
            <w:pPr>
              <w:ind w:left="74" w:right="261"/>
              <w:rPr>
                <w:rFonts w:eastAsia="Arial"/>
                <w:b/>
                <w:bCs/>
                <w:color w:val="FFFFFF"/>
                <w:sz w:val="20"/>
                <w:szCs w:val="20"/>
              </w:rPr>
            </w:pPr>
            <w:r>
              <w:rPr>
                <w:rFonts w:eastAsia="Arial"/>
                <w:b/>
                <w:bCs/>
                <w:color w:val="FFFFFF"/>
                <w:sz w:val="20"/>
                <w:szCs w:val="20"/>
              </w:rPr>
              <w:t>skeletal</w:t>
            </w:r>
          </w:p>
          <w:p w:rsidR="009A2E07" w:rsidRDefault="009A2E07" w:rsidP="003D4AC9">
            <w:pPr>
              <w:ind w:left="74" w:right="261"/>
              <w:rPr>
                <w:rFonts w:eastAsia="Arial"/>
                <w:b/>
                <w:bCs/>
                <w:color w:val="FFFFFF"/>
                <w:sz w:val="20"/>
                <w:szCs w:val="20"/>
              </w:rPr>
            </w:pPr>
          </w:p>
          <w:p w:rsidR="009A2E07" w:rsidRDefault="009A2E07" w:rsidP="003D4AC9">
            <w:pPr>
              <w:ind w:left="74" w:right="261"/>
              <w:rPr>
                <w:rFonts w:eastAsia="Arial"/>
                <w:b/>
                <w:bCs/>
                <w:color w:val="FFFFFF"/>
                <w:sz w:val="20"/>
                <w:szCs w:val="20"/>
              </w:rPr>
            </w:pPr>
          </w:p>
          <w:p w:rsidR="009A2E07" w:rsidRDefault="009A2E07" w:rsidP="003D4AC9">
            <w:pPr>
              <w:ind w:left="74" w:right="261"/>
              <w:rPr>
                <w:rFonts w:eastAsia="Arial"/>
                <w:b/>
                <w:color w:val="FFFFFF" w:themeColor="background1"/>
                <w:sz w:val="20"/>
                <w:szCs w:val="20"/>
              </w:rPr>
            </w:pPr>
            <w:r w:rsidRPr="00074FD2">
              <w:rPr>
                <w:rFonts w:eastAsia="Arial"/>
                <w:b/>
                <w:color w:val="FFFFFF" w:themeColor="background1"/>
                <w:sz w:val="20"/>
                <w:szCs w:val="20"/>
              </w:rPr>
              <w:t>Respiratory</w:t>
            </w:r>
          </w:p>
          <w:p w:rsidR="009A2E07" w:rsidRDefault="009A2E07" w:rsidP="003D4AC9">
            <w:pPr>
              <w:spacing w:line="769" w:lineRule="auto"/>
              <w:ind w:left="75" w:right="262"/>
              <w:rPr>
                <w:rFonts w:eastAsia="Arial"/>
                <w:sz w:val="20"/>
                <w:szCs w:val="20"/>
              </w:rPr>
            </w:pPr>
            <w:r>
              <w:rPr>
                <w:rFonts w:eastAsia="Arial"/>
                <w:b/>
                <w:color w:val="FFFFFF" w:themeColor="background1"/>
                <w:sz w:val="20"/>
                <w:szCs w:val="20"/>
              </w:rPr>
              <w:t>diseases</w:t>
            </w:r>
          </w:p>
        </w:tc>
        <w:tc>
          <w:tcPr>
            <w:tcW w:w="970" w:type="dxa"/>
            <w:vMerge w:val="restart"/>
            <w:tcBorders>
              <w:top w:val="single" w:sz="4" w:space="0" w:color="00929F"/>
              <w:left w:val="nil"/>
              <w:right w:val="single" w:sz="4" w:space="0" w:color="00929F"/>
            </w:tcBorders>
            <w:shd w:val="clear" w:color="auto" w:fill="808080" w:themeFill="background1" w:themeFillShade="80"/>
            <w:vAlign w:val="center"/>
          </w:tcPr>
          <w:p w:rsidR="009A2E07" w:rsidRDefault="009A2E07" w:rsidP="003D4AC9">
            <w:pPr>
              <w:spacing w:line="150" w:lineRule="exact"/>
              <w:jc w:val="center"/>
              <w:rPr>
                <w:b/>
                <w:color w:val="FFFFFF" w:themeColor="background1"/>
                <w:sz w:val="20"/>
                <w:szCs w:val="20"/>
              </w:rPr>
            </w:pPr>
          </w:p>
          <w:p w:rsidR="009A2E07" w:rsidRPr="009A2E07" w:rsidRDefault="009A2E07" w:rsidP="003D4AC9">
            <w:pPr>
              <w:jc w:val="center"/>
              <w:rPr>
                <w:b/>
                <w:sz w:val="20"/>
                <w:szCs w:val="20"/>
              </w:rPr>
            </w:pPr>
            <w:r>
              <w:rPr>
                <w:b/>
                <w:color w:val="FFFFFF" w:themeColor="background1"/>
                <w:sz w:val="20"/>
                <w:szCs w:val="20"/>
              </w:rPr>
              <w:t>T</w:t>
            </w:r>
            <w:r w:rsidRPr="009A2E07">
              <w:rPr>
                <w:b/>
                <w:color w:val="FFFFFF" w:themeColor="background1"/>
                <w:sz w:val="20"/>
                <w:szCs w:val="20"/>
              </w:rPr>
              <w:t>otal burden of disease caused by specific risk factor</w:t>
            </w:r>
          </w:p>
        </w:tc>
      </w:tr>
      <w:tr w:rsidR="009A2E07" w:rsidTr="003D4AC9">
        <w:trPr>
          <w:trHeight w:hRule="exact" w:val="1301"/>
        </w:trPr>
        <w:tc>
          <w:tcPr>
            <w:tcW w:w="1930" w:type="dxa"/>
            <w:tcBorders>
              <w:top w:val="single" w:sz="4" w:space="0" w:color="FFFFFF"/>
              <w:left w:val="single" w:sz="4" w:space="0" w:color="00929F"/>
              <w:bottom w:val="single" w:sz="4" w:space="0" w:color="00929F"/>
              <w:right w:val="nil"/>
            </w:tcBorders>
            <w:shd w:val="clear" w:color="auto" w:fill="808080" w:themeFill="background1" w:themeFillShade="80"/>
          </w:tcPr>
          <w:p w:rsidR="009A2E07" w:rsidRDefault="009A2E07" w:rsidP="003D4AC9">
            <w:pPr>
              <w:spacing w:line="200" w:lineRule="exact"/>
              <w:rPr>
                <w:sz w:val="20"/>
                <w:szCs w:val="20"/>
              </w:rPr>
            </w:pPr>
          </w:p>
          <w:p w:rsidR="009A2E07" w:rsidRDefault="009A2E07" w:rsidP="003D4AC9">
            <w:pPr>
              <w:spacing w:before="3" w:line="220" w:lineRule="exact"/>
            </w:pPr>
          </w:p>
          <w:p w:rsidR="009A2E07" w:rsidRDefault="009A2E07" w:rsidP="003D4AC9">
            <w:pPr>
              <w:ind w:left="75" w:right="-20"/>
              <w:rPr>
                <w:rFonts w:eastAsia="Arial"/>
                <w:sz w:val="20"/>
                <w:szCs w:val="20"/>
              </w:rPr>
            </w:pPr>
            <w:r>
              <w:rPr>
                <w:rFonts w:eastAsia="Arial"/>
                <w:b/>
                <w:bCs/>
                <w:color w:val="FFFFFF"/>
                <w:sz w:val="20"/>
                <w:szCs w:val="20"/>
              </w:rPr>
              <w:t>Risk factors</w:t>
            </w:r>
          </w:p>
        </w:tc>
        <w:tc>
          <w:tcPr>
            <w:tcW w:w="6532" w:type="dxa"/>
            <w:gridSpan w:val="8"/>
            <w:vMerge/>
            <w:tcBorders>
              <w:left w:val="nil"/>
              <w:bottom w:val="single" w:sz="4" w:space="0" w:color="00929F"/>
              <w:right w:val="single" w:sz="4" w:space="0" w:color="00929F"/>
            </w:tcBorders>
            <w:shd w:val="clear" w:color="auto" w:fill="808080" w:themeFill="background1" w:themeFillShade="80"/>
            <w:textDirection w:val="btLr"/>
          </w:tcPr>
          <w:p w:rsidR="009A2E07" w:rsidRDefault="009A2E07" w:rsidP="003D4AC9"/>
        </w:tc>
        <w:tc>
          <w:tcPr>
            <w:tcW w:w="970" w:type="dxa"/>
            <w:vMerge/>
            <w:tcBorders>
              <w:left w:val="nil"/>
              <w:bottom w:val="single" w:sz="4" w:space="0" w:color="00929F"/>
              <w:right w:val="single" w:sz="4" w:space="0" w:color="00929F"/>
            </w:tcBorders>
            <w:shd w:val="clear" w:color="auto" w:fill="808080" w:themeFill="background1" w:themeFillShade="80"/>
          </w:tcPr>
          <w:p w:rsidR="009A2E07" w:rsidRDefault="009A2E07" w:rsidP="003D4AC9"/>
        </w:tc>
      </w:tr>
      <w:tr w:rsidR="00E16C0D" w:rsidTr="003D4AC9">
        <w:trPr>
          <w:trHeight w:hRule="exact" w:val="325"/>
        </w:trPr>
        <w:tc>
          <w:tcPr>
            <w:tcW w:w="8462" w:type="dxa"/>
            <w:gridSpan w:val="9"/>
            <w:tcBorders>
              <w:top w:val="single" w:sz="4" w:space="0" w:color="00929F"/>
              <w:left w:val="single" w:sz="4" w:space="0" w:color="000000"/>
              <w:bottom w:val="single" w:sz="4" w:space="0" w:color="000000"/>
              <w:right w:val="single" w:sz="4" w:space="0" w:color="000000"/>
            </w:tcBorders>
          </w:tcPr>
          <w:p w:rsidR="00E16C0D" w:rsidRPr="00A97EAD" w:rsidRDefault="00E16C0D" w:rsidP="003D4AC9">
            <w:pPr>
              <w:ind w:left="75" w:right="-20"/>
              <w:rPr>
                <w:rFonts w:eastAsia="Arial"/>
                <w:b/>
                <w:sz w:val="20"/>
                <w:szCs w:val="20"/>
              </w:rPr>
            </w:pPr>
            <w:r w:rsidRPr="00A97EAD">
              <w:rPr>
                <w:rFonts w:eastAsia="Arial"/>
                <w:b/>
                <w:bCs/>
              </w:rPr>
              <w:t>Behavioural</w:t>
            </w:r>
          </w:p>
        </w:tc>
        <w:tc>
          <w:tcPr>
            <w:tcW w:w="970" w:type="dxa"/>
            <w:tcBorders>
              <w:top w:val="single" w:sz="4" w:space="0" w:color="00929F"/>
              <w:left w:val="single" w:sz="4" w:space="0" w:color="000000"/>
              <w:bottom w:val="single" w:sz="4" w:space="0" w:color="000000"/>
              <w:right w:val="single" w:sz="4" w:space="0" w:color="000000"/>
            </w:tcBorders>
          </w:tcPr>
          <w:p w:rsidR="00E16C0D" w:rsidRPr="00A97EAD" w:rsidRDefault="00E16C0D" w:rsidP="003D4AC9">
            <w:pPr>
              <w:ind w:left="75" w:right="-20"/>
              <w:rPr>
                <w:rFonts w:eastAsia="Arial"/>
                <w:b/>
                <w:bCs/>
              </w:rPr>
            </w:pPr>
          </w:p>
        </w:tc>
      </w:tr>
      <w:tr w:rsidR="00E16C0D" w:rsidTr="003D4AC9">
        <w:trPr>
          <w:trHeight w:hRule="exact" w:val="602"/>
        </w:trPr>
        <w:tc>
          <w:tcPr>
            <w:tcW w:w="1930" w:type="dxa"/>
            <w:tcBorders>
              <w:top w:val="single" w:sz="4" w:space="0" w:color="000000"/>
              <w:left w:val="single" w:sz="4" w:space="0" w:color="000000"/>
              <w:bottom w:val="single" w:sz="4" w:space="0" w:color="000000"/>
              <w:right w:val="single" w:sz="4" w:space="0" w:color="000000"/>
            </w:tcBorders>
            <w:vAlign w:val="center"/>
          </w:tcPr>
          <w:p w:rsidR="00E16C0D" w:rsidRPr="008F1655" w:rsidRDefault="00E16C0D" w:rsidP="003D4AC9">
            <w:pPr>
              <w:ind w:left="75" w:right="-20"/>
              <w:rPr>
                <w:rFonts w:eastAsia="Arial"/>
                <w:sz w:val="20"/>
                <w:szCs w:val="20"/>
              </w:rPr>
            </w:pPr>
            <w:r w:rsidRPr="008F1655">
              <w:rPr>
                <w:rFonts w:eastAsia="Arial"/>
                <w:spacing w:val="-22"/>
                <w:sz w:val="20"/>
                <w:szCs w:val="20"/>
              </w:rPr>
              <w:t>T</w:t>
            </w:r>
            <w:r w:rsidRPr="008F1655">
              <w:rPr>
                <w:rFonts w:eastAsia="Arial"/>
                <w:sz w:val="20"/>
                <w:szCs w:val="20"/>
              </w:rPr>
              <w:t>obacco</w:t>
            </w:r>
            <w:r>
              <w:rPr>
                <w:rFonts w:eastAsia="Arial"/>
                <w:sz w:val="20"/>
                <w:szCs w:val="20"/>
              </w:rPr>
              <w:t xml:space="preserve"> use</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12</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4</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22</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E16C0D" w:rsidRPr="00996E48" w:rsidRDefault="00E16C0D" w:rsidP="003D4AC9">
            <w:pPr>
              <w:jc w:val="center"/>
              <w:rPr>
                <w:sz w:val="20"/>
                <w:szCs w:val="20"/>
              </w:rPr>
            </w:pPr>
            <w:r>
              <w:rPr>
                <w:sz w:val="20"/>
                <w:szCs w:val="20"/>
              </w:rPr>
              <w:t>36</w:t>
            </w:r>
          </w:p>
        </w:tc>
        <w:tc>
          <w:tcPr>
            <w:tcW w:w="970" w:type="dxa"/>
            <w:tcBorders>
              <w:top w:val="single" w:sz="4" w:space="0" w:color="000000"/>
              <w:left w:val="single" w:sz="4" w:space="0" w:color="000000"/>
              <w:bottom w:val="single" w:sz="4" w:space="0" w:color="000000"/>
              <w:right w:val="single" w:sz="4" w:space="0" w:color="000000"/>
            </w:tcBorders>
            <w:vAlign w:val="center"/>
          </w:tcPr>
          <w:p w:rsidR="00E16C0D" w:rsidRDefault="0015604E" w:rsidP="003D4AC9">
            <w:pPr>
              <w:jc w:val="center"/>
              <w:rPr>
                <w:sz w:val="20"/>
                <w:szCs w:val="20"/>
              </w:rPr>
            </w:pPr>
            <w:r>
              <w:rPr>
                <w:sz w:val="20"/>
                <w:szCs w:val="20"/>
              </w:rPr>
              <w:t>9</w:t>
            </w:r>
          </w:p>
        </w:tc>
      </w:tr>
      <w:tr w:rsidR="00941195" w:rsidTr="003D4AC9">
        <w:trPr>
          <w:trHeight w:hRule="exact" w:val="602"/>
        </w:trPr>
        <w:tc>
          <w:tcPr>
            <w:tcW w:w="1930" w:type="dxa"/>
            <w:tcBorders>
              <w:top w:val="single" w:sz="4" w:space="0" w:color="000000"/>
              <w:left w:val="single" w:sz="4" w:space="0" w:color="000000"/>
              <w:bottom w:val="single" w:sz="4" w:space="0" w:color="000000"/>
              <w:right w:val="single" w:sz="4" w:space="0" w:color="000000"/>
            </w:tcBorders>
            <w:vAlign w:val="center"/>
          </w:tcPr>
          <w:p w:rsidR="00941195" w:rsidRPr="008F1655" w:rsidRDefault="00941195" w:rsidP="003D4AC9">
            <w:pPr>
              <w:ind w:left="75" w:right="-20"/>
              <w:rPr>
                <w:rFonts w:eastAsia="Arial"/>
                <w:sz w:val="20"/>
                <w:szCs w:val="20"/>
              </w:rPr>
            </w:pPr>
            <w:r>
              <w:rPr>
                <w:rFonts w:eastAsia="Arial"/>
                <w:sz w:val="20"/>
                <w:szCs w:val="20"/>
              </w:rPr>
              <w:t>Dietary risks (joint effect*)</w:t>
            </w:r>
          </w:p>
        </w:tc>
        <w:tc>
          <w:tcPr>
            <w:tcW w:w="816"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D24BF2" w:rsidP="003D4AC9">
            <w:pPr>
              <w:jc w:val="center"/>
              <w:rPr>
                <w:sz w:val="20"/>
                <w:szCs w:val="20"/>
              </w:rPr>
            </w:pPr>
            <w:r>
              <w:rPr>
                <w:sz w:val="20"/>
                <w:szCs w:val="20"/>
              </w:rPr>
              <w:t>35</w:t>
            </w:r>
          </w:p>
        </w:tc>
        <w:tc>
          <w:tcPr>
            <w:tcW w:w="816"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094A0F" w:rsidP="003D4AC9">
            <w:pPr>
              <w:jc w:val="center"/>
              <w:rPr>
                <w:sz w:val="20"/>
                <w:szCs w:val="20"/>
              </w:rPr>
            </w:pPr>
            <w:r>
              <w:rPr>
                <w:sz w:val="20"/>
                <w:szCs w:val="20"/>
              </w:rPr>
              <w:t>33</w:t>
            </w:r>
          </w:p>
        </w:tc>
        <w:tc>
          <w:tcPr>
            <w:tcW w:w="816"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941195"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941195"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D24BF2" w:rsidP="003D4AC9">
            <w:pPr>
              <w:jc w:val="center"/>
              <w:rPr>
                <w:sz w:val="20"/>
                <w:szCs w:val="20"/>
              </w:rPr>
            </w:pPr>
            <w:r>
              <w:rPr>
                <w:sz w:val="20"/>
                <w:szCs w:val="20"/>
              </w:rPr>
              <w:t>7</w:t>
            </w:r>
          </w:p>
        </w:tc>
        <w:tc>
          <w:tcPr>
            <w:tcW w:w="816"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941195"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941195" w:rsidP="003D4AC9">
            <w:pPr>
              <w:jc w:val="center"/>
              <w:rPr>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941195" w:rsidRPr="00FB19F9" w:rsidRDefault="00941195" w:rsidP="003D4AC9">
            <w:pPr>
              <w:jc w:val="center"/>
              <w:rPr>
                <w:sz w:val="20"/>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941195" w:rsidRDefault="00941195" w:rsidP="003D4AC9">
            <w:pPr>
              <w:jc w:val="center"/>
              <w:rPr>
                <w:sz w:val="20"/>
                <w:szCs w:val="20"/>
              </w:rPr>
            </w:pPr>
            <w:r>
              <w:rPr>
                <w:sz w:val="20"/>
                <w:szCs w:val="20"/>
              </w:rPr>
              <w:t>7</w:t>
            </w:r>
          </w:p>
        </w:tc>
      </w:tr>
      <w:tr w:rsidR="00E16C0D" w:rsidTr="003D4AC9">
        <w:trPr>
          <w:trHeight w:hRule="exact" w:val="602"/>
        </w:trPr>
        <w:tc>
          <w:tcPr>
            <w:tcW w:w="1930" w:type="dxa"/>
            <w:tcBorders>
              <w:top w:val="single" w:sz="4" w:space="0" w:color="000000"/>
              <w:left w:val="single" w:sz="4" w:space="0" w:color="000000"/>
              <w:bottom w:val="single" w:sz="4" w:space="0" w:color="000000"/>
              <w:right w:val="single" w:sz="4" w:space="0" w:color="000000"/>
            </w:tcBorders>
            <w:vAlign w:val="center"/>
          </w:tcPr>
          <w:p w:rsidR="00E16C0D" w:rsidRPr="008F1655" w:rsidRDefault="00E16C0D" w:rsidP="003D4AC9">
            <w:pPr>
              <w:ind w:left="75" w:right="-20"/>
              <w:rPr>
                <w:rFonts w:eastAsia="Arial"/>
                <w:sz w:val="20"/>
                <w:szCs w:val="20"/>
              </w:rPr>
            </w:pPr>
            <w:r w:rsidRPr="008F1655">
              <w:rPr>
                <w:rFonts w:eastAsia="Arial"/>
                <w:sz w:val="20"/>
                <w:szCs w:val="20"/>
              </w:rPr>
              <w:t>Physical inactivity</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21</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30</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6</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15604E" w:rsidP="003D4AC9">
            <w:pPr>
              <w:jc w:val="center"/>
              <w:rPr>
                <w:sz w:val="20"/>
                <w:szCs w:val="20"/>
              </w:rPr>
            </w:pPr>
            <w:r>
              <w:rPr>
                <w:sz w:val="20"/>
                <w:szCs w:val="20"/>
              </w:rPr>
              <w:t>5</w:t>
            </w:r>
          </w:p>
        </w:tc>
      </w:tr>
      <w:tr w:rsidR="00E16C0D" w:rsidTr="003D4AC9">
        <w:trPr>
          <w:trHeight w:hRule="exact" w:val="602"/>
        </w:trPr>
        <w:tc>
          <w:tcPr>
            <w:tcW w:w="1930" w:type="dxa"/>
            <w:tcBorders>
              <w:top w:val="single" w:sz="4" w:space="0" w:color="000000"/>
              <w:left w:val="single" w:sz="4" w:space="0" w:color="000000"/>
              <w:bottom w:val="single" w:sz="4" w:space="0" w:color="000000"/>
              <w:right w:val="single" w:sz="4" w:space="0" w:color="000000"/>
            </w:tcBorders>
            <w:vAlign w:val="center"/>
          </w:tcPr>
          <w:p w:rsidR="00E16C0D" w:rsidRPr="008F1655" w:rsidRDefault="00E16C0D" w:rsidP="003D4AC9">
            <w:pPr>
              <w:spacing w:line="220" w:lineRule="exact"/>
              <w:ind w:left="75" w:right="342"/>
              <w:rPr>
                <w:rFonts w:eastAsia="Arial"/>
                <w:sz w:val="20"/>
                <w:szCs w:val="20"/>
              </w:rPr>
            </w:pPr>
            <w:r w:rsidRPr="008F1655">
              <w:rPr>
                <w:rFonts w:eastAsia="Arial"/>
                <w:sz w:val="20"/>
                <w:szCs w:val="20"/>
              </w:rPr>
              <w:t>Harmful alcohol use</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5</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2</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12</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3</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21</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970"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15604E" w:rsidP="003D4AC9">
            <w:pPr>
              <w:jc w:val="center"/>
              <w:rPr>
                <w:sz w:val="20"/>
                <w:szCs w:val="20"/>
              </w:rPr>
            </w:pPr>
            <w:r>
              <w:rPr>
                <w:sz w:val="20"/>
                <w:szCs w:val="20"/>
              </w:rPr>
              <w:t>5</w:t>
            </w:r>
          </w:p>
        </w:tc>
      </w:tr>
      <w:tr w:rsidR="00E16C0D" w:rsidRPr="00384027" w:rsidTr="003D4AC9">
        <w:trPr>
          <w:trHeight w:hRule="exact" w:val="325"/>
        </w:trPr>
        <w:tc>
          <w:tcPr>
            <w:tcW w:w="8462" w:type="dxa"/>
            <w:gridSpan w:val="9"/>
            <w:tcBorders>
              <w:top w:val="single" w:sz="4" w:space="0" w:color="000000"/>
              <w:left w:val="single" w:sz="4" w:space="0" w:color="000000"/>
              <w:bottom w:val="single" w:sz="4" w:space="0" w:color="000000" w:themeColor="text1"/>
              <w:right w:val="single" w:sz="4" w:space="0" w:color="000000"/>
            </w:tcBorders>
            <w:vAlign w:val="center"/>
          </w:tcPr>
          <w:p w:rsidR="00E16C0D" w:rsidRPr="00B15715" w:rsidRDefault="00E16C0D" w:rsidP="003D4AC9">
            <w:pPr>
              <w:ind w:left="75" w:right="-20"/>
              <w:rPr>
                <w:rFonts w:eastAsia="Arial"/>
                <w:b/>
              </w:rPr>
            </w:pPr>
            <w:r w:rsidRPr="00B15715">
              <w:rPr>
                <w:rFonts w:eastAsia="Arial"/>
                <w:b/>
                <w:bCs/>
              </w:rPr>
              <w:t>Biomedical</w:t>
            </w:r>
          </w:p>
        </w:tc>
        <w:tc>
          <w:tcPr>
            <w:tcW w:w="970" w:type="dxa"/>
            <w:tcBorders>
              <w:top w:val="single" w:sz="4" w:space="0" w:color="000000"/>
              <w:left w:val="single" w:sz="4" w:space="0" w:color="000000"/>
              <w:bottom w:val="single" w:sz="4" w:space="0" w:color="000000" w:themeColor="text1"/>
              <w:right w:val="single" w:sz="4" w:space="0" w:color="000000"/>
            </w:tcBorders>
            <w:vAlign w:val="center"/>
          </w:tcPr>
          <w:p w:rsidR="00E16C0D" w:rsidRPr="00B15715" w:rsidRDefault="00E16C0D" w:rsidP="003D4AC9">
            <w:pPr>
              <w:ind w:left="75" w:right="-20"/>
              <w:jc w:val="center"/>
              <w:rPr>
                <w:rFonts w:eastAsia="Arial"/>
                <w:b/>
                <w:bCs/>
              </w:rPr>
            </w:pPr>
          </w:p>
        </w:tc>
      </w:tr>
      <w:tr w:rsidR="00E16C0D" w:rsidTr="003D4AC9">
        <w:trPr>
          <w:trHeight w:hRule="exact" w:val="602"/>
        </w:trPr>
        <w:tc>
          <w:tcPr>
            <w:tcW w:w="1930" w:type="dxa"/>
            <w:tcBorders>
              <w:top w:val="single" w:sz="4" w:space="0" w:color="000000" w:themeColor="text1"/>
              <w:left w:val="single" w:sz="4" w:space="0" w:color="000000" w:themeColor="text1"/>
              <w:bottom w:val="single" w:sz="4" w:space="0" w:color="000000"/>
              <w:right w:val="single" w:sz="4" w:space="0" w:color="000000"/>
            </w:tcBorders>
            <w:vAlign w:val="center"/>
          </w:tcPr>
          <w:p w:rsidR="00E16C0D" w:rsidRPr="008F1655" w:rsidRDefault="00E16C0D" w:rsidP="003D4AC9">
            <w:pPr>
              <w:spacing w:line="220" w:lineRule="exact"/>
              <w:ind w:left="75" w:right="331"/>
              <w:rPr>
                <w:rFonts w:eastAsia="Arial"/>
                <w:sz w:val="20"/>
                <w:szCs w:val="20"/>
              </w:rPr>
            </w:pPr>
            <w:r w:rsidRPr="008F1655">
              <w:rPr>
                <w:rFonts w:eastAsia="Arial"/>
                <w:sz w:val="20"/>
                <w:szCs w:val="20"/>
              </w:rPr>
              <w:t>Overweight and obesity</w:t>
            </w:r>
          </w:p>
        </w:tc>
        <w:tc>
          <w:tcPr>
            <w:tcW w:w="816"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21</w:t>
            </w:r>
          </w:p>
        </w:tc>
        <w:tc>
          <w:tcPr>
            <w:tcW w:w="816"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49</w:t>
            </w:r>
          </w:p>
        </w:tc>
        <w:tc>
          <w:tcPr>
            <w:tcW w:w="816"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28</w:t>
            </w:r>
          </w:p>
        </w:tc>
        <w:tc>
          <w:tcPr>
            <w:tcW w:w="816"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5</w:t>
            </w:r>
          </w:p>
        </w:tc>
        <w:tc>
          <w:tcPr>
            <w:tcW w:w="816"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6A2735" w:rsidP="003D4AC9">
            <w:pPr>
              <w:jc w:val="center"/>
              <w:rPr>
                <w:sz w:val="20"/>
                <w:szCs w:val="20"/>
              </w:rPr>
            </w:pPr>
            <w:r>
              <w:rPr>
                <w:sz w:val="20"/>
                <w:szCs w:val="20"/>
              </w:rPr>
              <w:t>&lt;</w:t>
            </w:r>
            <w:r w:rsidR="00E16C0D" w:rsidRPr="00FB19F9">
              <w:rPr>
                <w:sz w:val="20"/>
                <w:szCs w:val="20"/>
              </w:rPr>
              <w:t>1</w:t>
            </w:r>
          </w:p>
        </w:tc>
        <w:tc>
          <w:tcPr>
            <w:tcW w:w="820" w:type="dxa"/>
            <w:tcBorders>
              <w:top w:val="single" w:sz="4" w:space="0" w:color="000000" w:themeColor="text1"/>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970" w:type="dxa"/>
            <w:tcBorders>
              <w:top w:val="single" w:sz="4" w:space="0" w:color="000000" w:themeColor="text1"/>
              <w:left w:val="single" w:sz="4" w:space="0" w:color="000000"/>
              <w:bottom w:val="single" w:sz="4" w:space="0" w:color="000000"/>
              <w:right w:val="single" w:sz="4" w:space="0" w:color="000000" w:themeColor="text1"/>
            </w:tcBorders>
            <w:vAlign w:val="center"/>
          </w:tcPr>
          <w:p w:rsidR="00E16C0D" w:rsidRPr="00FB19F9" w:rsidRDefault="00FA49BA" w:rsidP="003D4AC9">
            <w:pPr>
              <w:jc w:val="center"/>
              <w:rPr>
                <w:sz w:val="20"/>
                <w:szCs w:val="20"/>
              </w:rPr>
            </w:pPr>
            <w:r>
              <w:rPr>
                <w:sz w:val="20"/>
                <w:szCs w:val="20"/>
              </w:rPr>
              <w:t>6</w:t>
            </w:r>
          </w:p>
        </w:tc>
      </w:tr>
      <w:tr w:rsidR="00E16C0D" w:rsidTr="003D4AC9">
        <w:trPr>
          <w:trHeight w:hRule="exact" w:val="602"/>
        </w:trPr>
        <w:tc>
          <w:tcPr>
            <w:tcW w:w="1930" w:type="dxa"/>
            <w:tcBorders>
              <w:top w:val="single" w:sz="4" w:space="0" w:color="000000"/>
              <w:left w:val="single" w:sz="4" w:space="0" w:color="000000" w:themeColor="text1"/>
              <w:bottom w:val="single" w:sz="4" w:space="0" w:color="000000"/>
              <w:right w:val="single" w:sz="4" w:space="0" w:color="000000"/>
            </w:tcBorders>
            <w:vAlign w:val="center"/>
          </w:tcPr>
          <w:p w:rsidR="00E16C0D" w:rsidRPr="007166F6" w:rsidRDefault="00E16C0D" w:rsidP="003D4AC9">
            <w:pPr>
              <w:spacing w:line="220" w:lineRule="exact"/>
              <w:ind w:left="75" w:right="775"/>
              <w:rPr>
                <w:rFonts w:eastAsia="Arial"/>
                <w:sz w:val="20"/>
                <w:szCs w:val="20"/>
              </w:rPr>
            </w:pPr>
            <w:r w:rsidRPr="007166F6">
              <w:rPr>
                <w:rFonts w:eastAsia="Arial"/>
                <w:sz w:val="20"/>
                <w:szCs w:val="20"/>
              </w:rPr>
              <w:t>High blood pressure</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32</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r w:rsidRPr="00FB19F9">
              <w:rPr>
                <w:sz w:val="20"/>
                <w:szCs w:val="20"/>
              </w:rPr>
              <w:t>22</w:t>
            </w: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16"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820" w:type="dxa"/>
            <w:tcBorders>
              <w:top w:val="single" w:sz="4" w:space="0" w:color="000000"/>
              <w:left w:val="single" w:sz="4" w:space="0" w:color="000000"/>
              <w:bottom w:val="single" w:sz="4" w:space="0" w:color="000000"/>
              <w:right w:val="single" w:sz="4" w:space="0" w:color="000000"/>
            </w:tcBorders>
            <w:vAlign w:val="center"/>
          </w:tcPr>
          <w:p w:rsidR="00E16C0D" w:rsidRPr="00FB19F9" w:rsidRDefault="00E16C0D" w:rsidP="003D4AC9">
            <w:pPr>
              <w:jc w:val="center"/>
              <w:rPr>
                <w:sz w:val="20"/>
                <w:szCs w:val="20"/>
              </w:rPr>
            </w:pPr>
          </w:p>
        </w:tc>
        <w:tc>
          <w:tcPr>
            <w:tcW w:w="970" w:type="dxa"/>
            <w:tcBorders>
              <w:top w:val="single" w:sz="4" w:space="0" w:color="000000"/>
              <w:left w:val="single" w:sz="4" w:space="0" w:color="000000"/>
              <w:bottom w:val="single" w:sz="4" w:space="0" w:color="000000"/>
              <w:right w:val="single" w:sz="4" w:space="0" w:color="000000" w:themeColor="text1"/>
            </w:tcBorders>
            <w:vAlign w:val="center"/>
          </w:tcPr>
          <w:p w:rsidR="00E16C0D" w:rsidRPr="00FB19F9" w:rsidRDefault="0015604E" w:rsidP="003D4AC9">
            <w:pPr>
              <w:jc w:val="center"/>
              <w:rPr>
                <w:sz w:val="20"/>
                <w:szCs w:val="20"/>
              </w:rPr>
            </w:pPr>
            <w:r>
              <w:rPr>
                <w:sz w:val="20"/>
                <w:szCs w:val="20"/>
              </w:rPr>
              <w:t>5</w:t>
            </w:r>
          </w:p>
        </w:tc>
      </w:tr>
      <w:tr w:rsidR="00F96272" w:rsidTr="003D4AC9">
        <w:trPr>
          <w:trHeight w:hRule="exact" w:val="602"/>
        </w:trPr>
        <w:tc>
          <w:tcPr>
            <w:tcW w:w="1930" w:type="dxa"/>
            <w:tcBorders>
              <w:top w:val="single" w:sz="4" w:space="0" w:color="000000"/>
              <w:left w:val="single" w:sz="4" w:space="0" w:color="000000" w:themeColor="text1"/>
              <w:bottom w:val="single" w:sz="4" w:space="0" w:color="000000" w:themeColor="text1"/>
              <w:right w:val="single" w:sz="4" w:space="0" w:color="000000"/>
            </w:tcBorders>
            <w:vAlign w:val="center"/>
          </w:tcPr>
          <w:p w:rsidR="00F96272" w:rsidRPr="007166F6" w:rsidRDefault="00F96272" w:rsidP="003D4AC9">
            <w:pPr>
              <w:spacing w:line="220" w:lineRule="exact"/>
              <w:ind w:left="75" w:right="309"/>
              <w:rPr>
                <w:rFonts w:eastAsia="Arial"/>
                <w:sz w:val="20"/>
                <w:szCs w:val="20"/>
              </w:rPr>
            </w:pPr>
            <w:r>
              <w:rPr>
                <w:rFonts w:eastAsia="Arial"/>
                <w:sz w:val="20"/>
                <w:szCs w:val="20"/>
              </w:rPr>
              <w:t>High blood sugar</w:t>
            </w:r>
          </w:p>
        </w:tc>
        <w:tc>
          <w:tcPr>
            <w:tcW w:w="816"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r w:rsidRPr="00FB19F9">
              <w:rPr>
                <w:sz w:val="20"/>
                <w:szCs w:val="20"/>
              </w:rPr>
              <w:t>3</w:t>
            </w:r>
          </w:p>
        </w:tc>
        <w:tc>
          <w:tcPr>
            <w:tcW w:w="816"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r w:rsidRPr="00FB19F9">
              <w:rPr>
                <w:sz w:val="20"/>
                <w:szCs w:val="20"/>
              </w:rPr>
              <w:t>96</w:t>
            </w:r>
          </w:p>
        </w:tc>
        <w:tc>
          <w:tcPr>
            <w:tcW w:w="816"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p>
        </w:tc>
        <w:tc>
          <w:tcPr>
            <w:tcW w:w="816"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r w:rsidRPr="00FB19F9">
              <w:rPr>
                <w:sz w:val="20"/>
                <w:szCs w:val="20"/>
              </w:rPr>
              <w:t>3</w:t>
            </w:r>
          </w:p>
        </w:tc>
        <w:tc>
          <w:tcPr>
            <w:tcW w:w="816"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p>
        </w:tc>
        <w:tc>
          <w:tcPr>
            <w:tcW w:w="816"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p>
        </w:tc>
        <w:tc>
          <w:tcPr>
            <w:tcW w:w="816"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p>
        </w:tc>
        <w:tc>
          <w:tcPr>
            <w:tcW w:w="820" w:type="dxa"/>
            <w:tcBorders>
              <w:top w:val="single" w:sz="4" w:space="0" w:color="000000"/>
              <w:left w:val="single" w:sz="4" w:space="0" w:color="000000"/>
              <w:bottom w:val="single" w:sz="4" w:space="0" w:color="000000" w:themeColor="text1"/>
              <w:right w:val="single" w:sz="4" w:space="0" w:color="000000"/>
            </w:tcBorders>
            <w:vAlign w:val="center"/>
          </w:tcPr>
          <w:p w:rsidR="00F96272" w:rsidRPr="00FB19F9" w:rsidRDefault="00F96272" w:rsidP="003D4AC9">
            <w:pPr>
              <w:jc w:val="center"/>
              <w:rPr>
                <w:sz w:val="20"/>
                <w:szCs w:val="20"/>
              </w:rPr>
            </w:pPr>
          </w:p>
        </w:tc>
        <w:tc>
          <w:tcPr>
            <w:tcW w:w="970" w:type="dxa"/>
            <w:tcBorders>
              <w:top w:val="single" w:sz="4" w:space="0" w:color="000000"/>
              <w:left w:val="single" w:sz="4" w:space="0" w:color="000000"/>
              <w:bottom w:val="single" w:sz="4" w:space="0" w:color="000000" w:themeColor="text1"/>
              <w:right w:val="single" w:sz="4" w:space="0" w:color="000000" w:themeColor="text1"/>
            </w:tcBorders>
            <w:vAlign w:val="center"/>
          </w:tcPr>
          <w:p w:rsidR="00F96272" w:rsidRPr="00FB19F9" w:rsidRDefault="00F96272" w:rsidP="003D4AC9">
            <w:pPr>
              <w:jc w:val="center"/>
              <w:rPr>
                <w:sz w:val="20"/>
                <w:szCs w:val="20"/>
              </w:rPr>
            </w:pPr>
            <w:r>
              <w:rPr>
                <w:sz w:val="20"/>
                <w:szCs w:val="20"/>
              </w:rPr>
              <w:t>3</w:t>
            </w:r>
          </w:p>
        </w:tc>
      </w:tr>
      <w:tr w:rsidR="00E16C0D" w:rsidTr="003D4AC9">
        <w:trPr>
          <w:trHeight w:hRule="exact" w:val="602"/>
        </w:trPr>
        <w:tc>
          <w:tcPr>
            <w:tcW w:w="19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7166F6" w:rsidRDefault="00E16C0D" w:rsidP="003D4AC9">
            <w:pPr>
              <w:spacing w:line="220" w:lineRule="exact"/>
              <w:ind w:left="75" w:right="764"/>
              <w:rPr>
                <w:rFonts w:eastAsia="Arial"/>
                <w:sz w:val="20"/>
                <w:szCs w:val="20"/>
              </w:rPr>
            </w:pPr>
            <w:r w:rsidRPr="007166F6">
              <w:rPr>
                <w:rFonts w:eastAsia="Arial"/>
                <w:sz w:val="20"/>
                <w:szCs w:val="20"/>
              </w:rPr>
              <w:t>High blood cholesterol</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r w:rsidRPr="00FB19F9">
              <w:rPr>
                <w:sz w:val="20"/>
                <w:szCs w:val="20"/>
              </w:rPr>
              <w:t>16</w:t>
            </w: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p>
        </w:tc>
        <w:tc>
          <w:tcPr>
            <w:tcW w:w="8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p>
        </w:tc>
        <w:tc>
          <w:tcPr>
            <w:tcW w:w="8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E16C0D" w:rsidP="003D4AC9">
            <w:pPr>
              <w:jc w:val="center"/>
              <w:rPr>
                <w:sz w:val="20"/>
                <w:szCs w:val="20"/>
              </w:rPr>
            </w:pPr>
          </w:p>
        </w:tc>
        <w:tc>
          <w:tcPr>
            <w:tcW w:w="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16C0D" w:rsidRPr="00FB19F9" w:rsidRDefault="00C45227" w:rsidP="003D4AC9">
            <w:pPr>
              <w:jc w:val="center"/>
              <w:rPr>
                <w:sz w:val="20"/>
                <w:szCs w:val="20"/>
              </w:rPr>
            </w:pPr>
            <w:r>
              <w:rPr>
                <w:sz w:val="20"/>
                <w:szCs w:val="20"/>
              </w:rPr>
              <w:t>2</w:t>
            </w:r>
          </w:p>
        </w:tc>
      </w:tr>
    </w:tbl>
    <w:p w:rsidR="00332D02" w:rsidRDefault="00332D02" w:rsidP="00332D02">
      <w:pPr>
        <w:rPr>
          <w:rFonts w:eastAsia="Arial"/>
        </w:rPr>
      </w:pPr>
    </w:p>
    <w:p w:rsidR="00292036" w:rsidRDefault="00292036" w:rsidP="00F96272">
      <w:pPr>
        <w:pStyle w:val="ListParagraph"/>
        <w:ind w:left="-426"/>
        <w:rPr>
          <w:rFonts w:eastAsia="Arial"/>
          <w:sz w:val="22"/>
          <w:szCs w:val="22"/>
        </w:rPr>
      </w:pPr>
    </w:p>
    <w:p w:rsidR="00705611" w:rsidRPr="007B1E24" w:rsidRDefault="00271485" w:rsidP="00CB1F46">
      <w:pPr>
        <w:pStyle w:val="ListParagraph"/>
        <w:ind w:left="0"/>
        <w:rPr>
          <w:rFonts w:eastAsia="Arial"/>
          <w:sz w:val="22"/>
          <w:szCs w:val="22"/>
        </w:rPr>
      </w:pPr>
      <w:r w:rsidRPr="007B1E24">
        <w:rPr>
          <w:rFonts w:eastAsia="Arial"/>
          <w:sz w:val="22"/>
          <w:szCs w:val="22"/>
        </w:rPr>
        <w:t>*</w:t>
      </w:r>
      <w:r w:rsidR="00AD272D">
        <w:rPr>
          <w:rFonts w:eastAsia="Arial"/>
          <w:sz w:val="22"/>
          <w:szCs w:val="22"/>
        </w:rPr>
        <w:t xml:space="preserve">Dietary risk factors </w:t>
      </w:r>
      <w:r w:rsidR="00706345">
        <w:rPr>
          <w:rFonts w:eastAsia="Arial"/>
          <w:sz w:val="22"/>
          <w:szCs w:val="22"/>
        </w:rPr>
        <w:t xml:space="preserve">include </w:t>
      </w:r>
      <w:r w:rsidR="007B1E24" w:rsidRPr="007B1E24">
        <w:rPr>
          <w:rFonts w:eastAsia="Arial"/>
          <w:sz w:val="22"/>
          <w:szCs w:val="22"/>
        </w:rPr>
        <w:t xml:space="preserve">high </w:t>
      </w:r>
      <w:r w:rsidR="00F96272">
        <w:rPr>
          <w:rFonts w:eastAsia="Arial"/>
          <w:sz w:val="22"/>
          <w:szCs w:val="22"/>
        </w:rPr>
        <w:t xml:space="preserve">consumption of </w:t>
      </w:r>
      <w:r w:rsidR="00636ACB" w:rsidRPr="007B1E24">
        <w:rPr>
          <w:rFonts w:eastAsia="Arial"/>
          <w:sz w:val="22"/>
          <w:szCs w:val="22"/>
        </w:rPr>
        <w:t>processed meat</w:t>
      </w:r>
      <w:r w:rsidR="007B1E24" w:rsidRPr="007B1E24">
        <w:rPr>
          <w:rFonts w:eastAsia="Arial"/>
          <w:sz w:val="22"/>
          <w:szCs w:val="22"/>
        </w:rPr>
        <w:t xml:space="preserve"> and saturated fats; and low </w:t>
      </w:r>
      <w:r w:rsidR="00706345">
        <w:rPr>
          <w:rFonts w:eastAsia="Arial"/>
          <w:sz w:val="22"/>
          <w:szCs w:val="22"/>
        </w:rPr>
        <w:t xml:space="preserve">vegetable, fruit, </w:t>
      </w:r>
      <w:r w:rsidR="007B1E24" w:rsidRPr="007B1E24">
        <w:rPr>
          <w:rFonts w:eastAsia="Arial"/>
          <w:sz w:val="22"/>
          <w:szCs w:val="22"/>
        </w:rPr>
        <w:t>nut</w:t>
      </w:r>
      <w:r w:rsidR="00E507CF">
        <w:rPr>
          <w:rFonts w:eastAsia="Arial"/>
          <w:sz w:val="22"/>
          <w:szCs w:val="22"/>
        </w:rPr>
        <w:t>, seed, wholegrain and fibre</w:t>
      </w:r>
      <w:r w:rsidR="00706345">
        <w:rPr>
          <w:rFonts w:eastAsia="Arial"/>
          <w:sz w:val="22"/>
          <w:szCs w:val="22"/>
        </w:rPr>
        <w:t xml:space="preserve"> intake</w:t>
      </w:r>
      <w:r w:rsidR="00E507CF">
        <w:rPr>
          <w:rFonts w:eastAsia="Arial"/>
          <w:sz w:val="22"/>
          <w:szCs w:val="22"/>
        </w:rPr>
        <w:t>.</w:t>
      </w:r>
    </w:p>
    <w:p w:rsidR="00332D02" w:rsidRPr="007B1E24" w:rsidRDefault="00332D02" w:rsidP="00CB1F46">
      <w:pPr>
        <w:rPr>
          <w:rFonts w:eastAsia="Arial"/>
          <w:sz w:val="22"/>
          <w:szCs w:val="22"/>
        </w:rPr>
      </w:pPr>
      <w:r w:rsidRPr="007B1E24">
        <w:rPr>
          <w:rFonts w:eastAsia="Arial"/>
          <w:sz w:val="22"/>
          <w:szCs w:val="22"/>
        </w:rPr>
        <w:t>Source:</w:t>
      </w:r>
      <w:r w:rsidR="00181A10">
        <w:rPr>
          <w:rFonts w:eastAsia="Arial"/>
          <w:sz w:val="22"/>
          <w:szCs w:val="22"/>
        </w:rPr>
        <w:t xml:space="preserve"> </w:t>
      </w:r>
      <w:r w:rsidRPr="007B1E24">
        <w:rPr>
          <w:rFonts w:eastAsia="Arial"/>
          <w:sz w:val="22"/>
          <w:szCs w:val="22"/>
        </w:rPr>
        <w:t>Derived from AIHW</w:t>
      </w:r>
      <w:r w:rsidR="008E4A1B">
        <w:rPr>
          <w:rFonts w:eastAsia="Arial"/>
          <w:sz w:val="22"/>
          <w:szCs w:val="22"/>
        </w:rPr>
        <w:fldChar w:fldCharType="begin"/>
      </w:r>
      <w:r w:rsidR="00C21325">
        <w:rPr>
          <w:rFonts w:eastAsia="Arial"/>
          <w:sz w:val="22"/>
          <w:szCs w:val="22"/>
        </w:rPr>
        <w:instrText xml:space="preserve"> ADDIN EN.CITE &lt;EndNote&gt;&lt;Cite&gt;&lt;Author&gt;Australian Institute of Health and Welfare&lt;/Author&gt;&lt;Year&gt;2016&lt;/Year&gt;&lt;RecNum&gt;121&lt;/RecNum&gt;&lt;DisplayText&gt;&lt;style face="superscript"&gt;2, 7&lt;/style&gt;&lt;/DisplayText&gt;&lt;record&gt;&lt;rec-number&gt;121&lt;/rec-number&gt;&lt;foreign-keys&gt;&lt;key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Welfare&lt;/publisher&gt;&lt;urls&gt;&lt;related-urls&gt;&lt;url&gt;http://www.aihw.gov.au/publication-detail/?id=60129555173&lt;/url&gt;&lt;/related-urls&gt;&lt;/urls&gt;&lt;/record&gt;&lt;/Cite&gt;&lt;Cite&gt;&lt;Author&gt;Australian Institute of Health and Welfare&lt;/Author&gt;&lt;Year&gt;2016&lt;/Year&gt;&lt;RecNum&gt;1085&lt;/RecNum&gt;&lt;record&gt;&lt;rec-number&gt;1085&lt;/rec-number&gt;&lt;foreign-keys&gt;&lt;key app="EN" db-id="zxa00wf2opvf9oeeset50xz7ezpfwre2v20z"&gt;1085&lt;/key&gt;&lt;/foreign-keys&gt;&lt;ref-type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2011-Summary report. Australian Burden of Disease Study series no. 4. BOD 5.&lt;/title&gt;&lt;/titles&gt;&lt;dates&gt;&lt;year&gt;2016&lt;/year&gt;&lt;/dates&gt;&lt;pub-location&gt;Canberra&lt;/pub-location&gt;&lt;publisher&gt;AIHW&lt;/publisher&gt;&lt;urls&gt;&lt;related-urls&gt;&lt;url&gt;http://www.aihw.gov.au/publication-detail/?id=60129556205&lt;/url&gt;&lt;/related-urls&gt;&lt;/urls&gt;&lt;/record&gt;&lt;/Cite&gt;&lt;/EndNote&gt;</w:instrText>
      </w:r>
      <w:r w:rsidR="008E4A1B">
        <w:rPr>
          <w:rFonts w:eastAsia="Arial"/>
          <w:sz w:val="22"/>
          <w:szCs w:val="22"/>
        </w:rPr>
        <w:fldChar w:fldCharType="separate"/>
      </w:r>
      <w:r w:rsidR="00C21325" w:rsidRPr="00C21325">
        <w:rPr>
          <w:rFonts w:eastAsia="Arial"/>
          <w:noProof/>
          <w:sz w:val="22"/>
          <w:szCs w:val="22"/>
          <w:vertAlign w:val="superscript"/>
        </w:rPr>
        <w:t>2, 7</w:t>
      </w:r>
      <w:r w:rsidR="008E4A1B">
        <w:rPr>
          <w:rFonts w:eastAsia="Arial"/>
          <w:sz w:val="22"/>
          <w:szCs w:val="22"/>
        </w:rPr>
        <w:fldChar w:fldCharType="end"/>
      </w:r>
    </w:p>
    <w:p w:rsidR="00074FD2" w:rsidRDefault="00074FD2">
      <w:pPr>
        <w:widowControl/>
        <w:spacing w:after="200" w:line="276" w:lineRule="auto"/>
      </w:pPr>
    </w:p>
    <w:p w:rsidR="00C94B90" w:rsidRDefault="00C94B90">
      <w:pPr>
        <w:widowControl/>
        <w:spacing w:after="200" w:line="276" w:lineRule="auto"/>
      </w:pPr>
      <w:r>
        <w:br w:type="page"/>
      </w:r>
    </w:p>
    <w:p w:rsidR="00365904" w:rsidRDefault="00365904" w:rsidP="00365904">
      <w:r>
        <w:lastRenderedPageBreak/>
        <w:t xml:space="preserve">There is also evidence that these risk factors and the prevalence of chronic disease and injury are not distributed equally across society. </w:t>
      </w:r>
      <w:r w:rsidRPr="008B0646">
        <w:t>People who live in areas of socioeconomic disadvantage</w:t>
      </w:r>
      <w:r>
        <w:t xml:space="preserve"> or outside major cities, have lower levels of education, lower incomes, experience mental health problems or have a disability </w:t>
      </w:r>
      <w:r w:rsidRPr="008B0646">
        <w:t xml:space="preserve">are more likely to report </w:t>
      </w:r>
      <w:r>
        <w:t xml:space="preserve">having </w:t>
      </w:r>
      <w:r w:rsidRPr="008B0646">
        <w:t>health risk behaviours</w:t>
      </w:r>
      <w:r>
        <w:t>, with many having multiple risk factors.</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p>
    <w:p w:rsidR="00365904" w:rsidRDefault="00365904" w:rsidP="00365904"/>
    <w:p w:rsidR="00365904" w:rsidRDefault="00365904" w:rsidP="00365904">
      <w:r w:rsidRPr="00753357">
        <w:t>Aboriginal people have higher rates of chronic disease</w:t>
      </w:r>
      <w:r>
        <w:t xml:space="preserve"> and injury</w:t>
      </w:r>
      <w:r w:rsidRPr="00753357">
        <w:t xml:space="preserve"> </w:t>
      </w:r>
      <w:r>
        <w:t>and also experience the onset of these diseases at</w:t>
      </w:r>
      <w:r w:rsidRPr="00753357">
        <w:t xml:space="preserve"> a much younger age compared to the general population</w:t>
      </w:r>
      <w:r>
        <w:t xml:space="preserve">. Aboriginal people also </w:t>
      </w:r>
      <w:r w:rsidRPr="00753357">
        <w:t xml:space="preserve">die from </w:t>
      </w:r>
      <w:r>
        <w:t xml:space="preserve">chronic </w:t>
      </w:r>
      <w:r w:rsidRPr="00753357">
        <w:t>diseases at a younger age.</w:t>
      </w:r>
      <w:r w:rsidR="005A1083" w:rsidRPr="00753357">
        <w:t xml:space="preserve"> </w:t>
      </w:r>
      <w:r w:rsidRPr="00753357">
        <w:t>About 80% of the mortality gap for Aboriginal people aged 35</w:t>
      </w:r>
      <w:r>
        <w:t>–</w:t>
      </w:r>
      <w:r w:rsidRPr="00753357">
        <w:t>74 years results from chronic disease.</w:t>
      </w:r>
      <w:r w:rsidR="008E4A1B">
        <w:fldChar w:fldCharType="begin"/>
      </w:r>
      <w:r w:rsidR="00C21325">
        <w:instrText xml:space="preserve"> ADDIN EN.CITE &lt;EndNote&gt;&lt;Cite&gt;&lt;Author&gt;Australian Institute of Health and Welfare&lt;/Author&gt;&lt;Year&gt;2011&lt;/Year&gt;&lt;RecNum&gt;200&lt;/RecNum&gt;&lt;DisplayText&gt;&lt;style face="superscript"&gt;5&lt;/style&gt;&lt;/DisplayText&gt;&lt;record&gt;&lt;rec-number&gt;200&lt;/rec-number&gt;&lt;foreign-keys&gt;&lt;key app="EN" db-id="zxa00wf2opvf9oeeset50xz7ezpfwre2v20z"&gt;200&lt;/key&gt;&lt;/foreign-keys&gt;&lt;ref-type name="Report"&gt;27&lt;/ref-type&gt;&lt;contributors&gt;&lt;authors&gt;&lt;author&gt;Australian Institute of Health and Welfare,&lt;/author&gt;&lt;/authors&gt;&lt;/contributors&gt;&lt;titles&gt;&lt;title&gt;Contribution of chronic disease to the gap in adult mortality between Aboriginal and Torres Strait Islander and other Australians. Cat. no. IHW 48&lt;/title&gt;&lt;/titles&gt;&lt;dates&gt;&lt;year&gt;2011&lt;/year&gt;&lt;/dates&gt;&lt;pub-location&gt;Canberra&lt;/pub-location&gt;&lt;publisher&gt;Australian Institute of Health and Welfare&lt;/publisher&gt;&lt;urls&gt;&lt;related-urls&gt;&lt;url&gt;http://www.aihw.gov.au/indigenous-observatory-chronic-disease/&lt;/url&gt;&lt;/related-urls&gt;&lt;/urls&gt;&lt;/record&gt;&lt;/Cite&gt;&lt;/EndNote&gt;</w:instrText>
      </w:r>
      <w:r w:rsidR="008E4A1B">
        <w:fldChar w:fldCharType="separate"/>
      </w:r>
      <w:r w:rsidR="00C21325" w:rsidRPr="00C21325">
        <w:rPr>
          <w:noProof/>
          <w:vertAlign w:val="superscript"/>
        </w:rPr>
        <w:t>5</w:t>
      </w:r>
      <w:r w:rsidR="008E4A1B">
        <w:fldChar w:fldCharType="end"/>
      </w:r>
    </w:p>
    <w:p w:rsidR="000E2931" w:rsidRDefault="000E2931" w:rsidP="00365904"/>
    <w:p w:rsidR="00365904" w:rsidRDefault="00365904" w:rsidP="00365904">
      <w:r>
        <w:t xml:space="preserve">When considering the prevention of chronic disease and injury, it is also important to consider protective factors that can have a positive effect on health. </w:t>
      </w:r>
      <w:r w:rsidRPr="001326C9">
        <w:t xml:space="preserve">For example, regular physical activity can assist with lowering blood pressure or </w:t>
      </w:r>
      <w:r>
        <w:t>management of</w:t>
      </w:r>
      <w:r w:rsidRPr="001326C9">
        <w:t xml:space="preserve"> body weight.</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r w:rsidRPr="001326C9">
        <w:t xml:space="preserve"> Physical activity that includes a strong focus on </w:t>
      </w:r>
      <w:r>
        <w:t xml:space="preserve">improving strength and </w:t>
      </w:r>
      <w:r w:rsidRPr="001326C9">
        <w:t>balance can help prevent falls in older people.</w:t>
      </w:r>
      <w:r w:rsidR="008E4A1B">
        <w:fldChar w:fldCharType="begin"/>
      </w:r>
      <w:r w:rsidR="006209B7">
        <w:instrText xml:space="preserve"> ADDIN EN.CITE &lt;EndNote&gt;&lt;Cite&gt;&lt;Author&gt;Sherrington&lt;/Author&gt;&lt;Year&gt;2011&lt;/Year&gt;&lt;RecNum&gt;807&lt;/RecNum&gt;&lt;DisplayText&gt;&lt;style face="superscript"&gt;4&lt;/style&gt;&lt;/DisplayText&gt;&lt;record&gt;&lt;rec-number&gt;807&lt;/rec-number&gt;&lt;foreign-keys&gt;&lt;key app="EN" db-id="zxa00wf2opvf9oeeset50xz7ezpfwre2v20z"&gt;807&lt;/key&gt;&lt;/foreign-keys&gt;&lt;ref-type name="Journal Article"&gt;17&lt;/ref-type&gt;&lt;contributors&gt;&lt;authors&gt;&lt;author&gt;Sherrington, C.&lt;/author&gt;&lt;author&gt;Tiedemann, A.&lt;/author&gt;&lt;author&gt;Fairhall, N.&lt;/author&gt;&lt;author&gt;Close, J. C.&lt;/author&gt;&lt;author&gt;Lord, S. R.&lt;/author&gt;&lt;/authors&gt;&lt;/contributors&gt;&lt;auth-address&gt;Musculoskeletal Division, The George Institute for Global Health, The University of Sydney, Australia. csherrington@georgeinstitute.org.au&lt;/auth-address&gt;&lt;titles&gt;&lt;title&gt;Exercise to prevent falls in older adults: an updated meta-analysis and best practice recommendations&lt;/title&gt;&lt;secondary-title&gt;NSW Public Health Bull&lt;/secondary-title&gt;&lt;/titles&gt;&lt;periodical&gt;&lt;full-title&gt;NSW Public Health Bull&lt;/full-title&gt;&lt;/periodical&gt;&lt;pages&gt;78-83&lt;/pages&gt;&lt;volume&gt;22&lt;/volume&gt;&lt;number&gt;3-4&lt;/number&gt;&lt;keywords&gt;&lt;keyword&gt;Accidental Falls/*prevention &amp;amp; control&lt;/keyword&gt;&lt;keyword&gt;Aged&lt;/keyword&gt;&lt;keyword&gt;*Exercise&lt;/keyword&gt;&lt;keyword&gt;Humans&lt;/keyword&gt;&lt;keyword&gt;Randomized Controlled Trials as Topic&lt;/keyword&gt;&lt;keyword&gt;Resistance Training&lt;/keyword&gt;&lt;keyword&gt;Risk Factors&lt;/keyword&gt;&lt;keyword&gt;Walking&lt;/keyword&gt;&lt;/keywords&gt;&lt;dates&gt;&lt;year&gt;2011&lt;/year&gt;&lt;/dates&gt;&lt;urls&gt;&lt;related-urls&gt;&lt;url&gt;http://www.ncbi.nlm.nih.gov/pubmed/21632004&lt;/url&gt;&lt;/related-urls&gt;&lt;/urls&gt;&lt;/record&gt;&lt;/Cite&gt;&lt;/EndNote&gt;</w:instrText>
      </w:r>
      <w:r w:rsidR="008E4A1B">
        <w:fldChar w:fldCharType="separate"/>
      </w:r>
      <w:r w:rsidR="006209B7" w:rsidRPr="006209B7">
        <w:rPr>
          <w:noProof/>
          <w:vertAlign w:val="superscript"/>
        </w:rPr>
        <w:t>4</w:t>
      </w:r>
      <w:r w:rsidR="008E4A1B">
        <w:fldChar w:fldCharType="end"/>
      </w:r>
      <w:r w:rsidRPr="001326C9">
        <w:t xml:space="preserve"> A diet high in fruits and vegetables, and low in saturated fat, can protect against certain cancers and heart disease.</w:t>
      </w:r>
      <w:r w:rsidR="008E4A1B">
        <w:fldChar w:fldCharType="begin"/>
      </w:r>
      <w:r w:rsidR="009F7E7C">
        <w:instrText xml:space="preserve"> ADDIN EN.CITE &lt;EndNote&gt;&lt;Cite&gt;&lt;Author&gt;Australian Institute of Health and Welfare&lt;/Author&gt;&lt;Year&gt;2012&lt;/Year&gt;&lt;RecNum&gt;209&lt;/RecNum&gt;&lt;DisplayText&gt;&lt;style face="superscript"&gt;3, 18&lt;/style&gt;&lt;/DisplayText&gt;&lt;record&gt;&lt;rec-number&gt;209&lt;/rec-number&gt;&lt;foreign-keys&gt;&lt;key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Welfare&lt;/publisher&gt;&lt;urls&gt;&lt;related-urls&gt;&lt;url&gt;http://www.aihw.gov.au/publication-detail/?id=10737421466&lt;/url&gt;&lt;/related-urls&gt;&lt;/urls&gt;&lt;/record&gt;&lt;/Cite&gt;&lt;Cite&gt;&lt;Author&gt;National Health and Medical Research Council&lt;/Author&gt;&lt;Year&gt;2013&lt;/Year&gt;&lt;RecNum&gt;667&lt;/RecNum&gt;&lt;record&gt;&lt;rec-number&gt;667&lt;/rec-number&gt;&lt;foreign-keys&gt;&lt;key app="EN" db-id="zxa00wf2opvf9oeeset50xz7ezpfwre2v20z"&gt;667&lt;/key&gt;&lt;/foreign-keys&gt;&lt;ref-type name="Report"&gt;27&lt;/ref-type&gt;&lt;contributors&gt;&lt;authors&gt;&lt;author&gt;National Health and Medical Research Council,&lt;/author&gt;&lt;/authors&gt;&lt;/contributors&gt;&lt;titles&gt;&lt;title&gt;Australian Dietary Guidelines&lt;/title&gt;&lt;/titles&gt;&lt;dates&gt;&lt;year&gt;2013&lt;/year&gt;&lt;/dates&gt;&lt;pub-location&gt;Canberra&lt;/pub-location&gt;&lt;publisher&gt;National Health and Medical Research Council&lt;/publisher&gt;&lt;urls&gt;&lt;related-urls&gt;&lt;url&gt;http://www.nhmrc.gov.au/_files_nhmrc/publications/attachments/n55_australian_dietary_guidelines_130530.pdf&lt;/url&gt;&lt;/related-urls&gt;&lt;/urls&gt;&lt;/record&gt;&lt;/Cite&gt;&lt;/EndNote&gt;</w:instrText>
      </w:r>
      <w:r w:rsidR="008E4A1B">
        <w:fldChar w:fldCharType="separate"/>
      </w:r>
      <w:r w:rsidR="009F7E7C" w:rsidRPr="009F7E7C">
        <w:rPr>
          <w:noProof/>
          <w:vertAlign w:val="superscript"/>
        </w:rPr>
        <w:t>3, 18</w:t>
      </w:r>
      <w:r w:rsidR="008E4A1B">
        <w:fldChar w:fldCharType="end"/>
      </w:r>
    </w:p>
    <w:p w:rsidR="00365904" w:rsidRDefault="00365904" w:rsidP="00231C6C">
      <w:pPr>
        <w:rPr>
          <w:rFonts w:eastAsia="Arial"/>
        </w:rPr>
      </w:pPr>
    </w:p>
    <w:p w:rsidR="008B0646" w:rsidRDefault="008B0646" w:rsidP="00823AA2"/>
    <w:p w:rsidR="002A040A" w:rsidRPr="00634320" w:rsidRDefault="00634320" w:rsidP="00EA1976">
      <w:pPr>
        <w:pStyle w:val="Heading2"/>
      </w:pPr>
      <w:bookmarkStart w:id="7" w:name="_Toc462049307"/>
      <w:r w:rsidRPr="00634320">
        <w:t xml:space="preserve">1.3 </w:t>
      </w:r>
      <w:r w:rsidR="00494236">
        <w:t xml:space="preserve"> </w:t>
      </w:r>
      <w:r>
        <w:t>Understanding h</w:t>
      </w:r>
      <w:r w:rsidR="00AA556A" w:rsidRPr="00634320">
        <w:t xml:space="preserve">ealth promotion and </w:t>
      </w:r>
      <w:r w:rsidR="00E049B6" w:rsidRPr="00634320">
        <w:t>disease</w:t>
      </w:r>
      <w:r w:rsidR="00AA556A" w:rsidRPr="00634320">
        <w:t xml:space="preserve"> prevention</w:t>
      </w:r>
      <w:bookmarkEnd w:id="7"/>
    </w:p>
    <w:p w:rsidR="00C375AC" w:rsidRDefault="00C375AC" w:rsidP="00823AA2"/>
    <w:p w:rsidR="00126E25" w:rsidRDefault="001E7E7C" w:rsidP="00823AA2">
      <w:r w:rsidRPr="00C2221F">
        <w:t xml:space="preserve">There are significant opportunities </w:t>
      </w:r>
      <w:r w:rsidR="00C375AC">
        <w:t>to improve the health of the WA population by facilitat</w:t>
      </w:r>
      <w:r w:rsidR="002A373E">
        <w:t>ing</w:t>
      </w:r>
      <w:r w:rsidR="00C375AC">
        <w:t xml:space="preserve"> behavio</w:t>
      </w:r>
      <w:r w:rsidR="0090233D">
        <w:t>u</w:t>
      </w:r>
      <w:r w:rsidR="00C375AC">
        <w:t xml:space="preserve">r change </w:t>
      </w:r>
      <w:r w:rsidR="006020CD">
        <w:t xml:space="preserve">and creating healthier environments </w:t>
      </w:r>
      <w:r w:rsidR="00444360">
        <w:t xml:space="preserve">across the </w:t>
      </w:r>
      <w:r w:rsidR="006020CD">
        <w:t>community.</w:t>
      </w:r>
    </w:p>
    <w:p w:rsidR="00C13631" w:rsidRDefault="00C13631" w:rsidP="00823AA2"/>
    <w:p w:rsidR="00770072" w:rsidRPr="009E0A7C" w:rsidRDefault="00770072"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b/>
          <w:color w:val="808080" w:themeColor="background1" w:themeShade="80"/>
          <w:sz w:val="26"/>
          <w:szCs w:val="26"/>
        </w:rPr>
      </w:pPr>
      <w:r w:rsidRPr="009E0A7C">
        <w:rPr>
          <w:b/>
          <w:color w:val="808080" w:themeColor="background1" w:themeShade="80"/>
          <w:sz w:val="26"/>
          <w:szCs w:val="26"/>
        </w:rPr>
        <w:t>Box 2:   What is meant by health promotion and disease prevention?</w:t>
      </w:r>
    </w:p>
    <w:p w:rsidR="00770072" w:rsidRPr="00931BE9" w:rsidRDefault="00770072"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770072" w:rsidRPr="00931BE9" w:rsidRDefault="00770072"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The WA HPSF uses the World Health Organization’s broad definition of health promotion, which states that</w:t>
      </w:r>
      <w:r w:rsidR="003B34CC" w:rsidRPr="00931BE9">
        <w:rPr>
          <w:color w:val="808080" w:themeColor="background1" w:themeShade="80"/>
        </w:rPr>
        <w:t xml:space="preserve"> </w:t>
      </w:r>
      <w:r w:rsidR="003B34CC" w:rsidRPr="00931BE9">
        <w:rPr>
          <w:i/>
          <w:color w:val="808080" w:themeColor="background1" w:themeShade="80"/>
        </w:rPr>
        <w:t>Health promotion is the process of enabling people to increase control over, and to improve, their health. It moves beyond a focus on individual behavior towards a wide range of social and environmental interventions</w:t>
      </w:r>
      <w:r w:rsidR="003B34CC" w:rsidRPr="00931BE9">
        <w:rPr>
          <w:color w:val="808080" w:themeColor="background1" w:themeShade="80"/>
        </w:rPr>
        <w:t>.</w:t>
      </w:r>
      <w:r w:rsidR="00B543C4" w:rsidRPr="00931BE9">
        <w:rPr>
          <w:color w:val="808080" w:themeColor="background1" w:themeShade="80"/>
        </w:rPr>
        <w:fldChar w:fldCharType="begin"/>
      </w:r>
      <w:r w:rsidR="00B543C4" w:rsidRPr="00931BE9">
        <w:rPr>
          <w:color w:val="808080" w:themeColor="background1" w:themeShade="80"/>
        </w:rPr>
        <w:instrText xml:space="preserve"> ADDIN EN.CITE &lt;EndNote&gt;&lt;Cite&gt;&lt;Author&gt;World Health Organization&lt;/Author&gt;&lt;Year&gt;2016&lt;/Year&gt;&lt;RecNum&gt;1091&lt;/RecNum&gt;&lt;DisplayText&gt;&lt;style face="superscript"&gt;19&lt;/style&gt;&lt;/DisplayText&gt;&lt;record&gt;&lt;rec-number&gt;1091&lt;/rec-number&gt;&lt;foreign-keys&gt;&lt;key app="EN" db-id="zxa00wf2opvf9oeeset50xz7ezpfwre2v20z"&gt;1091&lt;/key&gt;&lt;/foreign-keys&gt;&lt;ref-type name="Web Page"&gt;12&lt;/ref-type&gt;&lt;contributors&gt;&lt;authors&gt;&lt;author&gt;World Health Organization,&lt;/author&gt;&lt;/authors&gt;&lt;/contributors&gt;&lt;titles&gt;&lt;title&gt;Health topics. Health promotion&lt;/title&gt;&lt;/titles&gt;&lt;volume&gt;12 August 2016&lt;/volume&gt;&lt;dates&gt;&lt;year&gt;2016&lt;/year&gt;&lt;/dates&gt;&lt;pub-location&gt;Geneva&lt;/pub-location&gt;&lt;publisher&gt;WHO&lt;/publisher&gt;&lt;urls&gt;&lt;related-urls&gt;&lt;url&gt;http://www.who.int/topics/health_promotion/en/&lt;/url&gt;&lt;/related-urls&gt;&lt;/urls&gt;&lt;/record&gt;&lt;/Cite&gt;&lt;/EndNote&gt;</w:instrText>
      </w:r>
      <w:r w:rsidR="00B543C4" w:rsidRPr="00931BE9">
        <w:rPr>
          <w:color w:val="808080" w:themeColor="background1" w:themeShade="80"/>
        </w:rPr>
        <w:fldChar w:fldCharType="separate"/>
      </w:r>
      <w:r w:rsidR="00B543C4" w:rsidRPr="00931BE9">
        <w:rPr>
          <w:noProof/>
          <w:color w:val="808080" w:themeColor="background1" w:themeShade="80"/>
          <w:vertAlign w:val="superscript"/>
        </w:rPr>
        <w:t>19</w:t>
      </w:r>
      <w:r w:rsidR="00B543C4" w:rsidRPr="00931BE9">
        <w:rPr>
          <w:color w:val="808080" w:themeColor="background1" w:themeShade="80"/>
        </w:rPr>
        <w:fldChar w:fldCharType="end"/>
      </w:r>
    </w:p>
    <w:p w:rsidR="003B34CC" w:rsidRPr="00931BE9" w:rsidRDefault="003B34CC"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770072" w:rsidRPr="00931BE9" w:rsidRDefault="00770072"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808080" w:themeColor="background1" w:themeShade="80"/>
        </w:rPr>
      </w:pPr>
      <w:r w:rsidRPr="00931BE9">
        <w:rPr>
          <w:color w:val="808080" w:themeColor="background1" w:themeShade="80"/>
        </w:rPr>
        <w:t xml:space="preserve">In the WA HPSF, prevention refers to </w:t>
      </w:r>
      <w:r w:rsidRPr="00931BE9">
        <w:rPr>
          <w:i/>
          <w:color w:val="808080" w:themeColor="background1" w:themeShade="80"/>
        </w:rPr>
        <w:t>reducing the risk of developing chronic disease or being injured through modifying risk factors.</w:t>
      </w:r>
    </w:p>
    <w:p w:rsidR="00770072" w:rsidRPr="00C2221F" w:rsidRDefault="00770072" w:rsidP="00823AA2"/>
    <w:p w:rsidR="00755146" w:rsidRPr="00C2221F" w:rsidRDefault="00444360" w:rsidP="00823AA2">
      <w:r>
        <w:t xml:space="preserve">Strategies to encourage healthier and safer </w:t>
      </w:r>
      <w:r w:rsidR="002A373E">
        <w:t xml:space="preserve">populations require a sustained, </w:t>
      </w:r>
      <w:r>
        <w:t>long</w:t>
      </w:r>
      <w:r w:rsidR="00026480">
        <w:t>-</w:t>
      </w:r>
      <w:r>
        <w:t>term investment in health promotion</w:t>
      </w:r>
      <w:r w:rsidR="002A373E">
        <w:t xml:space="preserve"> and a</w:t>
      </w:r>
      <w:r>
        <w:t>pproach</w:t>
      </w:r>
      <w:r w:rsidR="002A373E">
        <w:t xml:space="preserve">es that </w:t>
      </w:r>
      <w:r>
        <w:t xml:space="preserve">take into account the wider socioeconomic, cultural and environmental conditions </w:t>
      </w:r>
      <w:r w:rsidR="002A373E">
        <w:t xml:space="preserve">that </w:t>
      </w:r>
      <w:r>
        <w:t xml:space="preserve">shape </w:t>
      </w:r>
      <w:r w:rsidR="00B14DBB">
        <w:t>behavior.</w:t>
      </w:r>
      <w:r w:rsidR="00755146">
        <w:t xml:space="preserve"> </w:t>
      </w:r>
      <w:r w:rsidR="00755146" w:rsidRPr="00C2221F">
        <w:t xml:space="preserve">Effective </w:t>
      </w:r>
      <w:r w:rsidR="00755146">
        <w:t xml:space="preserve">health promotion </w:t>
      </w:r>
      <w:r w:rsidR="00755146" w:rsidRPr="00C2221F">
        <w:t>provide</w:t>
      </w:r>
      <w:r w:rsidR="00026480">
        <w:t>s</w:t>
      </w:r>
      <w:r w:rsidR="00755146" w:rsidRPr="00C2221F">
        <w:t xml:space="preserve"> substantial savings to the community in terms of health and non-health related costs.</w:t>
      </w:r>
      <w:r w:rsidR="008E4A1B">
        <w:fldChar w:fldCharType="begin"/>
      </w:r>
      <w:r w:rsidR="00C21325">
        <w:instrText xml:space="preserve"> ADDIN EN.CITE &lt;EndNote&gt;&lt;Cite&gt;&lt;Author&gt;Vos T&lt;/Author&gt;&lt;Year&gt;2010&lt;/Year&gt;&lt;RecNum&gt;898&lt;/RecNum&gt;&lt;DisplayText&gt;&lt;style face="superscript"&gt;15&lt;/style&gt;&lt;/DisplayText&gt;&lt;record&gt;&lt;rec-number&gt;898&lt;/rec-number&gt;&lt;foreign-keys&gt;&lt;key app="EN" db-id="zxa00wf2opvf9oeeset50xz7ezpfwre2v20z"&gt;898&lt;/key&gt;&lt;/foreign-keys&gt;&lt;ref-type name="Report"&gt;27&lt;/ref-type&gt;&lt;contributors&gt;&lt;authors&gt;&lt;author&gt;Vos T, &lt;/author&gt;&lt;author&gt;Carter R,&lt;/author&gt;&lt;author&gt;Barendregt J, &lt;/author&gt;&lt;author&gt;Mihalopoulos C, &lt;/author&gt;&lt;author&gt;Veerman JL,&lt;/author&gt;&lt;author&gt;Magnus A, &lt;/author&gt;&lt;author&gt;Cobiac L, &lt;/author&gt;&lt;author&gt;Bertram MY,&lt;/author&gt;&lt;author&gt;Wallace AL, &lt;/author&gt;&lt;author&gt;ACE–Prevention Team,&lt;/author&gt;&lt;/authors&gt;&lt;/contributors&gt;&lt;titles&gt;&lt;title&gt;Assessing cost-effectiveness in prevention (ACE–Prevention): final report&lt;/title&gt;&lt;/titles&gt;&lt;dates&gt;&lt;year&gt;2010&lt;/year&gt;&lt;/dates&gt;&lt;publisher&gt;University of Queensland, Brisbane&lt;/publisher&gt;&lt;urls&gt;&lt;related-urls&gt;&lt;url&gt;http://public-health.uq.edu.au/filething/get/1836/ACE-Prevention_final_report.pdf&lt;/url&gt;&lt;/related-urls&gt;&lt;/urls&gt;&lt;/record&gt;&lt;/Cite&gt;&lt;/EndNote&gt;</w:instrText>
      </w:r>
      <w:r w:rsidR="008E4A1B">
        <w:fldChar w:fldCharType="separate"/>
      </w:r>
      <w:r w:rsidR="00C21325" w:rsidRPr="00C21325">
        <w:rPr>
          <w:noProof/>
          <w:vertAlign w:val="superscript"/>
        </w:rPr>
        <w:t>15</w:t>
      </w:r>
      <w:r w:rsidR="008E4A1B">
        <w:fldChar w:fldCharType="end"/>
      </w:r>
      <w:r w:rsidR="00755146" w:rsidRPr="00C2221F">
        <w:t xml:space="preserve"> </w:t>
      </w:r>
    </w:p>
    <w:p w:rsidR="00B14DBB" w:rsidRDefault="00B14DBB" w:rsidP="00823AA2"/>
    <w:p w:rsidR="008B25B1" w:rsidRDefault="00FB0F39" w:rsidP="008B25B1">
      <w:r>
        <w:t>Th</w:t>
      </w:r>
      <w:r w:rsidR="00AA1529">
        <w:t>e</w:t>
      </w:r>
      <w:r>
        <w:t xml:space="preserve"> WA</w:t>
      </w:r>
      <w:r w:rsidR="000B541D">
        <w:t xml:space="preserve"> HPSF</w:t>
      </w:r>
      <w:r w:rsidR="007C24B7">
        <w:t xml:space="preserve"> </w:t>
      </w:r>
      <w:r w:rsidR="008A1D47">
        <w:t xml:space="preserve">continues to </w:t>
      </w:r>
      <w:r w:rsidR="009A644D">
        <w:t xml:space="preserve">support </w:t>
      </w:r>
      <w:r w:rsidR="00AA1529">
        <w:t>evidence-based,</w:t>
      </w:r>
      <w:r w:rsidR="006377A2">
        <w:t xml:space="preserve"> </w:t>
      </w:r>
      <w:r w:rsidR="007C24B7">
        <w:t xml:space="preserve">population-wide approaches that have </w:t>
      </w:r>
      <w:r w:rsidR="006377A2">
        <w:t xml:space="preserve">already </w:t>
      </w:r>
      <w:r w:rsidR="007C24B7">
        <w:t>successful</w:t>
      </w:r>
      <w:r w:rsidR="002A373E">
        <w:t>ly delivered</w:t>
      </w:r>
      <w:r w:rsidR="007C24B7">
        <w:t xml:space="preserve"> improvements in health</w:t>
      </w:r>
      <w:r w:rsidR="00191988">
        <w:t>, including declines in prevalence of smoking</w:t>
      </w:r>
      <w:r w:rsidR="00473B2E">
        <w:t xml:space="preserve"> and harmful drinking</w:t>
      </w:r>
      <w:r w:rsidR="00191988">
        <w:t>, an</w:t>
      </w:r>
      <w:r w:rsidR="00473B2E">
        <w:t>d an</w:t>
      </w:r>
      <w:r w:rsidR="00191988">
        <w:t xml:space="preserve"> increase in the proportion of </w:t>
      </w:r>
      <w:r w:rsidR="00473B2E">
        <w:t xml:space="preserve">adults who are being sufficiently physically active. </w:t>
      </w:r>
    </w:p>
    <w:p w:rsidR="008B25B1" w:rsidRDefault="008B25B1" w:rsidP="008B25B1"/>
    <w:p w:rsidR="00DA1825" w:rsidRDefault="008B25B1" w:rsidP="008B25B1">
      <w:r>
        <w:t>Despite these improvements, challenges remain.</w:t>
      </w:r>
      <w:r w:rsidRPr="00FD52B1">
        <w:t xml:space="preserve"> </w:t>
      </w:r>
      <w:r>
        <w:t>For example</w:t>
      </w:r>
      <w:r w:rsidR="00DA1825">
        <w:t xml:space="preserve">, </w:t>
      </w:r>
      <w:r w:rsidR="00F957FA">
        <w:t xml:space="preserve">recent data show </w:t>
      </w:r>
      <w:r w:rsidR="00F957FA">
        <w:lastRenderedPageBreak/>
        <w:t>that</w:t>
      </w:r>
      <w:r w:rsidR="00DA1825">
        <w:t>:</w:t>
      </w:r>
    </w:p>
    <w:p w:rsidR="00DA1825" w:rsidRDefault="00DA1825" w:rsidP="008B25B1"/>
    <w:p w:rsidR="00DA1825" w:rsidRDefault="00A26F9E" w:rsidP="00CE2FEF">
      <w:pPr>
        <w:pStyle w:val="ListParagraph"/>
        <w:numPr>
          <w:ilvl w:val="0"/>
          <w:numId w:val="27"/>
        </w:numPr>
      </w:pPr>
      <w:r w:rsidRPr="00A26F9E">
        <w:t>43</w:t>
      </w:r>
      <w:r w:rsidR="008B25B1" w:rsidRPr="00A26F9E">
        <w:t>% of adults in WA report</w:t>
      </w:r>
      <w:r w:rsidR="00DA1825">
        <w:t xml:space="preserve"> that</w:t>
      </w:r>
      <w:r w:rsidR="008B25B1" w:rsidRPr="00FD52B1">
        <w:t xml:space="preserve"> </w:t>
      </w:r>
      <w:r w:rsidR="00587A0B">
        <w:t xml:space="preserve">they </w:t>
      </w:r>
      <w:r w:rsidR="008B25B1" w:rsidRPr="00FD52B1">
        <w:t>spend mo</w:t>
      </w:r>
      <w:r w:rsidR="00DA1825">
        <w:t>st of their day sitting</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r w:rsidR="008B25B1">
        <w:t xml:space="preserve"> </w:t>
      </w:r>
    </w:p>
    <w:p w:rsidR="00DA1825" w:rsidRDefault="006310C7" w:rsidP="00CE2FEF">
      <w:pPr>
        <w:pStyle w:val="ListParagraph"/>
        <w:numPr>
          <w:ilvl w:val="0"/>
          <w:numId w:val="27"/>
        </w:numPr>
      </w:pPr>
      <w:r>
        <w:t>a</w:t>
      </w:r>
      <w:r w:rsidR="008B25B1" w:rsidRPr="00FD52B1">
        <w:t xml:space="preserve">round </w:t>
      </w:r>
      <w:r w:rsidR="00A26F9E">
        <w:t>two-thirds</w:t>
      </w:r>
      <w:r w:rsidR="008B25B1" w:rsidRPr="00FD52B1">
        <w:t xml:space="preserve"> </w:t>
      </w:r>
      <w:r w:rsidR="008B25B1">
        <w:t xml:space="preserve">of </w:t>
      </w:r>
      <w:r w:rsidR="0050793B">
        <w:t>people</w:t>
      </w:r>
      <w:r w:rsidR="008B25B1">
        <w:t xml:space="preserve"> aged 16 and over,</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r w:rsidR="008B25B1">
        <w:t xml:space="preserve"> and almost </w:t>
      </w:r>
      <w:r w:rsidR="00A26F9E">
        <w:t xml:space="preserve">a quarter </w:t>
      </w:r>
      <w:r w:rsidR="008B25B1">
        <w:t>of children aged 5</w:t>
      </w:r>
      <w:r w:rsidR="00A335BA">
        <w:t>–</w:t>
      </w:r>
      <w:r w:rsidR="008B25B1">
        <w:t xml:space="preserve">15 years </w:t>
      </w:r>
      <w:r w:rsidR="006468EA">
        <w:t>are</w:t>
      </w:r>
      <w:r w:rsidR="008B25B1" w:rsidRPr="00FD52B1">
        <w:t xml:space="preserve"> classified as overweight </w:t>
      </w:r>
      <w:r w:rsidR="008B25B1">
        <w:t xml:space="preserve">or </w:t>
      </w:r>
      <w:r w:rsidR="00836D66">
        <w:t>obese</w:t>
      </w:r>
      <w:r w:rsidR="008E4A1B">
        <w:fldChar w:fldCharType="begin"/>
      </w:r>
      <w:r w:rsidR="009F7E7C">
        <w:instrText xml:space="preserve"> ADDIN EN.CITE &lt;EndNote&gt;&lt;Cite&gt;&lt;Author&gt;Tomlin&lt;/Author&gt;&lt;Year&gt;2015&lt;/Year&gt;&lt;RecNum&gt;1041&lt;/RecNum&gt;&lt;DisplayText&gt;&lt;style face="superscript"&gt;21&lt;/style&gt;&lt;/DisplayText&gt;&lt;record&gt;&lt;rec-number&gt;1041&lt;/rec-number&gt;&lt;foreign-keys&gt;&lt;key app="EN" db-id="zxa00wf2opvf9oeeset50xz7ezpfwre2v20z"&gt;1041&lt;/key&gt;&lt;/foreign-keys&gt;&lt;ref-type name="Report"&gt;27&lt;/ref-type&gt;&lt;contributors&gt;&lt;authors&gt;&lt;author&gt;Tomlin, S., &lt;/author&gt;&lt;author&gt;Radomiljac, A.,&lt;/author&gt;&lt;author&gt;Kay, A. &lt;/author&gt;&lt;/authors&gt;&lt;secondary-authors&gt;&lt;author&gt;Department of Health, Western Australia.&lt;/author&gt;&lt;/secondary-authors&gt;&lt;/contributors&gt;&lt;titles&gt;&lt;title&gt;Health and wellbeing of children in Western Australia in 2014, overview and trends&lt;/title&gt;&lt;/titles&gt;&lt;dates&gt;&lt;year&gt;2015&lt;/year&gt;&lt;/dates&gt;&lt;pub-location&gt;Perth&lt;/pub-location&gt;&lt;publisher&gt;Department of Health, Western Australia&lt;/publisher&gt;&lt;urls&gt;&lt;related-urls&gt;&lt;url&gt;http://ww2.health.wa.gov.au/~/media/Files/Corporate/Reports%20and%20publications/Population%20surveys/Health-wellbeing-Children-WA-2014-OandT.ashx&lt;/url&gt;&lt;/related-urls&gt;&lt;/urls&gt;&lt;/record&gt;&lt;/Cite&gt;&lt;/EndNote&gt;</w:instrText>
      </w:r>
      <w:r w:rsidR="008E4A1B">
        <w:fldChar w:fldCharType="separate"/>
      </w:r>
      <w:r w:rsidR="009F7E7C" w:rsidRPr="009F7E7C">
        <w:rPr>
          <w:noProof/>
          <w:vertAlign w:val="superscript"/>
        </w:rPr>
        <w:t>21</w:t>
      </w:r>
      <w:r w:rsidR="008E4A1B">
        <w:fldChar w:fldCharType="end"/>
      </w:r>
      <w:r w:rsidR="0092223B">
        <w:t xml:space="preserve"> </w:t>
      </w:r>
    </w:p>
    <w:p w:rsidR="00DA1825" w:rsidRDefault="0092223B" w:rsidP="00CE2FEF">
      <w:pPr>
        <w:pStyle w:val="ListParagraph"/>
        <w:numPr>
          <w:ilvl w:val="0"/>
          <w:numId w:val="27"/>
        </w:numPr>
      </w:pPr>
      <w:r>
        <w:t xml:space="preserve">90% of people aged 16 years and over </w:t>
      </w:r>
      <w:r w:rsidR="006468EA">
        <w:t>do</w:t>
      </w:r>
      <w:r w:rsidR="008B25B1" w:rsidRPr="004C6B74">
        <w:t xml:space="preserve"> not consume the recommended servings of vegetables</w:t>
      </w:r>
      <w:r w:rsidR="008E4A1B">
        <w:fldChar w:fldCharType="begin"/>
      </w:r>
      <w:r w:rsidR="009F7E7C">
        <w:instrText xml:space="preserve"> ADDIN EN.CITE &lt;EndNote&gt;&lt;Cite&gt;&lt;Author&gt;Epidemiology Branch&lt;/Author&gt;&lt;Year&gt;2016&lt;/Year&gt;&lt;RecNum&gt;970&lt;/RecNum&gt;&lt;DisplayText&gt;&lt;style face="superscript"&gt;22&lt;/style&gt;&lt;/DisplayText&gt;&lt;record&gt;&lt;rec-number&gt;970&lt;/rec-number&gt;&lt;foreign-keys&gt;&lt;key app="EN" db-id="zxa00wf2opvf9oeeset50xz7ezpfwre2v20z"&gt;970&lt;/key&gt;&lt;/foreign-keys&gt;&lt;ref-type name="Report"&gt;27&lt;/ref-type&gt;&lt;contributors&gt;&lt;authors&gt;&lt;author&gt;Epidemiology Branch,&lt;/author&gt;&lt;/authors&gt;&lt;/contributors&gt;&lt;titles&gt;&lt;title&gt;Lifestyle risk factor and chronic health condition information for WA children and adults, 2002–15, HWSS&lt;/title&gt;&lt;/titles&gt;&lt;dates&gt;&lt;year&gt;2016&lt;/year&gt;&lt;/dates&gt;&lt;pub-location&gt;Perth&lt;/pub-location&gt;&lt;publisher&gt;Department of Health, Western Australia&lt;/publisher&gt;&lt;urls&gt;&lt;/urls&gt;&lt;/record&gt;&lt;/Cite&gt;&lt;/EndNote&gt;</w:instrText>
      </w:r>
      <w:r w:rsidR="008E4A1B">
        <w:fldChar w:fldCharType="separate"/>
      </w:r>
      <w:r w:rsidR="009F7E7C" w:rsidRPr="009F7E7C">
        <w:rPr>
          <w:noProof/>
          <w:vertAlign w:val="superscript"/>
        </w:rPr>
        <w:t>22</w:t>
      </w:r>
      <w:r w:rsidR="008E4A1B">
        <w:fldChar w:fldCharType="end"/>
      </w:r>
      <w:r w:rsidR="008B25B1" w:rsidRPr="004C6B74">
        <w:t xml:space="preserve"> </w:t>
      </w:r>
    </w:p>
    <w:p w:rsidR="00DA1825" w:rsidRDefault="006310C7" w:rsidP="00CE2FEF">
      <w:pPr>
        <w:pStyle w:val="ListParagraph"/>
        <w:numPr>
          <w:ilvl w:val="0"/>
          <w:numId w:val="27"/>
        </w:numPr>
      </w:pPr>
      <w:r>
        <w:t>s</w:t>
      </w:r>
      <w:r w:rsidR="008B25B1" w:rsidRPr="002542C2">
        <w:t>moking rates among Aboriginal</w:t>
      </w:r>
      <w:r w:rsidR="008B25B1" w:rsidRPr="00FD52B1">
        <w:t xml:space="preserve"> people </w:t>
      </w:r>
      <w:r w:rsidR="008B25B1">
        <w:t>remain high at 43%</w:t>
      </w:r>
      <w:r w:rsidR="008E4A1B">
        <w:fldChar w:fldCharType="begin"/>
      </w:r>
      <w:r w:rsidR="00C21325">
        <w:instrText xml:space="preserve"> ADDIN EN.CITE &lt;EndNote&gt;&lt;Cite&gt;&lt;Author&gt;Australian Institute of Health and Welfare&lt;/Author&gt;&lt;Year&gt;2015&lt;/Year&gt;&lt;RecNum&gt;119&lt;/RecNum&gt;&lt;DisplayText&gt;&lt;style face="superscript"&gt;11&lt;/style&gt;&lt;/DisplayText&gt;&lt;record&gt;&lt;rec-number&gt;119&lt;/rec-number&gt;&lt;foreign-keys&gt;&lt;key app="EN" db-id="zxa00wf2opvf9oeeset50xz7ezpfwre2v20z"&gt;119&lt;/key&gt;&lt;/foreign-keys&gt;&lt;ref-type name="Report"&gt;27&lt;/ref-type&gt;&lt;contributors&gt;&lt;authors&gt;&lt;author&gt;Australian Institute of Health and Welfare,&lt;/author&gt;&lt;/authors&gt;&lt;/contributors&gt;&lt;titles&gt;&lt;title&gt;Aboriginal and Torres Strait Islander Health Performance Framework&lt;/title&gt;&lt;/titles&gt;&lt;dates&gt;&lt;year&gt;2015&lt;/year&gt;&lt;/dates&gt;&lt;pub-location&gt;Canberra&lt;/pub-location&gt;&lt;publisher&gt;Australian Institute of Health and Welfare&lt;/publisher&gt;&lt;urls&gt;&lt;related-urls&gt;&lt;url&gt;http://www.health.gov.au/indigenous-hpf&lt;/url&gt;&lt;/related-urls&gt;&lt;/urls&gt;&lt;/record&gt;&lt;/Cite&gt;&lt;/EndNote&gt;</w:instrText>
      </w:r>
      <w:r w:rsidR="008E4A1B">
        <w:fldChar w:fldCharType="separate"/>
      </w:r>
      <w:r w:rsidR="00C21325" w:rsidRPr="00C21325">
        <w:rPr>
          <w:noProof/>
          <w:vertAlign w:val="superscript"/>
        </w:rPr>
        <w:t>11</w:t>
      </w:r>
      <w:r w:rsidR="008E4A1B">
        <w:fldChar w:fldCharType="end"/>
      </w:r>
      <w:r w:rsidR="00E25BFF">
        <w:t xml:space="preserve"> </w:t>
      </w:r>
    </w:p>
    <w:p w:rsidR="00E97177" w:rsidRDefault="00135205" w:rsidP="00CE2FEF">
      <w:pPr>
        <w:pStyle w:val="ListParagraph"/>
        <w:numPr>
          <w:ilvl w:val="0"/>
          <w:numId w:val="27"/>
        </w:numPr>
      </w:pPr>
      <w:r>
        <w:t xml:space="preserve">28% of adults in WA </w:t>
      </w:r>
      <w:r w:rsidR="002E3571">
        <w:t>drink at levels considered high</w:t>
      </w:r>
      <w:r w:rsidR="00C072AB">
        <w:t xml:space="preserve"> </w:t>
      </w:r>
      <w:r w:rsidR="002E3571">
        <w:t xml:space="preserve">risk for long-term harm, and </w:t>
      </w:r>
      <w:r w:rsidR="003F594B">
        <w:t xml:space="preserve">10% </w:t>
      </w:r>
      <w:r w:rsidR="00C072AB">
        <w:t>drink</w:t>
      </w:r>
      <w:r w:rsidR="003F594B">
        <w:t xml:space="preserve"> at levels considered high </w:t>
      </w:r>
      <w:r w:rsidR="00C072AB">
        <w:t>risk</w:t>
      </w:r>
      <w:r w:rsidR="003F594B">
        <w:t xml:space="preserve"> for short-term alcohol-related harm</w:t>
      </w:r>
      <w:r w:rsidR="00C072AB">
        <w:fldChar w:fldCharType="begin"/>
      </w:r>
      <w:r w:rsidR="00C072AB">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C072AB">
        <w:fldChar w:fldCharType="separate"/>
      </w:r>
      <w:r w:rsidR="00C072AB" w:rsidRPr="00C072AB">
        <w:rPr>
          <w:noProof/>
          <w:vertAlign w:val="superscript"/>
        </w:rPr>
        <w:t>20</w:t>
      </w:r>
      <w:r w:rsidR="00C072AB">
        <w:fldChar w:fldCharType="end"/>
      </w:r>
    </w:p>
    <w:p w:rsidR="008B25B1" w:rsidRPr="00DA1825" w:rsidRDefault="006310C7" w:rsidP="00CE2FEF">
      <w:pPr>
        <w:pStyle w:val="ListParagraph"/>
        <w:numPr>
          <w:ilvl w:val="0"/>
          <w:numId w:val="27"/>
        </w:numPr>
        <w:rPr>
          <w:lang w:val="en-AU"/>
        </w:rPr>
      </w:pPr>
      <w:r>
        <w:t>d</w:t>
      </w:r>
      <w:r w:rsidR="00E25BFF">
        <w:t xml:space="preserve">rowning </w:t>
      </w:r>
      <w:r w:rsidR="006468EA">
        <w:t>i</w:t>
      </w:r>
      <w:r w:rsidR="00637C01">
        <w:t>s</w:t>
      </w:r>
      <w:r w:rsidR="00E25BFF">
        <w:t xml:space="preserve"> still the leading cause of preventable death for 0–4 year-olds</w:t>
      </w:r>
      <w:r w:rsidR="008E4A1B">
        <w:fldChar w:fldCharType="begin"/>
      </w:r>
      <w:r w:rsidR="009F7E7C">
        <w:instrText xml:space="preserve"> ADDIN EN.CITE &lt;EndNote&gt;&lt;Cite&gt;&lt;Author&gt;Royal Life Saving Society&lt;/Author&gt;&lt;Year&gt;2015&lt;/Year&gt;&lt;RecNum&gt;702&lt;/RecNum&gt;&lt;DisplayText&gt;&lt;style face="superscript"&gt;23&lt;/style&gt;&lt;/DisplayText&gt;&lt;record&gt;&lt;rec-number&gt;702&lt;/rec-number&gt;&lt;foreign-keys&gt;&lt;key app="EN" db-id="zxa00wf2opvf9oeeset50xz7ezpfwre2v20z"&gt;702&lt;/key&gt;&lt;/foreign-keys&gt;&lt;ref-type name="Report"&gt;27&lt;/ref-type&gt;&lt;contributors&gt;&lt;authors&gt;&lt;author&gt;Royal Life Saving Society,&lt;/author&gt;&lt;author&gt;Western Australia,&lt;/author&gt;&lt;author&gt;and Department of Health,&lt;/author&gt;&lt;author&gt;Western Australia,&lt;/author&gt;&lt;/authors&gt;&lt;/contributors&gt;&lt;titles&gt;&lt;title&gt;A 10-year analysis of drowning in toddlers aged 0–4 years in Western Australia (2003/4 to 2012/13)&lt;/title&gt;&lt;/titles&gt;&lt;dates&gt;&lt;year&gt;2015&lt;/year&gt;&lt;/dates&gt;&lt;pub-location&gt;Perth&lt;/pub-location&gt;&lt;publisher&gt;Royal Life Saving Society Western Australia&lt;/publisher&gt;&lt;urls&gt;&lt;related-urls&gt;&lt;url&gt;http://www.lifesavingwa.com.au/~/media/files/rlsswa/research-and-reports/a10yearanalysisofdrowningintoddlersaged0-4.pdf?la=en&lt;/url&gt;&lt;/related-urls&gt;&lt;/urls&gt;&lt;/record&gt;&lt;/Cite&gt;&lt;/EndNote&gt;</w:instrText>
      </w:r>
      <w:r w:rsidR="008E4A1B">
        <w:fldChar w:fldCharType="separate"/>
      </w:r>
      <w:r w:rsidR="009F7E7C" w:rsidRPr="009F7E7C">
        <w:rPr>
          <w:noProof/>
          <w:vertAlign w:val="superscript"/>
        </w:rPr>
        <w:t>23</w:t>
      </w:r>
      <w:r w:rsidR="008E4A1B">
        <w:fldChar w:fldCharType="end"/>
      </w:r>
    </w:p>
    <w:p w:rsidR="008B25B1" w:rsidRDefault="008B25B1" w:rsidP="008B25B1">
      <w:pPr>
        <w:rPr>
          <w:lang w:val="en-AU"/>
        </w:rPr>
      </w:pPr>
    </w:p>
    <w:p w:rsidR="00B14DBB" w:rsidRDefault="004008B5" w:rsidP="00823AA2">
      <w:r>
        <w:t>The WA HPSF supports complementary t</w:t>
      </w:r>
      <w:r w:rsidR="007C24B7">
        <w:t>argeted approaches to assist populations with a high</w:t>
      </w:r>
      <w:r w:rsidR="004C0B35">
        <w:t>er</w:t>
      </w:r>
      <w:r w:rsidR="007C24B7">
        <w:t xml:space="preserve"> prevalence </w:t>
      </w:r>
      <w:r w:rsidR="00587A0B">
        <w:t>of risk factors for chronic disease</w:t>
      </w:r>
      <w:r w:rsidR="00263A87">
        <w:t xml:space="preserve"> and injury</w:t>
      </w:r>
      <w:r>
        <w:t>.</w:t>
      </w:r>
    </w:p>
    <w:p w:rsidR="00C62D86" w:rsidRDefault="00C62D86">
      <w:pPr>
        <w:widowControl/>
        <w:spacing w:after="200" w:line="276" w:lineRule="auto"/>
      </w:pPr>
    </w:p>
    <w:p w:rsidR="00F77FD5" w:rsidRPr="00BA10DA" w:rsidRDefault="00FE3ED8" w:rsidP="00EA1976">
      <w:pPr>
        <w:pStyle w:val="Heading2"/>
      </w:pPr>
      <w:bookmarkStart w:id="8" w:name="_Toc462049308"/>
      <w:r w:rsidRPr="00BA10DA">
        <w:t>1.</w:t>
      </w:r>
      <w:r w:rsidR="00DC3955">
        <w:t xml:space="preserve">4 </w:t>
      </w:r>
      <w:r w:rsidRPr="00BA10DA">
        <w:t xml:space="preserve"> </w:t>
      </w:r>
      <w:r w:rsidR="00F77FD5" w:rsidRPr="00BA10DA">
        <w:t xml:space="preserve">Who </w:t>
      </w:r>
      <w:r w:rsidR="00DC3955">
        <w:t>can</w:t>
      </w:r>
      <w:r w:rsidR="00F77FD5" w:rsidRPr="00BA10DA">
        <w:t xml:space="preserve"> use the </w:t>
      </w:r>
      <w:r w:rsidR="001F0482" w:rsidRPr="001F0482">
        <w:rPr>
          <w:i/>
        </w:rPr>
        <w:t xml:space="preserve">WA </w:t>
      </w:r>
      <w:r w:rsidR="00F77FD5" w:rsidRPr="001F0482">
        <w:rPr>
          <w:i/>
        </w:rPr>
        <w:t>Health</w:t>
      </w:r>
      <w:r w:rsidR="00F77FD5" w:rsidRPr="00206C87">
        <w:rPr>
          <w:i/>
        </w:rPr>
        <w:t xml:space="preserve"> Promotion Strategic Framework</w:t>
      </w:r>
      <w:r w:rsidR="00F77FD5" w:rsidRPr="00BA10DA">
        <w:t>?</w:t>
      </w:r>
      <w:bookmarkEnd w:id="8"/>
    </w:p>
    <w:p w:rsidR="00FE3ED8" w:rsidRDefault="00FE3ED8" w:rsidP="00823AA2"/>
    <w:p w:rsidR="00CC52AB" w:rsidRDefault="001428B4" w:rsidP="00823AA2">
      <w:r w:rsidRPr="00C2221F">
        <w:t xml:space="preserve">The </w:t>
      </w:r>
      <w:r w:rsidR="00B32B96" w:rsidRPr="00C2221F">
        <w:t xml:space="preserve">WA </w:t>
      </w:r>
      <w:r w:rsidRPr="00C2221F">
        <w:t xml:space="preserve">HPSF has been developed </w:t>
      </w:r>
      <w:r w:rsidR="00622DB2">
        <w:t xml:space="preserve">primarily for use by WA Health, but it </w:t>
      </w:r>
      <w:r w:rsidR="00397FA6">
        <w:t xml:space="preserve">is </w:t>
      </w:r>
      <w:r w:rsidR="001B64C4">
        <w:t xml:space="preserve">anticipated that </w:t>
      </w:r>
      <w:r w:rsidR="000730C3">
        <w:t xml:space="preserve">the </w:t>
      </w:r>
      <w:r w:rsidR="005D4CB3">
        <w:t>document will</w:t>
      </w:r>
      <w:r w:rsidR="001B64C4">
        <w:t xml:space="preserve"> be useful for </w:t>
      </w:r>
      <w:r w:rsidR="000D2A1C">
        <w:t xml:space="preserve">all </w:t>
      </w:r>
      <w:r w:rsidRPr="00C2221F">
        <w:t>agencies and</w:t>
      </w:r>
      <w:r w:rsidRPr="007A229B">
        <w:rPr>
          <w:lang w:val="en-AU"/>
        </w:rPr>
        <w:t xml:space="preserve"> organisations</w:t>
      </w:r>
      <w:r w:rsidRPr="00C2221F">
        <w:t xml:space="preserve"> with an interest in promoting better health in WA</w:t>
      </w:r>
      <w:r w:rsidR="00397FA6">
        <w:t xml:space="preserve">, particularly </w:t>
      </w:r>
      <w:r w:rsidR="0021142D">
        <w:t>those which work in partnership with Government</w:t>
      </w:r>
      <w:r w:rsidR="004F71AB">
        <w:t>. W</w:t>
      </w:r>
      <w:r w:rsidR="00CC52AB" w:rsidRPr="00C2221F">
        <w:t>orking to prevent</w:t>
      </w:r>
      <w:r w:rsidR="003A2675">
        <w:t xml:space="preserve"> disease and improve health</w:t>
      </w:r>
      <w:r w:rsidR="00CC52AB" w:rsidRPr="00C2221F">
        <w:t xml:space="preserve"> is a shared responsibility</w:t>
      </w:r>
      <w:r w:rsidR="003C749D" w:rsidRPr="00C2221F">
        <w:t>, and influencing the wider determinants of health to achieve</w:t>
      </w:r>
      <w:r w:rsidRPr="00C2221F">
        <w:t xml:space="preserve"> a healthier WA will require the involvem</w:t>
      </w:r>
      <w:r w:rsidR="00CC52AB" w:rsidRPr="00C2221F">
        <w:t>ent of many partners,</w:t>
      </w:r>
      <w:r w:rsidR="00444360">
        <w:t xml:space="preserve"> including:</w:t>
      </w:r>
    </w:p>
    <w:p w:rsidR="00444360" w:rsidRPr="00C2221F" w:rsidRDefault="00444360" w:rsidP="00823AA2"/>
    <w:p w:rsidR="00CC52AB" w:rsidRDefault="001F0482" w:rsidP="00823AA2">
      <w:pPr>
        <w:pStyle w:val="ListParagraph"/>
        <w:numPr>
          <w:ilvl w:val="0"/>
          <w:numId w:val="3"/>
        </w:numPr>
      </w:pPr>
      <w:r>
        <w:t>g</w:t>
      </w:r>
      <w:r w:rsidR="001428B4" w:rsidRPr="00C2221F">
        <w:t>ove</w:t>
      </w:r>
      <w:r w:rsidR="00CC52AB" w:rsidRPr="00C2221F">
        <w:t>rnment departments and agencies</w:t>
      </w:r>
      <w:r w:rsidR="001428B4" w:rsidRPr="00C2221F">
        <w:t xml:space="preserve"> </w:t>
      </w:r>
    </w:p>
    <w:p w:rsidR="0006280F" w:rsidRPr="00C2221F" w:rsidRDefault="0006280F" w:rsidP="00823AA2">
      <w:pPr>
        <w:pStyle w:val="ListParagraph"/>
        <w:numPr>
          <w:ilvl w:val="0"/>
          <w:numId w:val="3"/>
        </w:numPr>
      </w:pPr>
      <w:r>
        <w:t>local governments</w:t>
      </w:r>
    </w:p>
    <w:p w:rsidR="00CC52AB" w:rsidRPr="00C2221F" w:rsidRDefault="00CC52AB" w:rsidP="00823AA2">
      <w:pPr>
        <w:pStyle w:val="ListParagraph"/>
        <w:numPr>
          <w:ilvl w:val="0"/>
          <w:numId w:val="3"/>
        </w:numPr>
      </w:pPr>
      <w:r w:rsidRPr="00C2221F">
        <w:t>non-government organisations</w:t>
      </w:r>
    </w:p>
    <w:p w:rsidR="00CC52AB" w:rsidRPr="00C2221F" w:rsidRDefault="001428B4" w:rsidP="00823AA2">
      <w:pPr>
        <w:pStyle w:val="ListParagraph"/>
        <w:numPr>
          <w:ilvl w:val="0"/>
          <w:numId w:val="3"/>
        </w:numPr>
      </w:pPr>
      <w:r w:rsidRPr="00C2221F">
        <w:t>profession</w:t>
      </w:r>
      <w:r w:rsidR="00CC52AB" w:rsidRPr="00C2221F">
        <w:t xml:space="preserve">al and voluntary </w:t>
      </w:r>
      <w:r w:rsidR="0042370C" w:rsidRPr="00C2221F">
        <w:t>organisations</w:t>
      </w:r>
    </w:p>
    <w:p w:rsidR="00F77FD5" w:rsidRPr="00C2221F" w:rsidRDefault="001428B4" w:rsidP="00823AA2">
      <w:pPr>
        <w:pStyle w:val="ListParagraph"/>
        <w:numPr>
          <w:ilvl w:val="0"/>
          <w:numId w:val="3"/>
        </w:numPr>
      </w:pPr>
      <w:r w:rsidRPr="00C2221F">
        <w:t>tr</w:t>
      </w:r>
      <w:r w:rsidR="00CC52AB" w:rsidRPr="00C2221F">
        <w:t>ade and industry groups</w:t>
      </w:r>
    </w:p>
    <w:p w:rsidR="00CC52AB" w:rsidRPr="00C2221F" w:rsidRDefault="00CC52AB" w:rsidP="00823AA2">
      <w:pPr>
        <w:pStyle w:val="ListParagraph"/>
        <w:numPr>
          <w:ilvl w:val="0"/>
          <w:numId w:val="3"/>
        </w:numPr>
      </w:pPr>
      <w:r w:rsidRPr="00C2221F">
        <w:t>educational bodies</w:t>
      </w:r>
    </w:p>
    <w:p w:rsidR="00CC52AB" w:rsidRPr="00C2221F" w:rsidRDefault="00CC52AB" w:rsidP="00823AA2">
      <w:pPr>
        <w:pStyle w:val="ListParagraph"/>
        <w:numPr>
          <w:ilvl w:val="0"/>
          <w:numId w:val="3"/>
        </w:numPr>
      </w:pPr>
      <w:r w:rsidRPr="00C2221F">
        <w:t>public and private sector workplaces</w:t>
      </w:r>
    </w:p>
    <w:p w:rsidR="00CC52AB" w:rsidRPr="00C2221F" w:rsidRDefault="00CC52AB" w:rsidP="00823AA2">
      <w:pPr>
        <w:pStyle w:val="ListParagraph"/>
        <w:numPr>
          <w:ilvl w:val="0"/>
          <w:numId w:val="3"/>
        </w:numPr>
      </w:pPr>
      <w:r w:rsidRPr="00C2221F">
        <w:t>health professionals</w:t>
      </w:r>
    </w:p>
    <w:p w:rsidR="00CC52AB" w:rsidRPr="00C2221F" w:rsidRDefault="00CC52AB" w:rsidP="00823AA2">
      <w:pPr>
        <w:pStyle w:val="ListParagraph"/>
        <w:numPr>
          <w:ilvl w:val="0"/>
          <w:numId w:val="3"/>
        </w:numPr>
      </w:pPr>
      <w:r w:rsidRPr="00C2221F">
        <w:t>community groups</w:t>
      </w:r>
    </w:p>
    <w:p w:rsidR="00CC52AB" w:rsidRPr="00C2221F" w:rsidRDefault="00CC52AB" w:rsidP="00823AA2">
      <w:pPr>
        <w:pStyle w:val="ListParagraph"/>
        <w:numPr>
          <w:ilvl w:val="0"/>
          <w:numId w:val="3"/>
        </w:numPr>
      </w:pPr>
      <w:r w:rsidRPr="00C2221F">
        <w:t>the general public</w:t>
      </w:r>
    </w:p>
    <w:p w:rsidR="00CC52AB" w:rsidRDefault="00CC52AB" w:rsidP="00823AA2">
      <w:pPr>
        <w:pStyle w:val="ListParagraph"/>
        <w:numPr>
          <w:ilvl w:val="0"/>
          <w:numId w:val="3"/>
        </w:numPr>
      </w:pPr>
      <w:r w:rsidRPr="00C2221F">
        <w:t>the media</w:t>
      </w:r>
    </w:p>
    <w:p w:rsidR="0037548C" w:rsidRDefault="0037548C" w:rsidP="00823AA2"/>
    <w:p w:rsidR="0037548C" w:rsidRDefault="0037548C" w:rsidP="00823AA2">
      <w:pPr>
        <w:rPr>
          <w:position w:val="8"/>
          <w:sz w:val="14"/>
          <w:szCs w:val="14"/>
        </w:rPr>
      </w:pPr>
      <w:r w:rsidRPr="0037548C">
        <w:t xml:space="preserve">Each of these groups has the </w:t>
      </w:r>
      <w:r w:rsidR="00112C70">
        <w:t>capacity</w:t>
      </w:r>
      <w:r w:rsidRPr="0037548C">
        <w:t xml:space="preserve"> to contribute to better health </w:t>
      </w:r>
      <w:r w:rsidR="008B25B1">
        <w:t xml:space="preserve">across the community </w:t>
      </w:r>
      <w:r w:rsidRPr="0037548C">
        <w:t xml:space="preserve">and many </w:t>
      </w:r>
      <w:r w:rsidR="008B25B1">
        <w:t xml:space="preserve">of these groups </w:t>
      </w:r>
      <w:r w:rsidRPr="0037548C">
        <w:t xml:space="preserve">are already </w:t>
      </w:r>
      <w:r w:rsidR="008B25B1">
        <w:t xml:space="preserve">taking action </w:t>
      </w:r>
      <w:r w:rsidR="003A2476">
        <w:t>that will</w:t>
      </w:r>
      <w:r w:rsidR="008B25B1">
        <w:t xml:space="preserve"> improve the health of </w:t>
      </w:r>
      <w:r w:rsidR="00DB0DBE">
        <w:t>Western Australians</w:t>
      </w:r>
      <w:r w:rsidRPr="0037548C">
        <w:t>.</w:t>
      </w:r>
      <w:r>
        <w:rPr>
          <w:position w:val="8"/>
          <w:sz w:val="14"/>
          <w:szCs w:val="14"/>
        </w:rPr>
        <w:t xml:space="preserve"> </w:t>
      </w:r>
    </w:p>
    <w:p w:rsidR="003625EE" w:rsidRPr="00407C65" w:rsidRDefault="003625EE" w:rsidP="00823AA2">
      <w:pPr>
        <w:rPr>
          <w:position w:val="8"/>
        </w:rPr>
      </w:pPr>
    </w:p>
    <w:p w:rsidR="003625EE" w:rsidRDefault="003625EE" w:rsidP="003625EE">
      <w:r>
        <w:t xml:space="preserve">As previously, the WA HPSF sets broad strategic priorities to achieve the greatest health gains for the </w:t>
      </w:r>
      <w:r w:rsidR="00213A65">
        <w:t>Western Australian</w:t>
      </w:r>
      <w:r>
        <w:t xml:space="preserve"> population. Decisions regarding appropriate interventions wi</w:t>
      </w:r>
      <w:r w:rsidR="000C70F8">
        <w:t xml:space="preserve">ll differ between organisations </w:t>
      </w:r>
      <w:r>
        <w:t>and settings, depending on their responsibilities and priorities.</w:t>
      </w:r>
    </w:p>
    <w:p w:rsidR="003625EE" w:rsidRPr="00407C65" w:rsidRDefault="003625EE">
      <w:pPr>
        <w:widowControl/>
        <w:spacing w:after="200" w:line="276" w:lineRule="auto"/>
        <w:rPr>
          <w:position w:val="8"/>
        </w:rPr>
      </w:pPr>
    </w:p>
    <w:p w:rsidR="00476048" w:rsidRPr="00931BE9" w:rsidRDefault="00155D80" w:rsidP="000042A7">
      <w:pPr>
        <w:rPr>
          <w:rFonts w:eastAsia="Arial"/>
          <w:b/>
          <w:color w:val="808080" w:themeColor="background1" w:themeShade="80"/>
        </w:rPr>
      </w:pPr>
      <w:r w:rsidRPr="00931BE9">
        <w:rPr>
          <w:rFonts w:eastAsiaTheme="majorEastAsia"/>
          <w:b/>
          <w:color w:val="808080" w:themeColor="background1" w:themeShade="80"/>
          <w:sz w:val="32"/>
          <w:szCs w:val="32"/>
        </w:rPr>
        <w:lastRenderedPageBreak/>
        <w:t xml:space="preserve">The </w:t>
      </w:r>
      <w:r w:rsidR="00410BCE" w:rsidRPr="00931BE9">
        <w:rPr>
          <w:rFonts w:eastAsiaTheme="majorEastAsia"/>
          <w:b/>
          <w:color w:val="808080" w:themeColor="background1" w:themeShade="80"/>
          <w:sz w:val="32"/>
          <w:szCs w:val="32"/>
        </w:rPr>
        <w:t xml:space="preserve">WA </w:t>
      </w:r>
      <w:r w:rsidRPr="00931BE9">
        <w:rPr>
          <w:rFonts w:eastAsiaTheme="majorEastAsia"/>
          <w:b/>
          <w:i/>
          <w:color w:val="808080" w:themeColor="background1" w:themeShade="80"/>
          <w:sz w:val="32"/>
          <w:szCs w:val="32"/>
        </w:rPr>
        <w:t>Public Health Act 201</w:t>
      </w:r>
      <w:r w:rsidR="00B8159F" w:rsidRPr="00931BE9">
        <w:rPr>
          <w:rFonts w:eastAsiaTheme="majorEastAsia"/>
          <w:b/>
          <w:i/>
          <w:color w:val="808080" w:themeColor="background1" w:themeShade="80"/>
          <w:sz w:val="32"/>
          <w:szCs w:val="32"/>
        </w:rPr>
        <w:t>6</w:t>
      </w:r>
    </w:p>
    <w:p w:rsidR="00476048" w:rsidRPr="00476048" w:rsidRDefault="00476048" w:rsidP="00476048">
      <w:pPr>
        <w:rPr>
          <w:position w:val="8"/>
        </w:rPr>
      </w:pPr>
    </w:p>
    <w:p w:rsidR="007A1006" w:rsidRPr="00C84C8F" w:rsidRDefault="005671B8" w:rsidP="00D27D55">
      <w:pPr>
        <w:widowControl/>
        <w:spacing w:after="200"/>
        <w:rPr>
          <w:position w:val="8"/>
        </w:rPr>
      </w:pPr>
      <w:r w:rsidRPr="00C84C8F">
        <w:rPr>
          <w:position w:val="8"/>
        </w:rPr>
        <w:t xml:space="preserve">The </w:t>
      </w:r>
      <w:r w:rsidR="00410BCE" w:rsidRPr="00C84C8F">
        <w:rPr>
          <w:position w:val="8"/>
        </w:rPr>
        <w:t xml:space="preserve">WA </w:t>
      </w:r>
      <w:r w:rsidRPr="00C84C8F">
        <w:rPr>
          <w:i/>
          <w:position w:val="8"/>
        </w:rPr>
        <w:t xml:space="preserve">Public Health </w:t>
      </w:r>
      <w:r w:rsidR="00C7054D" w:rsidRPr="00C84C8F">
        <w:rPr>
          <w:i/>
          <w:position w:val="8"/>
        </w:rPr>
        <w:t>Bill</w:t>
      </w:r>
      <w:r w:rsidRPr="00C84C8F">
        <w:rPr>
          <w:i/>
          <w:position w:val="8"/>
        </w:rPr>
        <w:t xml:space="preserve"> 201</w:t>
      </w:r>
      <w:r w:rsidR="00E931D5" w:rsidRPr="00C84C8F">
        <w:rPr>
          <w:i/>
          <w:position w:val="8"/>
        </w:rPr>
        <w:t>4</w:t>
      </w:r>
      <w:r w:rsidR="007A1006" w:rsidRPr="00C84C8F">
        <w:rPr>
          <w:position w:val="8"/>
        </w:rPr>
        <w:t xml:space="preserve"> </w:t>
      </w:r>
      <w:r w:rsidRPr="00C84C8F">
        <w:rPr>
          <w:position w:val="8"/>
        </w:rPr>
        <w:t xml:space="preserve">was passed by the </w:t>
      </w:r>
      <w:r w:rsidR="005D7A02" w:rsidRPr="00C84C8F">
        <w:rPr>
          <w:position w:val="8"/>
        </w:rPr>
        <w:t xml:space="preserve">State </w:t>
      </w:r>
      <w:r w:rsidRPr="00C84C8F">
        <w:rPr>
          <w:position w:val="8"/>
        </w:rPr>
        <w:t xml:space="preserve">Government </w:t>
      </w:r>
      <w:r w:rsidR="00872F63" w:rsidRPr="00C84C8F">
        <w:rPr>
          <w:position w:val="8"/>
        </w:rPr>
        <w:t>in June 2016</w:t>
      </w:r>
      <w:r w:rsidR="00C84C8F" w:rsidRPr="00C84C8F">
        <w:rPr>
          <w:position w:val="8"/>
        </w:rPr>
        <w:t xml:space="preserve"> </w:t>
      </w:r>
      <w:r w:rsidR="00C84C8F" w:rsidRPr="002464E3">
        <w:rPr>
          <w:position w:val="8"/>
        </w:rPr>
        <w:t>and received Royal Assent on 25 July 2016</w:t>
      </w:r>
      <w:r w:rsidR="00410BCE" w:rsidRPr="002464E3">
        <w:rPr>
          <w:position w:val="8"/>
        </w:rPr>
        <w:t xml:space="preserve">. </w:t>
      </w:r>
      <w:r w:rsidR="00410BCE" w:rsidRPr="00C84C8F">
        <w:rPr>
          <w:position w:val="8"/>
        </w:rPr>
        <w:t xml:space="preserve">The new </w:t>
      </w:r>
      <w:r w:rsidR="000609E7" w:rsidRPr="00C84C8F">
        <w:rPr>
          <w:position w:val="8"/>
        </w:rPr>
        <w:t xml:space="preserve">legislation </w:t>
      </w:r>
      <w:r w:rsidR="00CB22DD" w:rsidRPr="00C84C8F">
        <w:rPr>
          <w:position w:val="8"/>
        </w:rPr>
        <w:t xml:space="preserve">repeals much of the </w:t>
      </w:r>
      <w:r w:rsidR="00A74E8D" w:rsidRPr="00C84C8F">
        <w:rPr>
          <w:position w:val="8"/>
        </w:rPr>
        <w:t>out</w:t>
      </w:r>
      <w:r w:rsidR="00A74E8D">
        <w:rPr>
          <w:position w:val="8"/>
        </w:rPr>
        <w:t>-</w:t>
      </w:r>
      <w:r w:rsidR="00A74E8D" w:rsidRPr="00C84C8F">
        <w:rPr>
          <w:position w:val="8"/>
        </w:rPr>
        <w:t>dated</w:t>
      </w:r>
      <w:r w:rsidR="00CB22DD" w:rsidRPr="00C84C8F">
        <w:rPr>
          <w:position w:val="8"/>
        </w:rPr>
        <w:t xml:space="preserve"> </w:t>
      </w:r>
      <w:r w:rsidR="00CB22DD" w:rsidRPr="00C84C8F">
        <w:rPr>
          <w:i/>
          <w:position w:val="8"/>
        </w:rPr>
        <w:t>Health Act 191</w:t>
      </w:r>
      <w:r w:rsidR="00CB22DD">
        <w:rPr>
          <w:i/>
          <w:position w:val="8"/>
        </w:rPr>
        <w:t xml:space="preserve">1 </w:t>
      </w:r>
      <w:r w:rsidR="00CB22DD">
        <w:rPr>
          <w:position w:val="8"/>
        </w:rPr>
        <w:t xml:space="preserve">and </w:t>
      </w:r>
      <w:r w:rsidR="000609E7" w:rsidRPr="00C84C8F">
        <w:rPr>
          <w:position w:val="8"/>
        </w:rPr>
        <w:t xml:space="preserve">takes a broader </w:t>
      </w:r>
      <w:r w:rsidR="007A1006" w:rsidRPr="00C84C8F">
        <w:rPr>
          <w:position w:val="8"/>
        </w:rPr>
        <w:t xml:space="preserve">approach to public health and the factors which determine health status </w:t>
      </w:r>
      <w:r w:rsidR="00973B9A" w:rsidRPr="00C84C8F">
        <w:rPr>
          <w:position w:val="8"/>
        </w:rPr>
        <w:t xml:space="preserve">(Box </w:t>
      </w:r>
      <w:r w:rsidR="000730C3" w:rsidRPr="00C84C8F">
        <w:rPr>
          <w:position w:val="8"/>
        </w:rPr>
        <w:t>3</w:t>
      </w:r>
      <w:r w:rsidR="00973B9A" w:rsidRPr="00C84C8F">
        <w:rPr>
          <w:position w:val="8"/>
        </w:rPr>
        <w:t>)</w:t>
      </w:r>
      <w:r w:rsidR="007A1006" w:rsidRPr="00C84C8F">
        <w:rPr>
          <w:position w:val="8"/>
        </w:rPr>
        <w:t>.</w:t>
      </w:r>
    </w:p>
    <w:p w:rsidR="00224561" w:rsidRDefault="007A1006" w:rsidP="00D27D55">
      <w:pPr>
        <w:widowControl/>
        <w:spacing w:after="200"/>
        <w:rPr>
          <w:position w:val="8"/>
        </w:rPr>
      </w:pPr>
      <w:r>
        <w:rPr>
          <w:position w:val="8"/>
        </w:rPr>
        <w:t xml:space="preserve">The </w:t>
      </w:r>
      <w:r w:rsidR="00447D2B">
        <w:rPr>
          <w:i/>
          <w:position w:val="8"/>
        </w:rPr>
        <w:t>Public Health Act 2016</w:t>
      </w:r>
      <w:r w:rsidR="00052EA3" w:rsidRPr="00907E13">
        <w:rPr>
          <w:position w:val="8"/>
        </w:rPr>
        <w:fldChar w:fldCharType="begin"/>
      </w:r>
      <w:r w:rsidR="009F7E7C">
        <w:rPr>
          <w:position w:val="8"/>
        </w:rPr>
        <w:instrText xml:space="preserve"> ADDIN EN.CITE &lt;EndNote&gt;&lt;Cite&gt;&lt;Author&gt;Parliament of Western Australia&lt;/Author&gt;&lt;Year&gt;2016&lt;/Year&gt;&lt;RecNum&gt;977&lt;/RecNum&gt;&lt;DisplayText&gt;&lt;style face="superscript"&gt;24&lt;/style&gt;&lt;/DisplayText&gt;&lt;record&gt;&lt;rec-number&gt;977&lt;/rec-number&gt;&lt;foreign-keys&gt;&lt;key app="EN" db-id="zxa00wf2opvf9oeeset50xz7ezpfwre2v20z"&gt;977&lt;/key&gt;&lt;/foreign-keys&gt;&lt;ref-type name="Report"&gt;27&lt;/ref-type&gt;&lt;contributors&gt;&lt;authors&gt;&lt;author&gt;Parliament of Western Australia,&lt;/author&gt;&lt;/authors&gt;&lt;/contributors&gt;&lt;titles&gt;&lt;title&gt;Public Health Act 2016&lt;/title&gt;&lt;/titles&gt;&lt;dates&gt;&lt;year&gt;2016&lt;/year&gt;&lt;/dates&gt;&lt;pub-location&gt;Perth&lt;/pub-location&gt;&lt;publisher&gt;Parliament of Western Australia&lt;/publisher&gt;&lt;urls&gt;&lt;related-urls&gt;&lt;url&gt;https://www.slp.wa.gov.au/legislation/statutes.nsf/main_mrtitle_13791_homepage.html&lt;/url&gt;&lt;/related-urls&gt;&lt;/urls&gt;&lt;/record&gt;&lt;/Cite&gt;&lt;/EndNote&gt;</w:instrText>
      </w:r>
      <w:r w:rsidR="00052EA3" w:rsidRPr="00907E13">
        <w:rPr>
          <w:position w:val="8"/>
        </w:rPr>
        <w:fldChar w:fldCharType="separate"/>
      </w:r>
      <w:r w:rsidR="009F7E7C" w:rsidRPr="009F7E7C">
        <w:rPr>
          <w:noProof/>
          <w:position w:val="8"/>
          <w:vertAlign w:val="superscript"/>
        </w:rPr>
        <w:t>24</w:t>
      </w:r>
      <w:r w:rsidR="00052EA3" w:rsidRPr="00907E13">
        <w:rPr>
          <w:position w:val="8"/>
        </w:rPr>
        <w:fldChar w:fldCharType="end"/>
      </w:r>
      <w:r w:rsidR="00447D2B" w:rsidRPr="00447D2B">
        <w:rPr>
          <w:position w:val="8"/>
        </w:rPr>
        <w:t xml:space="preserve"> </w:t>
      </w:r>
      <w:r w:rsidRPr="00447D2B">
        <w:rPr>
          <w:position w:val="8"/>
        </w:rPr>
        <w:t xml:space="preserve">requires </w:t>
      </w:r>
      <w:r>
        <w:rPr>
          <w:position w:val="8"/>
        </w:rPr>
        <w:t xml:space="preserve">the </w:t>
      </w:r>
      <w:r w:rsidR="008018CA">
        <w:rPr>
          <w:position w:val="8"/>
        </w:rPr>
        <w:t xml:space="preserve">State’s Chief Health Officer </w:t>
      </w:r>
      <w:r w:rsidR="002E5CD0">
        <w:rPr>
          <w:position w:val="8"/>
        </w:rPr>
        <w:t>to</w:t>
      </w:r>
      <w:r w:rsidR="002E698E">
        <w:rPr>
          <w:position w:val="8"/>
        </w:rPr>
        <w:t xml:space="preserve"> </w:t>
      </w:r>
      <w:r>
        <w:rPr>
          <w:position w:val="8"/>
        </w:rPr>
        <w:t xml:space="preserve">develop a </w:t>
      </w:r>
      <w:r w:rsidR="00326B8E">
        <w:rPr>
          <w:position w:val="8"/>
        </w:rPr>
        <w:t>P</w:t>
      </w:r>
      <w:r w:rsidR="005957B7">
        <w:rPr>
          <w:position w:val="8"/>
        </w:rPr>
        <w:t xml:space="preserve">ublic </w:t>
      </w:r>
      <w:r w:rsidR="00326B8E">
        <w:rPr>
          <w:position w:val="8"/>
        </w:rPr>
        <w:t>H</w:t>
      </w:r>
      <w:r w:rsidR="005957B7">
        <w:rPr>
          <w:position w:val="8"/>
        </w:rPr>
        <w:t xml:space="preserve">ealth </w:t>
      </w:r>
      <w:r w:rsidR="00326B8E">
        <w:rPr>
          <w:position w:val="8"/>
        </w:rPr>
        <w:t>P</w:t>
      </w:r>
      <w:r w:rsidR="005957B7">
        <w:rPr>
          <w:position w:val="8"/>
        </w:rPr>
        <w:t>lan</w:t>
      </w:r>
      <w:r w:rsidR="008018CA">
        <w:rPr>
          <w:position w:val="8"/>
        </w:rPr>
        <w:t xml:space="preserve"> which</w:t>
      </w:r>
      <w:r w:rsidR="002E698E">
        <w:rPr>
          <w:position w:val="8"/>
        </w:rPr>
        <w:t xml:space="preserve"> identifies the public health needs of the </w:t>
      </w:r>
      <w:r w:rsidR="003C1C2D">
        <w:rPr>
          <w:position w:val="8"/>
        </w:rPr>
        <w:t>S</w:t>
      </w:r>
      <w:r w:rsidR="002E698E">
        <w:rPr>
          <w:position w:val="8"/>
        </w:rPr>
        <w:t>tate</w:t>
      </w:r>
      <w:r w:rsidR="00662F4F">
        <w:rPr>
          <w:position w:val="8"/>
        </w:rPr>
        <w:t>; and</w:t>
      </w:r>
      <w:r w:rsidR="002E698E">
        <w:rPr>
          <w:position w:val="8"/>
        </w:rPr>
        <w:t xml:space="preserve"> establishes objectives and policy priorities for the promotion, improvement and protection of </w:t>
      </w:r>
      <w:r w:rsidR="00300D6D">
        <w:rPr>
          <w:position w:val="8"/>
        </w:rPr>
        <w:t>public</w:t>
      </w:r>
      <w:r w:rsidR="002E698E">
        <w:rPr>
          <w:position w:val="8"/>
        </w:rPr>
        <w:t xml:space="preserve"> health</w:t>
      </w:r>
      <w:r w:rsidR="00A5339A">
        <w:rPr>
          <w:position w:val="8"/>
        </w:rPr>
        <w:t xml:space="preserve">, </w:t>
      </w:r>
      <w:r w:rsidR="002E698E">
        <w:rPr>
          <w:position w:val="8"/>
        </w:rPr>
        <w:t xml:space="preserve">and the development and delivery of </w:t>
      </w:r>
      <w:r w:rsidR="00300D6D">
        <w:rPr>
          <w:position w:val="8"/>
        </w:rPr>
        <w:t>public</w:t>
      </w:r>
      <w:r w:rsidR="002E698E">
        <w:rPr>
          <w:position w:val="8"/>
        </w:rPr>
        <w:t xml:space="preserve"> health services in the State.</w:t>
      </w:r>
    </w:p>
    <w:p w:rsidR="00224561" w:rsidRPr="009E0A7C"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b/>
          <w:color w:val="808080" w:themeColor="background1" w:themeShade="80"/>
          <w:sz w:val="26"/>
          <w:szCs w:val="26"/>
        </w:rPr>
      </w:pPr>
      <w:r w:rsidRPr="009E0A7C">
        <w:rPr>
          <w:b/>
          <w:color w:val="808080" w:themeColor="background1" w:themeShade="80"/>
          <w:sz w:val="26"/>
          <w:szCs w:val="26"/>
        </w:rPr>
        <w:t xml:space="preserve">Box 3:  The </w:t>
      </w:r>
      <w:r w:rsidR="001E06A5">
        <w:rPr>
          <w:b/>
          <w:color w:val="808080" w:themeColor="background1" w:themeShade="80"/>
          <w:sz w:val="26"/>
          <w:szCs w:val="26"/>
        </w:rPr>
        <w:t xml:space="preserve">WA </w:t>
      </w:r>
      <w:r w:rsidRPr="009E0A7C">
        <w:rPr>
          <w:b/>
          <w:i/>
          <w:color w:val="808080" w:themeColor="background1" w:themeShade="80"/>
          <w:sz w:val="26"/>
          <w:szCs w:val="26"/>
        </w:rPr>
        <w:t>Public Health Act 2016</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808080" w:themeColor="background1" w:themeShade="80"/>
        </w:rPr>
      </w:pPr>
      <w:r w:rsidRPr="00931BE9">
        <w:rPr>
          <w:color w:val="808080" w:themeColor="background1" w:themeShade="80"/>
        </w:rPr>
        <w:t xml:space="preserve">The </w:t>
      </w:r>
      <w:r w:rsidRPr="00931BE9">
        <w:rPr>
          <w:i/>
          <w:color w:val="808080" w:themeColor="background1" w:themeShade="80"/>
        </w:rPr>
        <w:t>Public Health Act 2016</w:t>
      </w:r>
      <w:r w:rsidRPr="00931BE9">
        <w:rPr>
          <w:color w:val="808080" w:themeColor="background1" w:themeShade="80"/>
        </w:rPr>
        <w:fldChar w:fldCharType="begin"/>
      </w:r>
      <w:r w:rsidRPr="00931BE9">
        <w:rPr>
          <w:color w:val="808080" w:themeColor="background1" w:themeShade="80"/>
        </w:rPr>
        <w:instrText xml:space="preserve"> ADDIN EN.CITE &lt;EndNote&gt;&lt;Cite&gt;&lt;Author&gt;Parliament of Western Australia&lt;/Author&gt;&lt;Year&gt;2016&lt;/Year&gt;&lt;RecNum&gt;977&lt;/RecNum&gt;&lt;DisplayText&gt;&lt;style face="superscript"&gt;24&lt;/style&gt;&lt;/DisplayText&gt;&lt;record&gt;&lt;rec-number&gt;977&lt;/rec-number&gt;&lt;foreign-keys&gt;&lt;key app="EN" db-id="zxa00wf2opvf9oeeset50xz7ezpfwre2v20z"&gt;977&lt;/key&gt;&lt;/foreign-keys&gt;&lt;ref-type name="Report"&gt;27&lt;/ref-type&gt;&lt;contributors&gt;&lt;authors&gt;&lt;author&gt;Parliament of Western Australia,&lt;/author&gt;&lt;/authors&gt;&lt;/contributors&gt;&lt;titles&gt;&lt;title&gt;Public Health Act 2016&lt;/title&gt;&lt;/titles&gt;&lt;dates&gt;&lt;year&gt;2016&lt;/year&gt;&lt;/dates&gt;&lt;pub-location&gt;Perth&lt;/pub-location&gt;&lt;publisher&gt;Parliament of Western Australia&lt;/publisher&gt;&lt;urls&gt;&lt;related-urls&gt;&lt;url&gt;https://www.slp.wa.gov.au/legislation/statutes.nsf/main_mrtitle_13791_homepage.html&lt;/url&gt;&lt;/related-urls&gt;&lt;/urls&gt;&lt;/record&gt;&lt;/Cite&gt;&lt;/EndNote&gt;</w:instrText>
      </w:r>
      <w:r w:rsidRPr="00931BE9">
        <w:rPr>
          <w:color w:val="808080" w:themeColor="background1" w:themeShade="80"/>
        </w:rPr>
        <w:fldChar w:fldCharType="separate"/>
      </w:r>
      <w:r w:rsidRPr="00931BE9">
        <w:rPr>
          <w:noProof/>
          <w:color w:val="808080" w:themeColor="background1" w:themeShade="80"/>
          <w:vertAlign w:val="superscript"/>
        </w:rPr>
        <w:t>24</w:t>
      </w:r>
      <w:r w:rsidRPr="00931BE9">
        <w:rPr>
          <w:color w:val="808080" w:themeColor="background1" w:themeShade="80"/>
        </w:rPr>
        <w:fldChar w:fldCharType="end"/>
      </w:r>
      <w:r w:rsidRPr="00931BE9">
        <w:rPr>
          <w:color w:val="808080" w:themeColor="background1" w:themeShade="80"/>
        </w:rPr>
        <w:t xml:space="preserve"> is intended to </w:t>
      </w:r>
      <w:r w:rsidRPr="00931BE9">
        <w:rPr>
          <w:i/>
          <w:color w:val="808080" w:themeColor="background1" w:themeShade="80"/>
        </w:rPr>
        <w:t xml:space="preserve">protect, promote and improve the health and wellbeing of the public of Western Australia and to reduce the incidence of preventable illness, </w:t>
      </w:r>
      <w:r w:rsidRPr="00931BE9">
        <w:rPr>
          <w:color w:val="808080" w:themeColor="background1" w:themeShade="80"/>
        </w:rPr>
        <w:t>among other things.</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i/>
          <w:color w:val="808080" w:themeColor="background1" w:themeShade="80"/>
        </w:rPr>
      </w:pP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For the purposes of the Act, public health means the health of individuals in the context of—</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 xml:space="preserve">(a) the wider health and wellbeing of the community </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(b) the combination of safeguards, policies and programs designed to protect, maintain, promote and improve the</w:t>
      </w:r>
      <w:r w:rsidR="0099210E" w:rsidRPr="00931BE9">
        <w:rPr>
          <w:color w:val="808080" w:themeColor="background1" w:themeShade="80"/>
        </w:rPr>
        <w:t xml:space="preserve"> </w:t>
      </w:r>
      <w:r w:rsidRPr="00931BE9">
        <w:rPr>
          <w:color w:val="808080" w:themeColor="background1" w:themeShade="80"/>
        </w:rPr>
        <w:t>health of individuals and their communities and to prevent and reduce the incidence of illness and disability</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 xml:space="preserve">The objectives of the Act are to— </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(a) promote and improve public health and wellbeing and to prevent disease, injury, disability and premature death</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(b) protect individuals and communities from diseases and other public health risks and to provide, to the extent reasonably practicable, a healthy environment for</w:t>
      </w:r>
      <w:r w:rsidR="0099210E" w:rsidRPr="00931BE9">
        <w:rPr>
          <w:color w:val="808080" w:themeColor="background1" w:themeShade="80"/>
        </w:rPr>
        <w:t xml:space="preserve"> </w:t>
      </w:r>
      <w:r w:rsidRPr="00931BE9">
        <w:rPr>
          <w:color w:val="808080" w:themeColor="background1" w:themeShade="80"/>
        </w:rPr>
        <w:t xml:space="preserve">all Western Australians </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(c) promote the provision of information to individuals and communities about public health risks</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 xml:space="preserve">(d) encourage individuals and communities to plan for, create and maintain a healthy environment </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(e) provide for the prevention or early detection of diseases and other public health risks, and certain other conditions of health</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(f)</w:t>
      </w:r>
      <w:r w:rsidR="0099210E" w:rsidRPr="00931BE9">
        <w:rPr>
          <w:color w:val="808080" w:themeColor="background1" w:themeShade="80"/>
        </w:rPr>
        <w:t xml:space="preserve"> </w:t>
      </w:r>
      <w:r w:rsidR="006C3415">
        <w:rPr>
          <w:color w:val="808080" w:themeColor="background1" w:themeShade="80"/>
        </w:rPr>
        <w:t xml:space="preserve"> </w:t>
      </w:r>
      <w:r w:rsidRPr="00931BE9">
        <w:rPr>
          <w:color w:val="808080" w:themeColor="background1" w:themeShade="80"/>
        </w:rPr>
        <w:t>support programs and campaigns intended to improve public health</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 xml:space="preserve">(g) facilitate the provision of information to decision-making authorities about public health risks and benefits to public health that may result from certain proposals </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(h) provide for the collection, disclosure and use of</w:t>
      </w:r>
      <w:r w:rsidR="0099210E" w:rsidRPr="00931BE9">
        <w:rPr>
          <w:color w:val="808080" w:themeColor="background1" w:themeShade="80"/>
        </w:rPr>
        <w:t xml:space="preserve"> </w:t>
      </w:r>
      <w:r w:rsidRPr="00931BE9">
        <w:rPr>
          <w:color w:val="808080" w:themeColor="background1" w:themeShade="80"/>
        </w:rPr>
        <w:t xml:space="preserve">information about the incidence and prevalence of diseases and other public health risks in the State, and certain other conditions of health, for research or public health purposes </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 xml:space="preserve">(i) </w:t>
      </w:r>
      <w:r w:rsidR="006C3415">
        <w:rPr>
          <w:color w:val="808080" w:themeColor="background1" w:themeShade="80"/>
        </w:rPr>
        <w:t xml:space="preserve"> </w:t>
      </w:r>
      <w:r w:rsidRPr="00931BE9">
        <w:rPr>
          <w:color w:val="808080" w:themeColor="background1" w:themeShade="80"/>
        </w:rPr>
        <w:t>reduce the inequalities in public health of disadvantaged communities</w:t>
      </w:r>
    </w:p>
    <w:p w:rsidR="00224561" w:rsidRPr="00931BE9" w:rsidRDefault="00224561" w:rsidP="00931BE9">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931BE9">
        <w:rPr>
          <w:color w:val="808080" w:themeColor="background1" w:themeShade="80"/>
        </w:rPr>
        <w:t>(j)</w:t>
      </w:r>
      <w:r w:rsidR="006C3415">
        <w:rPr>
          <w:color w:val="808080" w:themeColor="background1" w:themeShade="80"/>
        </w:rPr>
        <w:t xml:space="preserve"> </w:t>
      </w:r>
      <w:r w:rsidRPr="00931BE9">
        <w:rPr>
          <w:color w:val="808080" w:themeColor="background1" w:themeShade="80"/>
        </w:rPr>
        <w:t xml:space="preserve"> provide for functions relating to public health to be performed by the State and local governments</w:t>
      </w:r>
    </w:p>
    <w:p w:rsidR="00224561" w:rsidRDefault="00224561" w:rsidP="00224561">
      <w:pPr>
        <w:widowControl/>
        <w:spacing w:after="200"/>
        <w:rPr>
          <w:position w:val="8"/>
        </w:rPr>
      </w:pPr>
      <w:r>
        <w:rPr>
          <w:position w:val="8"/>
        </w:rPr>
        <w:lastRenderedPageBreak/>
        <w:t>Each Local Government is required to develop a Local Public Health Plan which is consistent with the State plan. State and Local Governments are encouraged to link with other agencies which have shared goals.</w:t>
      </w:r>
      <w:r w:rsidR="0099210E">
        <w:rPr>
          <w:position w:val="8"/>
        </w:rPr>
        <w:t xml:space="preserve"> </w:t>
      </w:r>
    </w:p>
    <w:p w:rsidR="00224561" w:rsidRDefault="00224561" w:rsidP="00224561">
      <w:pPr>
        <w:widowControl/>
        <w:spacing w:after="200"/>
        <w:rPr>
          <w:position w:val="8"/>
        </w:rPr>
      </w:pPr>
      <w:r>
        <w:rPr>
          <w:position w:val="8"/>
        </w:rPr>
        <w:t>The WA HPSF may be used to guide policy related to chronic disease and injury prevention in State and Local Public Health Plans.</w:t>
      </w:r>
    </w:p>
    <w:p w:rsidR="000E1750" w:rsidRPr="00C23E57" w:rsidRDefault="000E1750" w:rsidP="00823AA2">
      <w:pPr>
        <w:pStyle w:val="ListParagraph"/>
      </w:pPr>
    </w:p>
    <w:p w:rsidR="007A0009" w:rsidRPr="00FE3ED8" w:rsidRDefault="00744942" w:rsidP="00EA1976">
      <w:pPr>
        <w:pStyle w:val="Heading2"/>
      </w:pPr>
      <w:bookmarkStart w:id="9" w:name="_Toc462049309"/>
      <w:r>
        <w:t>1.</w:t>
      </w:r>
      <w:r w:rsidR="00DC3955">
        <w:t>5</w:t>
      </w:r>
      <w:r w:rsidR="00FE3ED8" w:rsidRPr="00FE3ED8">
        <w:t xml:space="preserve"> </w:t>
      </w:r>
      <w:r w:rsidR="008E44DD">
        <w:t xml:space="preserve"> </w:t>
      </w:r>
      <w:r w:rsidR="007A0009" w:rsidRPr="00FE3ED8">
        <w:t>Complementary policies and strategies</w:t>
      </w:r>
      <w:bookmarkEnd w:id="9"/>
      <w:r w:rsidR="007A0009" w:rsidRPr="00FE3ED8">
        <w:t xml:space="preserve"> </w:t>
      </w:r>
    </w:p>
    <w:p w:rsidR="007A0009" w:rsidRDefault="007A0009" w:rsidP="00EA1976">
      <w:pPr>
        <w:pStyle w:val="Heading2"/>
      </w:pPr>
    </w:p>
    <w:p w:rsidR="0077076C" w:rsidRPr="00CE70FE" w:rsidRDefault="00CE70FE" w:rsidP="0077076C">
      <w:pPr>
        <w:rPr>
          <w:b/>
          <w:color w:val="31849B" w:themeColor="accent5" w:themeShade="BF"/>
        </w:rPr>
      </w:pPr>
      <w:r>
        <w:t>The WA HPSF is complementary to, and does not duplicate or replace the range of policies which address other aspects of health in WA</w:t>
      </w:r>
      <w:r w:rsidR="00707D67">
        <w:t xml:space="preserve">. </w:t>
      </w:r>
      <w:r w:rsidR="0077076C">
        <w:t>These include:</w:t>
      </w:r>
    </w:p>
    <w:p w:rsidR="0077076C" w:rsidRDefault="0077076C" w:rsidP="0077076C"/>
    <w:p w:rsidR="0077076C" w:rsidRDefault="005E2D7C" w:rsidP="0077076C">
      <w:r>
        <w:rPr>
          <w:b/>
        </w:rPr>
        <w:t>The Department of Health’s</w:t>
      </w:r>
      <w:r w:rsidR="0077076C" w:rsidRPr="00B72C01">
        <w:rPr>
          <w:b/>
        </w:rPr>
        <w:t xml:space="preserve"> overarching policy</w:t>
      </w:r>
      <w:r w:rsidR="0077076C" w:rsidRPr="00C2221F">
        <w:t xml:space="preserve">, the </w:t>
      </w:r>
      <w:r w:rsidR="0077076C" w:rsidRPr="00C2221F">
        <w:rPr>
          <w:i/>
        </w:rPr>
        <w:t>WA Health Strategic Intent</w:t>
      </w:r>
      <w:r w:rsidR="0077076C">
        <w:rPr>
          <w:i/>
        </w:rPr>
        <w:t xml:space="preserve"> 2015</w:t>
      </w:r>
      <w:r w:rsidR="0077076C" w:rsidRPr="00BA6FB1">
        <w:rPr>
          <w:i/>
        </w:rPr>
        <w:t>–</w:t>
      </w:r>
      <w:r w:rsidR="00D95CF1">
        <w:rPr>
          <w:i/>
        </w:rPr>
        <w:t>2020</w:t>
      </w:r>
      <w:r w:rsidR="00D95CF1" w:rsidRPr="00D95CF1">
        <w:t xml:space="preserve">, </w:t>
      </w:r>
      <w:r w:rsidR="0077076C" w:rsidRPr="00C2221F">
        <w:t xml:space="preserve">supports the </w:t>
      </w:r>
      <w:r w:rsidR="0077076C">
        <w:t>WA</w:t>
      </w:r>
      <w:r w:rsidR="0077076C" w:rsidRPr="00C2221F">
        <w:t xml:space="preserve"> community to become </w:t>
      </w:r>
      <w:r w:rsidR="00B6595C">
        <w:t>healthier</w:t>
      </w:r>
      <w:r w:rsidR="0077076C" w:rsidRPr="00C2221F">
        <w:t>, with a focus on promoting healthy habits and behaviours and supporting people to make healthy lifestyl</w:t>
      </w:r>
      <w:r w:rsidR="008B7429">
        <w:t>e choices for the mind and body</w:t>
      </w:r>
    </w:p>
    <w:p w:rsidR="0077076C" w:rsidRDefault="00C71FCC" w:rsidP="0077076C">
      <w:pPr>
        <w:rPr>
          <w:color w:val="FF0000"/>
        </w:rPr>
      </w:pPr>
      <w:hyperlink r:id="rId9" w:history="1">
        <w:r w:rsidR="0077076C" w:rsidRPr="002F10A2">
          <w:rPr>
            <w:rStyle w:val="Hyperlink"/>
          </w:rPr>
          <w:t>http://ww2.health.wa.gov.au/Reports-and-publications/WA-Health-Strategic-Intent-2015-2020</w:t>
        </w:r>
      </w:hyperlink>
    </w:p>
    <w:p w:rsidR="0077076C" w:rsidRPr="00C2221F" w:rsidRDefault="0077076C" w:rsidP="0077076C"/>
    <w:p w:rsidR="0077076C" w:rsidRDefault="0077076C" w:rsidP="0077076C">
      <w:r w:rsidRPr="00C2221F">
        <w:rPr>
          <w:b/>
        </w:rPr>
        <w:t>The health of Aboriginal people</w:t>
      </w:r>
      <w:r w:rsidRPr="00C2221F">
        <w:t xml:space="preserve"> is </w:t>
      </w:r>
      <w:r>
        <w:t>addressed by t</w:t>
      </w:r>
      <w:r w:rsidRPr="00C2221F">
        <w:t xml:space="preserve">he </w:t>
      </w:r>
      <w:r w:rsidRPr="00BA6FB1">
        <w:rPr>
          <w:i/>
        </w:rPr>
        <w:t>WA Aboriginal Health and Wellbeing Framework 2015–2030</w:t>
      </w:r>
      <w:r w:rsidRPr="00C2221F">
        <w:t xml:space="preserve"> and the </w:t>
      </w:r>
      <w:r w:rsidRPr="00184CCC">
        <w:rPr>
          <w:i/>
        </w:rPr>
        <w:t>Aboriginal Cultural Learning Framework 2012</w:t>
      </w:r>
      <w:r w:rsidRPr="00BA6FB1">
        <w:rPr>
          <w:i/>
        </w:rPr>
        <w:t>–</w:t>
      </w:r>
      <w:r w:rsidRPr="00184CCC">
        <w:rPr>
          <w:i/>
        </w:rPr>
        <w:t>2016</w:t>
      </w:r>
    </w:p>
    <w:p w:rsidR="0077076C" w:rsidRPr="005E2D7C" w:rsidRDefault="00C71FCC" w:rsidP="0077076C">
      <w:pPr>
        <w:spacing w:after="120"/>
      </w:pPr>
      <w:hyperlink r:id="rId10" w:history="1">
        <w:r w:rsidR="0077076C" w:rsidRPr="002F10A2">
          <w:rPr>
            <w:rStyle w:val="Hyperlink"/>
          </w:rPr>
          <w:t>http://ww2.health.wa.gov.au/Improving-WA-Health/About-Aboriginal-Health/WA-Aboriginal-Health-and-Wellbeing-Framework-2015-2030</w:t>
        </w:r>
      </w:hyperlink>
    </w:p>
    <w:p w:rsidR="0077076C" w:rsidRDefault="00C71FCC" w:rsidP="0077076C">
      <w:hyperlink r:id="rId11" w:history="1">
        <w:r w:rsidR="0077076C" w:rsidRPr="002F10A2">
          <w:rPr>
            <w:rStyle w:val="Hyperlink"/>
          </w:rPr>
          <w:t>http://ww2.health.wa.gov.au/Improving-WA-Health/About-Aboriginal-Health/Aboriginal-Cultural-Learning-Framework-2012-2016</w:t>
        </w:r>
      </w:hyperlink>
    </w:p>
    <w:p w:rsidR="0077076C" w:rsidRPr="00C2221F" w:rsidRDefault="0077076C" w:rsidP="0077076C"/>
    <w:p w:rsidR="0077076C" w:rsidRDefault="0077076C" w:rsidP="0077076C">
      <w:r w:rsidRPr="00C2221F">
        <w:rPr>
          <w:b/>
        </w:rPr>
        <w:t>Mental health, and alcohol and other drugs issues</w:t>
      </w:r>
      <w:r w:rsidRPr="00C2221F">
        <w:t xml:space="preserve"> are addressed by the Mental Health Commission in policies which include </w:t>
      </w:r>
      <w:r w:rsidRPr="00BA6FB1">
        <w:rPr>
          <w:i/>
        </w:rPr>
        <w:t>Better Choices. Better Lives</w:t>
      </w:r>
      <w:r w:rsidRPr="00C2221F">
        <w:t xml:space="preserve"> (the </w:t>
      </w:r>
      <w:r w:rsidRPr="00C40268">
        <w:rPr>
          <w:i/>
        </w:rPr>
        <w:t>WA Mental Health, Alcohol, and other Drug Services Plan 2015–2025</w:t>
      </w:r>
      <w:r w:rsidRPr="00C2221F">
        <w:t>)</w:t>
      </w:r>
      <w:r w:rsidR="00BF7476">
        <w:t xml:space="preserve">, the </w:t>
      </w:r>
      <w:r w:rsidR="00BF7476" w:rsidRPr="00BF7476">
        <w:rPr>
          <w:i/>
        </w:rPr>
        <w:t xml:space="preserve">Drug and Alcohol Interagency Strategic </w:t>
      </w:r>
      <w:r w:rsidR="00BF7476" w:rsidRPr="00D35379">
        <w:rPr>
          <w:i/>
        </w:rPr>
        <w:t xml:space="preserve">Framework </w:t>
      </w:r>
      <w:r w:rsidR="00D35379" w:rsidRPr="00D35379">
        <w:rPr>
          <w:i/>
        </w:rPr>
        <w:t>for Western Australia 2011</w:t>
      </w:r>
      <w:r w:rsidR="00D35379">
        <w:rPr>
          <w:i/>
        </w:rPr>
        <w:t>–</w:t>
      </w:r>
      <w:r w:rsidR="00D35379" w:rsidRPr="00D35379">
        <w:rPr>
          <w:i/>
        </w:rPr>
        <w:t>2015</w:t>
      </w:r>
      <w:r w:rsidRPr="00C2221F">
        <w:t xml:space="preserve"> </w:t>
      </w:r>
      <w:r w:rsidR="00601A64" w:rsidRPr="00601A64">
        <w:rPr>
          <w:color w:val="FF0000"/>
        </w:rPr>
        <w:t xml:space="preserve">(under review) </w:t>
      </w:r>
      <w:r w:rsidRPr="00C2221F">
        <w:t xml:space="preserve">and </w:t>
      </w:r>
      <w:r w:rsidRPr="00BA6FB1">
        <w:rPr>
          <w:i/>
        </w:rPr>
        <w:t>Suicide Prevention 2020</w:t>
      </w:r>
    </w:p>
    <w:p w:rsidR="0077076C" w:rsidRDefault="00C71FCC" w:rsidP="0077076C">
      <w:pPr>
        <w:spacing w:after="120"/>
        <w:rPr>
          <w:rStyle w:val="Hyperlink"/>
        </w:rPr>
      </w:pPr>
      <w:hyperlink r:id="rId12" w:history="1">
        <w:r w:rsidR="0077076C" w:rsidRPr="002F10A2">
          <w:rPr>
            <w:rStyle w:val="Hyperlink"/>
          </w:rPr>
          <w:t>http://www.mentalhealth.wa.gov.au/ThePlan.aspx</w:t>
        </w:r>
      </w:hyperlink>
    </w:p>
    <w:p w:rsidR="00BF7476" w:rsidRDefault="00C71FCC" w:rsidP="0077076C">
      <w:pPr>
        <w:spacing w:after="120"/>
      </w:pPr>
      <w:hyperlink r:id="rId13" w:history="1">
        <w:r w:rsidR="00BF7476" w:rsidRPr="007E5ED2">
          <w:rPr>
            <w:rStyle w:val="Hyperlink"/>
          </w:rPr>
          <w:t>http://www.dao.health.wa.gov.au/DesktopModules/Bring2mind/DMX/Download.aspx?Command=Core_Download&amp;EntryId=538&amp;PortalId=0&amp;TabId=211</w:t>
        </w:r>
      </w:hyperlink>
    </w:p>
    <w:p w:rsidR="0077076C" w:rsidRDefault="00C71FCC" w:rsidP="0077076C">
      <w:hyperlink r:id="rId14" w:history="1">
        <w:r w:rsidR="0077076C" w:rsidRPr="002F10A2">
          <w:rPr>
            <w:rStyle w:val="Hyperlink"/>
          </w:rPr>
          <w:t>http://www.mentalhealth.wa.gov.au/mentalhealth_changes/wa_suicide_prevention_strategy.aspx</w:t>
        </w:r>
      </w:hyperlink>
    </w:p>
    <w:p w:rsidR="0077076C" w:rsidRPr="00C2221F" w:rsidRDefault="0077076C" w:rsidP="0077076C"/>
    <w:p w:rsidR="00CF2B90" w:rsidRDefault="0077076C" w:rsidP="0077076C">
      <w:r w:rsidRPr="00C2221F">
        <w:rPr>
          <w:b/>
        </w:rPr>
        <w:t>Communicable (infectious) diseases</w:t>
      </w:r>
      <w:r w:rsidRPr="00C2221F">
        <w:t xml:space="preserve">, including </w:t>
      </w:r>
      <w:r w:rsidRPr="00552CC3">
        <w:rPr>
          <w:b/>
        </w:rPr>
        <w:t>sexual health</w:t>
      </w:r>
      <w:r w:rsidRPr="00C2221F">
        <w:t xml:space="preserve"> and associated chronic diseases which may arise from infectious diseases, are addressed in plans and policies managed by the Communicable Disease Control Directorate within the Public Health Division</w:t>
      </w:r>
      <w:r w:rsidR="008B7429">
        <w:t xml:space="preserve"> of the Department of Health</w:t>
      </w:r>
      <w:r w:rsidRPr="00C2221F">
        <w:t xml:space="preserve"> </w:t>
      </w:r>
    </w:p>
    <w:p w:rsidR="00CF2B90" w:rsidRDefault="00CF2B90">
      <w:pPr>
        <w:widowControl/>
        <w:spacing w:after="200" w:line="276" w:lineRule="auto"/>
      </w:pPr>
      <w:r>
        <w:br w:type="page"/>
      </w:r>
    </w:p>
    <w:p w:rsidR="0077076C" w:rsidRPr="00C2221F" w:rsidRDefault="0077076C" w:rsidP="0077076C">
      <w:r w:rsidRPr="00C2221F">
        <w:rPr>
          <w:b/>
        </w:rPr>
        <w:lastRenderedPageBreak/>
        <w:t>Prevention and management of cancer</w:t>
      </w:r>
      <w:r w:rsidRPr="00C2221F">
        <w:t xml:space="preserve"> is discussed in the </w:t>
      </w:r>
      <w:r>
        <w:rPr>
          <w:i/>
        </w:rPr>
        <w:t>WA</w:t>
      </w:r>
      <w:r w:rsidRPr="00C2221F">
        <w:rPr>
          <w:i/>
        </w:rPr>
        <w:t xml:space="preserve"> Cancer Plan </w:t>
      </w:r>
      <w:r>
        <w:rPr>
          <w:i/>
        </w:rPr>
        <w:t>2012–</w:t>
      </w:r>
      <w:r w:rsidRPr="00C2221F">
        <w:rPr>
          <w:i/>
        </w:rPr>
        <w:t>2017</w:t>
      </w:r>
      <w:r w:rsidRPr="00C2221F">
        <w:t xml:space="preserve"> </w:t>
      </w:r>
    </w:p>
    <w:p w:rsidR="0077076C" w:rsidRPr="005E2D7C" w:rsidRDefault="00C71FCC" w:rsidP="0077076C">
      <w:hyperlink r:id="rId15" w:history="1">
        <w:r w:rsidR="0077076C" w:rsidRPr="002F10A2">
          <w:rPr>
            <w:rStyle w:val="Hyperlink"/>
          </w:rPr>
          <w:t>http://www.healthnetworks.health.wa.gov.au/cancer/docs/12196_WA_Cancer_PLAN.pdf</w:t>
        </w:r>
      </w:hyperlink>
    </w:p>
    <w:p w:rsidR="0077076C" w:rsidRPr="00C2221F" w:rsidRDefault="0077076C" w:rsidP="0077076C"/>
    <w:p w:rsidR="0077076C" w:rsidRDefault="0077076C" w:rsidP="0077076C">
      <w:r w:rsidRPr="00C2221F">
        <w:rPr>
          <w:b/>
        </w:rPr>
        <w:t>Injury prevention</w:t>
      </w:r>
      <w:r w:rsidRPr="00C2221F">
        <w:t xml:space="preserve"> is also addressed in the </w:t>
      </w:r>
      <w:r w:rsidRPr="00C2221F">
        <w:rPr>
          <w:i/>
        </w:rPr>
        <w:t>WA Non-Major Trauma Framework</w:t>
      </w:r>
      <w:r w:rsidRPr="00C2221F">
        <w:t xml:space="preserve"> and the </w:t>
      </w:r>
      <w:r w:rsidRPr="00C2221F">
        <w:rPr>
          <w:i/>
        </w:rPr>
        <w:t xml:space="preserve">Falls Prevention Model of Care </w:t>
      </w:r>
      <w:r w:rsidRPr="00C2221F">
        <w:t xml:space="preserve">in </w:t>
      </w:r>
      <w:r>
        <w:t>WA</w:t>
      </w:r>
    </w:p>
    <w:p w:rsidR="0077076C" w:rsidRPr="005E2D7C" w:rsidRDefault="00C71FCC" w:rsidP="0077076C">
      <w:pPr>
        <w:spacing w:after="120"/>
      </w:pPr>
      <w:hyperlink r:id="rId16" w:history="1">
        <w:r w:rsidR="0077076C" w:rsidRPr="002F10A2">
          <w:rPr>
            <w:rStyle w:val="Hyperlink"/>
          </w:rPr>
          <w:t>http://www.healthnetworks.health.wa.gov.au/docs/NonMajorTraumaFramework.pdf</w:t>
        </w:r>
      </w:hyperlink>
    </w:p>
    <w:p w:rsidR="0077076C" w:rsidRPr="005E2D7C" w:rsidRDefault="00C71FCC" w:rsidP="0077076C">
      <w:hyperlink r:id="rId17" w:history="1">
        <w:r w:rsidR="0077076C" w:rsidRPr="002F10A2">
          <w:rPr>
            <w:rStyle w:val="Hyperlink"/>
          </w:rPr>
          <w:t>http://www.healthnetworks.health.wa.gov.au/modelsofcare/docs/Falls_Model_of_Care.pdf</w:t>
        </w:r>
      </w:hyperlink>
    </w:p>
    <w:p w:rsidR="0077076C" w:rsidRPr="00C2221F" w:rsidRDefault="0077076C" w:rsidP="0077076C"/>
    <w:p w:rsidR="0077076C" w:rsidRDefault="0077076C" w:rsidP="0077076C">
      <w:r w:rsidRPr="00C2221F">
        <w:rPr>
          <w:b/>
        </w:rPr>
        <w:t>Prevention and management of chronic disease in people who have already been diagnosed with a disease</w:t>
      </w:r>
      <w:r w:rsidRPr="00C2221F">
        <w:t xml:space="preserve"> is discussed in the </w:t>
      </w:r>
      <w:r w:rsidRPr="00C2221F">
        <w:rPr>
          <w:i/>
        </w:rPr>
        <w:t xml:space="preserve">WA Chronic </w:t>
      </w:r>
      <w:r>
        <w:rPr>
          <w:i/>
        </w:rPr>
        <w:t>Conditions Framework 2011–</w:t>
      </w:r>
      <w:r w:rsidRPr="00C2221F">
        <w:rPr>
          <w:i/>
        </w:rPr>
        <w:t>2016</w:t>
      </w:r>
      <w:r>
        <w:rPr>
          <w:i/>
        </w:rPr>
        <w:t>,</w:t>
      </w:r>
      <w:r w:rsidRPr="00C2221F">
        <w:t xml:space="preserve"> the </w:t>
      </w:r>
      <w:r w:rsidRPr="00C2221F">
        <w:rPr>
          <w:i/>
        </w:rPr>
        <w:t>WA Chronic Conditions Self-management</w:t>
      </w:r>
      <w:r>
        <w:rPr>
          <w:i/>
        </w:rPr>
        <w:t xml:space="preserve"> Strategic Framework 2011–</w:t>
      </w:r>
      <w:r w:rsidRPr="00C2221F">
        <w:rPr>
          <w:i/>
        </w:rPr>
        <w:t>2015</w:t>
      </w:r>
      <w:r w:rsidRPr="00C2221F">
        <w:t xml:space="preserve"> and </w:t>
      </w:r>
      <w:r>
        <w:t>m</w:t>
      </w:r>
      <w:r w:rsidRPr="00C2221F">
        <w:t xml:space="preserve">odels of </w:t>
      </w:r>
      <w:r>
        <w:t>care</w:t>
      </w:r>
      <w:r w:rsidRPr="00C2221F">
        <w:t xml:space="preserve"> for individual diseases</w:t>
      </w:r>
    </w:p>
    <w:p w:rsidR="0077076C" w:rsidRPr="00762A1C" w:rsidRDefault="00C71FCC" w:rsidP="0077076C">
      <w:pPr>
        <w:spacing w:after="120"/>
      </w:pPr>
      <w:hyperlink r:id="rId18" w:history="1">
        <w:r w:rsidR="0077076C" w:rsidRPr="002F10A2">
          <w:rPr>
            <w:rStyle w:val="Hyperlink"/>
          </w:rPr>
          <w:t>http://www.healthnetworks.health.wa.gov.au/docs/1112_ChronicHealthConditionsFramework.pdf</w:t>
        </w:r>
      </w:hyperlink>
    </w:p>
    <w:p w:rsidR="0077076C" w:rsidRPr="00762A1C" w:rsidRDefault="00C71FCC" w:rsidP="0077076C">
      <w:hyperlink r:id="rId19" w:history="1">
        <w:r w:rsidR="0077076C" w:rsidRPr="002F10A2">
          <w:rPr>
            <w:rStyle w:val="Hyperlink"/>
          </w:rPr>
          <w:t>http://www.healthnetworks.health.wa.gov.au/docs/1112_CCSM_Strategic_Framework.pdf</w:t>
        </w:r>
      </w:hyperlink>
    </w:p>
    <w:p w:rsidR="0077076C" w:rsidRDefault="0077076C" w:rsidP="0077076C"/>
    <w:p w:rsidR="0077076C" w:rsidRDefault="0077076C" w:rsidP="0077076C">
      <w:r w:rsidRPr="00C2221F">
        <w:rPr>
          <w:b/>
        </w:rPr>
        <w:t xml:space="preserve">Active </w:t>
      </w:r>
      <w:r>
        <w:rPr>
          <w:b/>
        </w:rPr>
        <w:t>a</w:t>
      </w:r>
      <w:r w:rsidRPr="00C2221F">
        <w:rPr>
          <w:b/>
        </w:rPr>
        <w:t>geing</w:t>
      </w:r>
      <w:r w:rsidRPr="00C2221F">
        <w:t xml:space="preserve"> is led by the Department </w:t>
      </w:r>
      <w:r>
        <w:t>of Local Government and</w:t>
      </w:r>
      <w:r w:rsidRPr="00C2221F">
        <w:t xml:space="preserve"> Communities through the </w:t>
      </w:r>
      <w:r w:rsidRPr="00C2221F">
        <w:rPr>
          <w:i/>
        </w:rPr>
        <w:t xml:space="preserve">Seniors Strategic </w:t>
      </w:r>
      <w:r>
        <w:rPr>
          <w:i/>
        </w:rPr>
        <w:t xml:space="preserve">Planning </w:t>
      </w:r>
      <w:r w:rsidRPr="00C2221F">
        <w:rPr>
          <w:i/>
        </w:rPr>
        <w:t>Framework</w:t>
      </w:r>
    </w:p>
    <w:p w:rsidR="0077076C" w:rsidRPr="00762A1C" w:rsidRDefault="00C71FCC" w:rsidP="0077076C">
      <w:hyperlink r:id="rId20" w:history="1">
        <w:r w:rsidR="0077076C" w:rsidRPr="002F10A2">
          <w:rPr>
            <w:rStyle w:val="Hyperlink"/>
          </w:rPr>
          <w:t>https://www.dlgc.wa.gov.au/Publications/Pages/Seniors-Strategic-Planning-Framework.aspx</w:t>
        </w:r>
      </w:hyperlink>
    </w:p>
    <w:p w:rsidR="0077076C" w:rsidRDefault="0077076C" w:rsidP="0077076C"/>
    <w:p w:rsidR="00456EF5" w:rsidRDefault="00456EF5" w:rsidP="0077076C">
      <w:r w:rsidRPr="00904E3E">
        <w:rPr>
          <w:b/>
        </w:rPr>
        <w:t>Monitoring and advocacy to strengthen the wellbeing of WA children and young people</w:t>
      </w:r>
      <w:r>
        <w:t xml:space="preserve"> is one of the three key </w:t>
      </w:r>
      <w:r w:rsidR="00904E3E">
        <w:t>concerns o</w:t>
      </w:r>
      <w:r>
        <w:t>f the Commissioner for Children and Young People</w:t>
      </w:r>
      <w:r w:rsidR="00904E3E">
        <w:t xml:space="preserve">. See </w:t>
      </w:r>
      <w:r w:rsidR="00904E3E" w:rsidRPr="00904E3E">
        <w:rPr>
          <w:i/>
        </w:rPr>
        <w:t>Our approach and priorities 2016</w:t>
      </w:r>
      <w:r w:rsidR="00904E3E">
        <w:rPr>
          <w:i/>
        </w:rPr>
        <w:t>–</w:t>
      </w:r>
      <w:r w:rsidR="00904E3E" w:rsidRPr="00904E3E">
        <w:rPr>
          <w:i/>
        </w:rPr>
        <w:t>2020</w:t>
      </w:r>
    </w:p>
    <w:p w:rsidR="00456EF5" w:rsidRDefault="00C71FCC" w:rsidP="0077076C">
      <w:hyperlink r:id="rId21" w:history="1">
        <w:r w:rsidR="00707928" w:rsidRPr="007E5ED2">
          <w:rPr>
            <w:rStyle w:val="Hyperlink"/>
          </w:rPr>
          <w:t>https://www.ccyp.wa.gov.au/media/2220/our-approach-and-priorities-final-lr2.pdf</w:t>
        </w:r>
      </w:hyperlink>
    </w:p>
    <w:p w:rsidR="00904E3E" w:rsidRDefault="00904E3E" w:rsidP="0077076C"/>
    <w:p w:rsidR="0077076C" w:rsidRPr="00C2221F" w:rsidRDefault="0077076C" w:rsidP="0077076C">
      <w:r w:rsidRPr="00C2221F">
        <w:rPr>
          <w:b/>
        </w:rPr>
        <w:t>Prevention in the primary care setting</w:t>
      </w:r>
      <w:r w:rsidRPr="00C2221F">
        <w:t xml:space="preserve"> is addressed in the </w:t>
      </w:r>
      <w:r w:rsidRPr="00C2221F">
        <w:rPr>
          <w:i/>
        </w:rPr>
        <w:t>WA Primary Health Care Strategy</w:t>
      </w:r>
    </w:p>
    <w:p w:rsidR="0077076C" w:rsidRPr="007C248D" w:rsidRDefault="00C71FCC" w:rsidP="0077076C">
      <w:hyperlink r:id="rId22" w:history="1">
        <w:r w:rsidR="0077076C" w:rsidRPr="002F10A2">
          <w:rPr>
            <w:rStyle w:val="Hyperlink"/>
          </w:rPr>
          <w:t>http://www.healthnetworks.health.wa.gov.au/docs/1112_WAPrimaryHealthCareStrategy.pdf</w:t>
        </w:r>
      </w:hyperlink>
    </w:p>
    <w:p w:rsidR="0077076C" w:rsidRPr="00C2221F" w:rsidRDefault="0077076C" w:rsidP="0077076C"/>
    <w:p w:rsidR="003B0C85" w:rsidRDefault="0077076C" w:rsidP="0077076C">
      <w:r w:rsidRPr="00C2221F">
        <w:rPr>
          <w:b/>
        </w:rPr>
        <w:t xml:space="preserve">Prevention and treatment of </w:t>
      </w:r>
      <w:r>
        <w:rPr>
          <w:b/>
        </w:rPr>
        <w:t>oral h</w:t>
      </w:r>
      <w:r w:rsidRPr="00C2221F">
        <w:rPr>
          <w:b/>
        </w:rPr>
        <w:t>ealth conditions</w:t>
      </w:r>
      <w:r w:rsidRPr="00C2221F">
        <w:t xml:space="preserve"> </w:t>
      </w:r>
      <w:r w:rsidR="008E4B80">
        <w:t>are</w:t>
      </w:r>
      <w:r>
        <w:t xml:space="preserve"> addressed by the </w:t>
      </w:r>
      <w:r w:rsidRPr="00E7644F">
        <w:rPr>
          <w:i/>
        </w:rPr>
        <w:t>State Oral Health Plan 2016–2020</w:t>
      </w:r>
      <w:r w:rsidRPr="00E5637D">
        <w:rPr>
          <w:color w:val="FF0000"/>
        </w:rPr>
        <w:t xml:space="preserve"> (</w:t>
      </w:r>
      <w:r w:rsidR="00532BDD" w:rsidRPr="00E5637D">
        <w:rPr>
          <w:color w:val="FF0000"/>
        </w:rPr>
        <w:t>in draft</w:t>
      </w:r>
      <w:r w:rsidRPr="00E5637D">
        <w:rPr>
          <w:color w:val="FF0000"/>
        </w:rPr>
        <w:t>)</w:t>
      </w:r>
    </w:p>
    <w:p w:rsidR="003B0C85" w:rsidRDefault="003B0C85" w:rsidP="0077076C"/>
    <w:p w:rsidR="00C059FF" w:rsidRPr="00C2221F" w:rsidRDefault="00C059FF" w:rsidP="00823AA2">
      <w:r>
        <w:t xml:space="preserve">WA Government Departments of </w:t>
      </w:r>
      <w:r w:rsidR="00326636">
        <w:t xml:space="preserve">Agriculture and Food; </w:t>
      </w:r>
      <w:r w:rsidR="00AF5147">
        <w:t xml:space="preserve">Child Protection and Family Services; Commerce; </w:t>
      </w:r>
      <w:r w:rsidR="004009F0">
        <w:t xml:space="preserve">Corrective Services; </w:t>
      </w:r>
      <w:r w:rsidR="00AF5147">
        <w:t>Culture and the Arts;</w:t>
      </w:r>
      <w:r w:rsidR="00033ED5">
        <w:t xml:space="preserve"> </w:t>
      </w:r>
      <w:r w:rsidR="009B37ED">
        <w:t>Education; Local Governmen</w:t>
      </w:r>
      <w:r w:rsidR="00326636">
        <w:t>t and Communities;</w:t>
      </w:r>
      <w:r w:rsidR="009B37ED">
        <w:t xml:space="preserve"> Parks and Wildlife; Planning; Sport and Recreation;</w:t>
      </w:r>
      <w:r w:rsidR="00155E72">
        <w:t xml:space="preserve"> Training and Workforce Development; and Transport</w:t>
      </w:r>
      <w:r w:rsidR="002F6213">
        <w:t>; and the Disabilities Services Commission</w:t>
      </w:r>
      <w:r w:rsidR="00155E72">
        <w:t xml:space="preserve"> </w:t>
      </w:r>
      <w:r w:rsidR="00A3361F">
        <w:t>are among other WA lead</w:t>
      </w:r>
      <w:r w:rsidR="00DF6B0C">
        <w:t>ing Government</w:t>
      </w:r>
      <w:r w:rsidR="00A3361F">
        <w:t xml:space="preserve"> agencies </w:t>
      </w:r>
      <w:r w:rsidR="00033ED5">
        <w:t xml:space="preserve">which </w:t>
      </w:r>
      <w:r>
        <w:t xml:space="preserve">develop policies and strategies </w:t>
      </w:r>
      <w:r w:rsidR="00A3361F">
        <w:t>that</w:t>
      </w:r>
      <w:r>
        <w:t xml:space="preserve"> provide for the support and promotion of healthier lifestyles for Western Australians.</w:t>
      </w:r>
    </w:p>
    <w:p w:rsidR="00A459DB" w:rsidRDefault="00A459DB" w:rsidP="00823AA2"/>
    <w:p w:rsidR="00637E9A" w:rsidRDefault="00637E9A">
      <w:pPr>
        <w:widowControl/>
        <w:spacing w:after="200" w:line="276" w:lineRule="auto"/>
      </w:pPr>
      <w:r>
        <w:br w:type="page"/>
      </w:r>
    </w:p>
    <w:p w:rsidR="000B49BA" w:rsidRDefault="00332652" w:rsidP="00823AA2">
      <w:r w:rsidRPr="00C2221F">
        <w:lastRenderedPageBreak/>
        <w:t xml:space="preserve">At the national level, the </w:t>
      </w:r>
      <w:r w:rsidR="00B32B96" w:rsidRPr="00C2221F">
        <w:t xml:space="preserve">WA </w:t>
      </w:r>
      <w:r w:rsidRPr="00C2221F">
        <w:t xml:space="preserve">HPSF </w:t>
      </w:r>
      <w:r w:rsidR="0025140C" w:rsidRPr="00C2221F">
        <w:t>aligns</w:t>
      </w:r>
      <w:r w:rsidRPr="00C2221F">
        <w:t xml:space="preserve"> with </w:t>
      </w:r>
      <w:r w:rsidR="0025140C" w:rsidRPr="00C2221F">
        <w:t xml:space="preserve">the </w:t>
      </w:r>
      <w:r w:rsidR="00372C11" w:rsidRPr="00AF480A">
        <w:rPr>
          <w:i/>
        </w:rPr>
        <w:t>National Healthcare Agreement</w:t>
      </w:r>
      <w:r w:rsidR="008E4A1B">
        <w:fldChar w:fldCharType="begin"/>
      </w:r>
      <w:r w:rsidR="009F7E7C">
        <w:instrText xml:space="preserve"> ADDIN EN.CITE &lt;EndNote&gt;&lt;Cite&gt;&lt;Author&gt;Australian Institute of Health and Welfare&lt;/Author&gt;&lt;Year&gt;2016&lt;/Year&gt;&lt;RecNum&gt;1061&lt;/RecNum&gt;&lt;DisplayText&gt;&lt;style face="superscript"&gt;25&lt;/style&gt;&lt;/DisplayText&gt;&lt;record&gt;&lt;rec-number&gt;1061&lt;/rec-number&gt;&lt;foreign-keys&gt;&lt;key app="EN" db-id="zxa00wf2opvf9oeeset50xz7ezpfwre2v20z"&gt;1061&lt;/key&gt;&lt;/foreign-keys&gt;&lt;ref-type name="Report"&gt;27&lt;/ref-type&gt;&lt;contributors&gt;&lt;authors&gt;&lt;author&gt;Australian Institute of Health and Welfare,&lt;/author&gt;&lt;/authors&gt;&lt;/contributors&gt;&lt;titles&gt;&lt;title&gt;National Healthcare Agreement (2016)&lt;/title&gt;&lt;/titles&gt;&lt;dates&gt;&lt;year&gt;2016&lt;/year&gt;&lt;/dates&gt;&lt;pub-location&gt;Canberra&lt;/pub-location&gt;&lt;publisher&gt;Australian Institute of Health and Welfare&lt;/publisher&gt;&lt;urls&gt;&lt;related-urls&gt;&lt;url&gt;http://meteor.aihw.gov.au/content/index.phtml/itemId/598643&lt;/url&gt;&lt;/related-urls&gt;&lt;/urls&gt;&lt;/record&gt;&lt;/Cite&gt;&lt;/EndNote&gt;</w:instrText>
      </w:r>
      <w:r w:rsidR="008E4A1B">
        <w:fldChar w:fldCharType="separate"/>
      </w:r>
      <w:r w:rsidR="009F7E7C" w:rsidRPr="009F7E7C">
        <w:rPr>
          <w:noProof/>
          <w:vertAlign w:val="superscript"/>
        </w:rPr>
        <w:t>25</w:t>
      </w:r>
      <w:r w:rsidR="008E4A1B">
        <w:fldChar w:fldCharType="end"/>
      </w:r>
      <w:r w:rsidR="00C36F3B">
        <w:rPr>
          <w:i/>
        </w:rPr>
        <w:t xml:space="preserve"> </w:t>
      </w:r>
      <w:r w:rsidR="00C36F3B" w:rsidRPr="00470359">
        <w:t>and the</w:t>
      </w:r>
      <w:r w:rsidR="00C36F3B">
        <w:rPr>
          <w:i/>
        </w:rPr>
        <w:t xml:space="preserve"> </w:t>
      </w:r>
      <w:r w:rsidR="000B49BA" w:rsidRPr="00AF480A">
        <w:rPr>
          <w:i/>
        </w:rPr>
        <w:t xml:space="preserve">National Strategic Framework for </w:t>
      </w:r>
      <w:r w:rsidR="00AF480A">
        <w:rPr>
          <w:i/>
        </w:rPr>
        <w:t>C</w:t>
      </w:r>
      <w:r w:rsidR="000B49BA" w:rsidRPr="00AF480A">
        <w:rPr>
          <w:i/>
        </w:rPr>
        <w:t xml:space="preserve">hronic </w:t>
      </w:r>
      <w:r w:rsidR="00AF480A">
        <w:rPr>
          <w:i/>
        </w:rPr>
        <w:t>C</w:t>
      </w:r>
      <w:r w:rsidR="000B49BA" w:rsidRPr="00AF480A">
        <w:rPr>
          <w:i/>
        </w:rPr>
        <w:t>onditions</w:t>
      </w:r>
      <w:r w:rsidR="002966CB">
        <w:rPr>
          <w:i/>
        </w:rPr>
        <w:t xml:space="preserve"> </w:t>
      </w:r>
      <w:r w:rsidR="002966CB" w:rsidRPr="002966CB">
        <w:rPr>
          <w:color w:val="FF0000"/>
        </w:rPr>
        <w:t>(</w:t>
      </w:r>
      <w:r w:rsidR="00AA6C33" w:rsidRPr="002966CB">
        <w:rPr>
          <w:color w:val="FF0000"/>
        </w:rPr>
        <w:t>under development</w:t>
      </w:r>
      <w:r w:rsidR="002966CB" w:rsidRPr="002966CB">
        <w:rPr>
          <w:color w:val="FF0000"/>
        </w:rPr>
        <w:t>)</w:t>
      </w:r>
    </w:p>
    <w:p w:rsidR="00593804" w:rsidRDefault="00C71FCC" w:rsidP="00470E2D">
      <w:pPr>
        <w:rPr>
          <w:rFonts w:eastAsia="Arial"/>
          <w:color w:val="004B8D"/>
        </w:rPr>
      </w:pPr>
      <w:hyperlink r:id="rId23" w:history="1">
        <w:r w:rsidR="00593804" w:rsidRPr="00470E2D">
          <w:rPr>
            <w:rStyle w:val="Hyperlink"/>
          </w:rPr>
          <w:t>http://www.health.gov.au/internet/main/publishing.nsf/Content/nsfcc</w:t>
        </w:r>
      </w:hyperlink>
    </w:p>
    <w:p w:rsidR="00637E9A" w:rsidRDefault="00637E9A" w:rsidP="00823AA2"/>
    <w:p w:rsidR="000754C1" w:rsidRDefault="00184CCC" w:rsidP="00823AA2">
      <w:r>
        <w:t>Links to other important Commonwealth and State policies</w:t>
      </w:r>
      <w:r w:rsidR="008D6803">
        <w:t xml:space="preserve"> and relevant international frameworks</w:t>
      </w:r>
      <w:r>
        <w:t xml:space="preserve"> are included in </w:t>
      </w:r>
      <w:r w:rsidR="00444360">
        <w:t>Appendix 1.</w:t>
      </w:r>
    </w:p>
    <w:p w:rsidR="000754C1" w:rsidRDefault="000754C1">
      <w:pPr>
        <w:widowControl/>
        <w:spacing w:after="200" w:line="276" w:lineRule="auto"/>
      </w:pPr>
      <w:r>
        <w:br w:type="page"/>
      </w:r>
    </w:p>
    <w:p w:rsidR="00BB6A0D" w:rsidRDefault="00BE68F8" w:rsidP="008B25B1">
      <w:pPr>
        <w:pStyle w:val="Heading1"/>
      </w:pPr>
      <w:bookmarkStart w:id="10" w:name="_Toc462049310"/>
      <w:r w:rsidRPr="000466B8">
        <w:lastRenderedPageBreak/>
        <w:t xml:space="preserve">Part </w:t>
      </w:r>
      <w:r w:rsidR="00F2486F">
        <w:t>2</w:t>
      </w:r>
      <w:r w:rsidR="002556B6">
        <w:t>:</w:t>
      </w:r>
      <w:r w:rsidR="00F2486F">
        <w:t xml:space="preserve"> </w:t>
      </w:r>
      <w:r w:rsidRPr="000466B8">
        <w:t xml:space="preserve">Our </w:t>
      </w:r>
      <w:r w:rsidR="00201C1B">
        <w:t>s</w:t>
      </w:r>
      <w:r w:rsidRPr="000466B8">
        <w:t xml:space="preserve">tate of </w:t>
      </w:r>
      <w:r w:rsidR="00201C1B">
        <w:t>h</w:t>
      </w:r>
      <w:r w:rsidRPr="000466B8">
        <w:t>ealth</w:t>
      </w:r>
      <w:bookmarkEnd w:id="10"/>
    </w:p>
    <w:p w:rsidR="00BE68F8" w:rsidRDefault="00BE68F8" w:rsidP="00823AA2"/>
    <w:p w:rsidR="00816515" w:rsidRPr="006C3415" w:rsidRDefault="00816515" w:rsidP="000A1A06">
      <w:pPr>
        <w:rPr>
          <w:rFonts w:eastAsiaTheme="majorEastAsia"/>
          <w:b/>
          <w:color w:val="808080" w:themeColor="background1" w:themeShade="80"/>
          <w:sz w:val="32"/>
          <w:szCs w:val="32"/>
        </w:rPr>
      </w:pPr>
      <w:r w:rsidRPr="006C3415">
        <w:rPr>
          <w:rFonts w:eastAsiaTheme="majorEastAsia"/>
          <w:b/>
          <w:color w:val="808080" w:themeColor="background1" w:themeShade="80"/>
          <w:sz w:val="32"/>
          <w:szCs w:val="32"/>
        </w:rPr>
        <w:t xml:space="preserve">Relatively speaking, the majority of </w:t>
      </w:r>
      <w:r w:rsidR="00BC6CA8" w:rsidRPr="006C3415">
        <w:rPr>
          <w:rFonts w:eastAsiaTheme="majorEastAsia"/>
          <w:b/>
          <w:color w:val="808080" w:themeColor="background1" w:themeShade="80"/>
          <w:sz w:val="32"/>
          <w:szCs w:val="32"/>
        </w:rPr>
        <w:t>Western Australians</w:t>
      </w:r>
      <w:r w:rsidRPr="006C3415">
        <w:rPr>
          <w:rFonts w:eastAsiaTheme="majorEastAsia"/>
          <w:b/>
          <w:color w:val="808080" w:themeColor="background1" w:themeShade="80"/>
          <w:sz w:val="32"/>
          <w:szCs w:val="32"/>
        </w:rPr>
        <w:t xml:space="preserve"> enjoy good health…</w:t>
      </w:r>
    </w:p>
    <w:p w:rsidR="00816515" w:rsidRPr="00DA7A8C" w:rsidRDefault="00816515" w:rsidP="00816515">
      <w:pPr>
        <w:rPr>
          <w:rFonts w:eastAsia="Arial"/>
        </w:rPr>
      </w:pPr>
    </w:p>
    <w:p w:rsidR="003775B3" w:rsidRDefault="00ED226F" w:rsidP="00816515">
      <w:pPr>
        <w:rPr>
          <w:rFonts w:eastAsia="Arial"/>
        </w:rPr>
      </w:pPr>
      <w:r>
        <w:rPr>
          <w:rFonts w:eastAsia="Arial"/>
          <w:bCs/>
          <w:color w:val="000000" w:themeColor="text1"/>
        </w:rPr>
        <w:t xml:space="preserve">Australia has among the longest </w:t>
      </w:r>
      <w:r w:rsidR="001E458B">
        <w:rPr>
          <w:rFonts w:eastAsia="Arial"/>
          <w:bCs/>
          <w:color w:val="000000" w:themeColor="text1"/>
        </w:rPr>
        <w:t>life expectancies in the world, and in WA, the</w:t>
      </w:r>
      <w:r w:rsidR="00816515">
        <w:rPr>
          <w:rFonts w:eastAsia="Arial"/>
        </w:rPr>
        <w:t xml:space="preserve"> average life</w:t>
      </w:r>
      <w:r w:rsidR="001E458B">
        <w:rPr>
          <w:rFonts w:eastAsia="Arial"/>
        </w:rPr>
        <w:t xml:space="preserve"> expectancy </w:t>
      </w:r>
      <w:r w:rsidR="00816515">
        <w:rPr>
          <w:rFonts w:eastAsia="Arial"/>
        </w:rPr>
        <w:t xml:space="preserve">of a current newborn </w:t>
      </w:r>
      <w:r w:rsidR="003775B3">
        <w:rPr>
          <w:rFonts w:eastAsia="Arial"/>
        </w:rPr>
        <w:t>i</w:t>
      </w:r>
      <w:r w:rsidR="00816515">
        <w:rPr>
          <w:rFonts w:eastAsia="Arial"/>
        </w:rPr>
        <w:t>s 85 years for females and 80 years for males</w:t>
      </w:r>
      <w:r w:rsidR="003775B3">
        <w:rPr>
          <w:rFonts w:eastAsia="Arial"/>
        </w:rPr>
        <w:t>—</w:t>
      </w:r>
      <w:r w:rsidR="00816515">
        <w:rPr>
          <w:rFonts w:eastAsia="Arial"/>
        </w:rPr>
        <w:t xml:space="preserve">just </w:t>
      </w:r>
      <w:r w:rsidR="00816515" w:rsidRPr="00DF0C68">
        <w:rPr>
          <w:rFonts w:eastAsia="Arial"/>
        </w:rPr>
        <w:t xml:space="preserve">above </w:t>
      </w:r>
      <w:r w:rsidR="00816515">
        <w:rPr>
          <w:rFonts w:eastAsia="Arial"/>
        </w:rPr>
        <w:t>the national av</w:t>
      </w:r>
      <w:r w:rsidR="00816515" w:rsidRPr="00DF0C68">
        <w:rPr>
          <w:rFonts w:eastAsia="Arial"/>
        </w:rPr>
        <w:t>erage</w:t>
      </w:r>
      <w:r w:rsidR="00816515">
        <w:rPr>
          <w:rFonts w:eastAsia="Arial"/>
        </w:rPr>
        <w:t>.</w:t>
      </w:r>
      <w:r w:rsidR="008E4A1B">
        <w:rPr>
          <w:rFonts w:eastAsia="Arial"/>
        </w:rPr>
        <w:fldChar w:fldCharType="begin"/>
      </w:r>
      <w:r w:rsidR="009F7E7C">
        <w:rPr>
          <w:rFonts w:eastAsia="Arial"/>
        </w:rPr>
        <w:instrText xml:space="preserve"> ADDIN EN.CITE &lt;EndNote&gt;&lt;Cite&gt;&lt;Author&gt;Australian Bureau of Statistics&lt;/Author&gt;&lt;Year&gt;2015&lt;/Year&gt;&lt;RecNum&gt;2&lt;/RecNum&gt;&lt;DisplayText&gt;&lt;style face="superscript"&gt;26&lt;/style&gt;&lt;/DisplayText&gt;&lt;record&gt;&lt;rec-number&gt;2&lt;/rec-number&gt;&lt;foreign-keys&gt;&lt;key app="EN" db-id="zxa00wf2opvf9oeeset50xz7ezpfwre2v20z"&gt;2&lt;/key&gt;&lt;/foreign-keys&gt;&lt;ref-type name="Generic"&gt;13&lt;/ref-type&gt;&lt;contributors&gt;&lt;authors&gt;&lt;author&gt;Australian Bureau of Statistics,&lt;/author&gt;&lt;/authors&gt;&lt;/contributors&gt;&lt;titles&gt;&lt;title&gt;3302.0.55.001 - Life tables, states, territories and Australia, 2012-2014&lt;/title&gt;&lt;/titles&gt;&lt;dates&gt;&lt;year&gt;2015&lt;/year&gt;&lt;/dates&gt;&lt;pub-location&gt;Canberra&lt;/pub-location&gt;&lt;publisher&gt;Australian Bureau of Statistics&lt;/publisher&gt;&lt;urls&gt;&lt;related-urls&gt;&lt;url&gt;http://www.abs.gov.au/AUSSTATS/abs@.nsf/DetailsPage/3302.0.55.0012012-2014?OpenDocument&lt;/url&gt;&lt;/related-urls&gt;&lt;/urls&gt;&lt;/record&gt;&lt;/Cite&gt;&lt;/EndNote&gt;</w:instrText>
      </w:r>
      <w:r w:rsidR="008E4A1B">
        <w:rPr>
          <w:rFonts w:eastAsia="Arial"/>
        </w:rPr>
        <w:fldChar w:fldCharType="separate"/>
      </w:r>
      <w:r w:rsidR="009F7E7C" w:rsidRPr="009F7E7C">
        <w:rPr>
          <w:rFonts w:eastAsia="Arial"/>
          <w:noProof/>
          <w:vertAlign w:val="superscript"/>
        </w:rPr>
        <w:t>26</w:t>
      </w:r>
      <w:r w:rsidR="008E4A1B">
        <w:rPr>
          <w:rFonts w:eastAsia="Arial"/>
        </w:rPr>
        <w:fldChar w:fldCharType="end"/>
      </w:r>
    </w:p>
    <w:p w:rsidR="003775B3" w:rsidRDefault="003775B3" w:rsidP="00816515">
      <w:pPr>
        <w:rPr>
          <w:rFonts w:eastAsia="Arial"/>
        </w:rPr>
      </w:pPr>
    </w:p>
    <w:p w:rsidR="00816515" w:rsidRPr="00DF0C68" w:rsidRDefault="003775B3" w:rsidP="00816515">
      <w:pPr>
        <w:rPr>
          <w:rFonts w:eastAsia="Arial"/>
          <w:spacing w:val="-4"/>
        </w:rPr>
      </w:pPr>
      <w:r>
        <w:rPr>
          <w:rFonts w:eastAsia="Arial"/>
        </w:rPr>
        <w:t>The s</w:t>
      </w:r>
      <w:r w:rsidR="00816515" w:rsidRPr="00DF0C68">
        <w:rPr>
          <w:rFonts w:eastAsia="Arial"/>
        </w:rPr>
        <w:t xml:space="preserve">elf-reported health </w:t>
      </w:r>
      <w:r w:rsidR="00816515">
        <w:rPr>
          <w:rFonts w:eastAsia="Arial"/>
        </w:rPr>
        <w:t xml:space="preserve">of people living in </w:t>
      </w:r>
      <w:r w:rsidR="00816515" w:rsidRPr="00DF0C68">
        <w:rPr>
          <w:rFonts w:eastAsia="Arial"/>
        </w:rPr>
        <w:t xml:space="preserve">WA </w:t>
      </w:r>
      <w:r w:rsidR="00816515">
        <w:rPr>
          <w:rFonts w:eastAsia="Arial"/>
        </w:rPr>
        <w:t xml:space="preserve">continues to improve and </w:t>
      </w:r>
      <w:r w:rsidR="00816515" w:rsidRPr="00DF0C68">
        <w:rPr>
          <w:rFonts w:eastAsia="Arial"/>
        </w:rPr>
        <w:t>is</w:t>
      </w:r>
      <w:r w:rsidR="00816515">
        <w:rPr>
          <w:rFonts w:eastAsia="Arial"/>
        </w:rPr>
        <w:t xml:space="preserve"> the </w:t>
      </w:r>
      <w:r w:rsidR="00816515" w:rsidRPr="00DF0C68">
        <w:rPr>
          <w:rFonts w:eastAsia="Arial"/>
        </w:rPr>
        <w:t xml:space="preserve">best it has been since </w:t>
      </w:r>
      <w:r w:rsidR="00F8324C">
        <w:rPr>
          <w:rFonts w:eastAsia="Arial"/>
        </w:rPr>
        <w:t xml:space="preserve">data collection </w:t>
      </w:r>
      <w:r w:rsidR="00816515" w:rsidRPr="00DF0C68">
        <w:rPr>
          <w:rFonts w:eastAsia="Arial"/>
        </w:rPr>
        <w:t>began in 2001.</w:t>
      </w:r>
      <w:r w:rsidR="008E4A1B">
        <w:rPr>
          <w:rFonts w:eastAsia="Arial"/>
        </w:rPr>
        <w:fldChar w:fldCharType="begin"/>
      </w:r>
      <w:r w:rsidR="00C21325">
        <w:rPr>
          <w:rFonts w:eastAsia="Arial"/>
        </w:rPr>
        <w:instrText xml:space="preserve"> ADDIN EN.CITE &lt;EndNote&gt;&lt;Cite&gt;&lt;Author&gt;Australian Bureau of Statistics&lt;/Author&gt;&lt;Year&gt;2015&lt;/Year&gt;&lt;RecNum&gt;36&lt;/RecNum&gt;&lt;DisplayText&gt;&lt;style face="superscript"&gt;8&lt;/style&gt;&lt;/DisplayText&gt;&lt;record&gt;&lt;rec-number&gt;36&lt;/rec-number&gt;&lt;foreign-keys&gt;&lt;key app="EN" db-id="zxa00wf2opvf9oeeset50xz7ezpfwre2v20z"&gt;36&lt;/key&gt;&lt;/foreign-keys&gt;&lt;ref-type name="Generic"&gt;13&lt;/ref-type&gt;&lt;contributors&gt;&lt;authors&gt;&lt;author&gt;Australian Bureau of Statistics,&lt;/author&gt;&lt;/authors&gt;&lt;/contributors&gt;&lt;titles&gt;&lt;title&gt;4364.0.55.001 - National Health Survey: first results, 2014-2015 - Australia&lt;/title&gt;&lt;/titles&gt;&lt;dates&gt;&lt;year&gt;2015&lt;/year&gt;&lt;/dates&gt;&lt;pub-location&gt;Canberra&lt;/pub-location&gt;&lt;publisher&gt;Australian Bureau of Statistics&lt;/publisher&gt;&lt;urls&gt;&lt;related-urls&gt;&lt;url&gt;http://www.abs.gov.au/AUSSTATS/abs@.nsf/DetailsPage/4364.0.55.0012014-15?OpenDocument&lt;/url&gt;&lt;/related-urls&gt;&lt;/urls&gt;&lt;/record&gt;&lt;/Cite&gt;&lt;/EndNote&gt;</w:instrText>
      </w:r>
      <w:r w:rsidR="008E4A1B">
        <w:rPr>
          <w:rFonts w:eastAsia="Arial"/>
        </w:rPr>
        <w:fldChar w:fldCharType="separate"/>
      </w:r>
      <w:r w:rsidR="00C21325" w:rsidRPr="00C21325">
        <w:rPr>
          <w:rFonts w:eastAsia="Arial"/>
          <w:noProof/>
          <w:vertAlign w:val="superscript"/>
        </w:rPr>
        <w:t>8</w:t>
      </w:r>
      <w:r w:rsidR="008E4A1B">
        <w:rPr>
          <w:rFonts w:eastAsia="Arial"/>
        </w:rPr>
        <w:fldChar w:fldCharType="end"/>
      </w:r>
      <w:r w:rsidR="00164E33" w:rsidRPr="00DF0C68">
        <w:rPr>
          <w:rFonts w:eastAsia="Arial"/>
          <w:spacing w:val="-4"/>
        </w:rPr>
        <w:t xml:space="preserve"> </w:t>
      </w:r>
      <w:r w:rsidR="00816515" w:rsidRPr="00DF0C68">
        <w:rPr>
          <w:rFonts w:eastAsia="Arial"/>
          <w:spacing w:val="-4"/>
        </w:rPr>
        <w:br/>
      </w:r>
    </w:p>
    <w:p w:rsidR="00816515" w:rsidRPr="00DF0C68" w:rsidRDefault="009C5792" w:rsidP="00816515">
      <w:pPr>
        <w:rPr>
          <w:rFonts w:eastAsia="Arial"/>
          <w:spacing w:val="-18"/>
        </w:rPr>
      </w:pPr>
      <w:r>
        <w:rPr>
          <w:rFonts w:eastAsia="Arial"/>
          <w:noProof/>
          <w:lang w:val="en-AU" w:eastAsia="en-AU"/>
        </w:rPr>
        <mc:AlternateContent>
          <mc:Choice Requires="wps">
            <w:drawing>
              <wp:anchor distT="0" distB="0" distL="114300" distR="114300" simplePos="0" relativeHeight="251722752" behindDoc="0" locked="0" layoutInCell="1" allowOverlap="1" wp14:anchorId="52ADDC4C" wp14:editId="72E92B65">
                <wp:simplePos x="0" y="0"/>
                <wp:positionH relativeFrom="column">
                  <wp:posOffset>3503295</wp:posOffset>
                </wp:positionH>
                <wp:positionV relativeFrom="paragraph">
                  <wp:posOffset>75565</wp:posOffset>
                </wp:positionV>
                <wp:extent cx="2065655" cy="1000125"/>
                <wp:effectExtent l="0" t="0" r="10795" b="28575"/>
                <wp:wrapSquare wrapText="bothSides"/>
                <wp:docPr id="3" name="Rounded Rectangle 3"/>
                <wp:cNvGraphicFramePr/>
                <a:graphic xmlns:a="http://schemas.openxmlformats.org/drawingml/2006/main">
                  <a:graphicData uri="http://schemas.microsoft.com/office/word/2010/wordprocessingShape">
                    <wps:wsp>
                      <wps:cNvSpPr/>
                      <wps:spPr>
                        <a:xfrm>
                          <a:off x="0" y="0"/>
                          <a:ext cx="2065655" cy="1000125"/>
                        </a:xfrm>
                        <a:prstGeom prst="roundRect">
                          <a:avLst/>
                        </a:prstGeom>
                        <a:solidFill>
                          <a:schemeClr val="bg1">
                            <a:lumMod val="95000"/>
                          </a:schemeClr>
                        </a:solidFill>
                        <a:ln>
                          <a:solidFill>
                            <a:schemeClr val="bg1">
                              <a:lumMod val="50000"/>
                            </a:schemeClr>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F65DF4" w:rsidRPr="006C3415" w:rsidRDefault="00F65DF4" w:rsidP="007E6016">
                            <w:pPr>
                              <w:shd w:val="clear" w:color="auto" w:fill="F2F2F2" w:themeFill="background1" w:themeFillShade="F2"/>
                              <w:jc w:val="center"/>
                              <w:rPr>
                                <w:b/>
                                <w:i/>
                                <w:color w:val="808080" w:themeColor="background1" w:themeShade="80"/>
                                <w:sz w:val="26"/>
                                <w:szCs w:val="26"/>
                              </w:rPr>
                            </w:pPr>
                            <w:r w:rsidRPr="006C3415">
                              <w:rPr>
                                <w:rFonts w:eastAsia="Arial"/>
                                <w:b/>
                                <w:i/>
                                <w:color w:val="808080" w:themeColor="background1" w:themeShade="80"/>
                                <w:sz w:val="26"/>
                                <w:szCs w:val="26"/>
                              </w:rPr>
                              <w:t>… self-reported health of people living in WA continues to improve…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275.85pt;margin-top:5.95pt;width:162.65pt;height:7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" fillcolor="#f2f2f2 [3052]" strokecolor="#7f7f7f [1612]" strokeweight="2pt">
                <v:textbox>
                  <w:txbxContent>
                    <w:p w:rsidR="00F65DF4" w:rsidRPr="006C3415" w:rsidRDefault="00F65DF4" w:rsidP="007E6016">
                      <w:pPr>
                        <w:shd w:val="clear" w:color="auto" w:fill="F2F2F2" w:themeFill="background1" w:themeFillShade="F2"/>
                        <w:jc w:val="center"/>
                        <w:rPr>
                          <w:b/>
                          <w:i/>
                          <w:color w:val="808080" w:themeColor="background1" w:themeShade="80"/>
                          <w:sz w:val="26"/>
                          <w:szCs w:val="26"/>
                        </w:rPr>
                      </w:pPr>
                      <w:r w:rsidRPr="006C3415">
                        <w:rPr>
                          <w:rFonts w:eastAsia="Arial"/>
                          <w:b/>
                          <w:i/>
                          <w:color w:val="808080" w:themeColor="background1" w:themeShade="80"/>
                          <w:sz w:val="26"/>
                          <w:szCs w:val="26"/>
                        </w:rPr>
                        <w:t>… self-reported health of people living in WA continues to improve…</w:t>
                      </w:r>
                    </w:p>
                  </w:txbxContent>
                </v:textbox>
                <w10:wrap type="square"/>
              </v:roundrect>
            </w:pict>
          </mc:Fallback>
        </mc:AlternateContent>
      </w:r>
      <w:r w:rsidR="00816515">
        <w:rPr>
          <w:rFonts w:eastAsia="Arial"/>
          <w:spacing w:val="-4"/>
        </w:rPr>
        <w:t xml:space="preserve">People in </w:t>
      </w:r>
      <w:r w:rsidR="00816515" w:rsidRPr="00DF0C68">
        <w:rPr>
          <w:rFonts w:eastAsia="Arial"/>
          <w:spacing w:val="-4"/>
        </w:rPr>
        <w:t>WA</w:t>
      </w:r>
      <w:r w:rsidR="00816515">
        <w:rPr>
          <w:rFonts w:eastAsia="Arial"/>
          <w:spacing w:val="-4"/>
        </w:rPr>
        <w:t xml:space="preserve"> </w:t>
      </w:r>
      <w:r w:rsidR="00816515" w:rsidRPr="00DF0C68">
        <w:rPr>
          <w:rFonts w:eastAsia="Arial"/>
          <w:spacing w:val="-4"/>
        </w:rPr>
        <w:t xml:space="preserve">are </w:t>
      </w:r>
      <w:r w:rsidR="00816515" w:rsidRPr="00DF0C68">
        <w:rPr>
          <w:rFonts w:eastAsia="Arial"/>
        </w:rPr>
        <w:t>leading longe</w:t>
      </w:r>
      <w:r w:rsidR="00816515" w:rsidRPr="00DF0C68">
        <w:rPr>
          <w:rFonts w:eastAsia="Arial"/>
          <w:spacing w:val="-13"/>
        </w:rPr>
        <w:t>r</w:t>
      </w:r>
      <w:r w:rsidR="00816515" w:rsidRPr="00DF0C68">
        <w:rPr>
          <w:rFonts w:eastAsia="Arial"/>
        </w:rPr>
        <w:t xml:space="preserve">, healthier and more injury-free lives due to a range of factors, including improved control of many infectious diseases, better sanitation and hygiene, safer living and working conditions, and advances in medicine and </w:t>
      </w:r>
      <w:r w:rsidR="009C5EBD">
        <w:rPr>
          <w:rFonts w:eastAsia="Arial"/>
        </w:rPr>
        <w:t>healthcare</w:t>
      </w:r>
      <w:r w:rsidR="00816515" w:rsidRPr="00DF0C68">
        <w:rPr>
          <w:rFonts w:eastAsia="Arial"/>
        </w:rPr>
        <w:t xml:space="preserve"> technolog</w:t>
      </w:r>
      <w:r w:rsidR="00816515" w:rsidRPr="00DF0C68">
        <w:rPr>
          <w:rFonts w:eastAsia="Arial"/>
          <w:spacing w:val="-18"/>
        </w:rPr>
        <w:t>y</w:t>
      </w:r>
      <w:r w:rsidR="00816515" w:rsidRPr="00DF0C68">
        <w:rPr>
          <w:rFonts w:eastAsia="Arial"/>
        </w:rPr>
        <w:t>.</w:t>
      </w:r>
      <w:r w:rsidR="00317310">
        <w:rPr>
          <w:rFonts w:eastAsia="Arial"/>
        </w:rPr>
        <w:t xml:space="preserve"> </w:t>
      </w:r>
      <w:r w:rsidR="00AE1C9F">
        <w:rPr>
          <w:rFonts w:eastAsia="Arial"/>
        </w:rPr>
        <w:t>D</w:t>
      </w:r>
      <w:r w:rsidR="00816515">
        <w:rPr>
          <w:rFonts w:eastAsia="Arial"/>
        </w:rPr>
        <w:t xml:space="preserve">eclines in tobacco </w:t>
      </w:r>
      <w:r w:rsidR="008D3261">
        <w:rPr>
          <w:rFonts w:eastAsia="Arial"/>
        </w:rPr>
        <w:t>use</w:t>
      </w:r>
      <w:r w:rsidR="00816515" w:rsidRPr="00DF0C68">
        <w:rPr>
          <w:rFonts w:eastAsia="Arial"/>
        </w:rPr>
        <w:t xml:space="preserve"> and </w:t>
      </w:r>
      <w:r w:rsidR="00816515">
        <w:rPr>
          <w:rFonts w:eastAsia="Arial"/>
        </w:rPr>
        <w:t>effective health promotion</w:t>
      </w:r>
      <w:r w:rsidR="00816515" w:rsidRPr="00DF0C68">
        <w:rPr>
          <w:rFonts w:eastAsia="Arial"/>
        </w:rPr>
        <w:t xml:space="preserve"> </w:t>
      </w:r>
      <w:r w:rsidR="00AE1C9F">
        <w:rPr>
          <w:rFonts w:eastAsia="Arial"/>
        </w:rPr>
        <w:t xml:space="preserve">campaigns </w:t>
      </w:r>
      <w:r w:rsidR="00816515" w:rsidRPr="00DF0C68">
        <w:rPr>
          <w:rFonts w:eastAsia="Arial"/>
        </w:rPr>
        <w:t xml:space="preserve">have also </w:t>
      </w:r>
      <w:r w:rsidR="00117415">
        <w:rPr>
          <w:rFonts w:eastAsia="Arial"/>
        </w:rPr>
        <w:t xml:space="preserve">helped to </w:t>
      </w:r>
      <w:r w:rsidR="00816515" w:rsidRPr="00DF0C68">
        <w:rPr>
          <w:rFonts w:eastAsia="Arial"/>
        </w:rPr>
        <w:t xml:space="preserve">improve </w:t>
      </w:r>
      <w:r w:rsidR="00AE1C9F">
        <w:rPr>
          <w:rFonts w:eastAsia="Arial"/>
        </w:rPr>
        <w:t>the health of Western Australians.</w:t>
      </w:r>
      <w:r w:rsidR="008E4A1B">
        <w:rPr>
          <w:rFonts w:eastAsia="Arial"/>
        </w:rPr>
        <w:fldChar w:fldCharType="begin"/>
      </w:r>
      <w:r w:rsidR="00C21325">
        <w:rPr>
          <w:rFonts w:eastAsia="Arial"/>
        </w:rPr>
        <w:instrText xml:space="preserve"> ADDIN EN.CITE &lt;EndNote&gt;&lt;Cite&gt;&lt;Author&gt;Australian Institute of Health and Welfare&lt;/Author&gt;&lt;Year&gt;2014&lt;/Year&gt;&lt;RecNum&gt;4&lt;/RecNum&gt;&lt;DisplayText&gt;&lt;style face="superscript"&gt;1, 6&lt;/style&gt;&lt;/DisplayText&gt;&lt;record&gt;&lt;rec-number&gt;4&lt;/rec-number&gt;&lt;foreign-keys&gt;&lt;key app="EN" db-id="zxa00wf2opvf9oeeset50xz7ezpfwre2v20z"&gt;4&lt;/key&gt;&lt;/foreign-keys&gt;&lt;ref-type name="Web Page"&gt;12&lt;/ref-type&gt;&lt;contributors&gt;&lt;authors&gt;&lt;author&gt;Australian Institute of Health and Welfare,&lt;/author&gt;&lt;/authors&gt;&lt;/contributors&gt;&lt;titles&gt;&lt;title&gt;Australia&amp;apos;s health 2014. Australia&amp;apos;s health series no. 12. Cat. no. AUS 178&lt;/title&gt;&lt;/titles&gt;&lt;dates&gt;&lt;year&gt;2014&lt;/year&gt;&lt;/dates&gt;&lt;pub-location&gt;Canberra&lt;/pub-location&gt;&lt;publisher&gt;Australian Institute of Health and Welfare&lt;/publisher&gt;&lt;urls&gt;&lt;related-urls&gt;&lt;url&gt;http://www.aihw.gov.au/WorkArea/DownloadAsset.aspx?id=60129548150&lt;/url&gt;&lt;/related-urls&gt;&lt;/urls&gt;&lt;/record&gt;&lt;/Cite&gt;&lt;Cite&gt;&lt;Author&gt;Hocking S&lt;/Author&gt;&lt;Year&gt;2010&lt;/Year&gt;&lt;RecNum&gt;528&lt;/RecNum&gt;&lt;record&gt;&lt;rec-number&gt;528&lt;/rec-number&gt;&lt;foreign-keys&gt;&lt;key app="EN" db-id="zxa00wf2opvf9oeeset50xz7ezpfwre2v20z"&gt;528&lt;/key&gt;&lt;/foreign-keys&gt;&lt;ref-type name="Report"&gt;27&lt;/ref-type&gt;&lt;contributors&gt;&lt;authors&gt;&lt;author&gt;Hocking S,&lt;/author&gt;&lt;author&gt;Draper G,&lt;/author&gt;&lt;author&gt;Somerford P,&lt;/author&gt;&lt;author&gt;Xiao J,&lt;/author&gt;&lt;author&gt;Weeramanthri T,&lt;/author&gt;&lt;/authors&gt;&lt;/contributors&gt;&lt;titles&gt;&lt;title&gt;The Western Australian Chief Health Officer’s report 2010.&lt;/title&gt;&lt;/titles&gt;&lt;dates&gt;&lt;year&gt;2010&lt;/year&gt;&lt;/dates&gt;&lt;pub-location&gt;Perth&lt;/pub-location&gt;&lt;publisher&gt;Department of Health, Western Australia&lt;/publisher&gt;&lt;urls&gt;&lt;related-urls&gt;&lt;url&gt;http://www.health.wa.gov.au/publications/documents/WA_chief_health_officers_report_2010.pdf&lt;/url&gt;&lt;/related-urls&gt;&lt;/urls&gt;&lt;/record&gt;&lt;/Cite&gt;&lt;/EndNote&gt;</w:instrText>
      </w:r>
      <w:r w:rsidR="008E4A1B">
        <w:rPr>
          <w:rFonts w:eastAsia="Arial"/>
        </w:rPr>
        <w:fldChar w:fldCharType="separate"/>
      </w:r>
      <w:r w:rsidR="00C21325" w:rsidRPr="00C21325">
        <w:rPr>
          <w:rFonts w:eastAsia="Arial"/>
          <w:noProof/>
          <w:vertAlign w:val="superscript"/>
        </w:rPr>
        <w:t>1, 6</w:t>
      </w:r>
      <w:r w:rsidR="008E4A1B">
        <w:rPr>
          <w:rFonts w:eastAsia="Arial"/>
        </w:rPr>
        <w:fldChar w:fldCharType="end"/>
      </w:r>
      <w:r w:rsidR="00816515" w:rsidRPr="00DF0C68">
        <w:rPr>
          <w:rFonts w:eastAsia="Arial"/>
          <w:spacing w:val="-18"/>
        </w:rPr>
        <w:br/>
      </w:r>
    </w:p>
    <w:p w:rsidR="00816515" w:rsidRPr="006C3415" w:rsidRDefault="00816515" w:rsidP="000A1A06">
      <w:pPr>
        <w:rPr>
          <w:rFonts w:eastAsiaTheme="majorEastAsia"/>
          <w:b/>
          <w:color w:val="808080" w:themeColor="background1" w:themeShade="80"/>
          <w:sz w:val="32"/>
          <w:szCs w:val="32"/>
        </w:rPr>
      </w:pPr>
      <w:r w:rsidRPr="006C3415">
        <w:rPr>
          <w:rFonts w:eastAsiaTheme="majorEastAsia"/>
          <w:b/>
          <w:color w:val="808080" w:themeColor="background1" w:themeShade="80"/>
          <w:sz w:val="32"/>
          <w:szCs w:val="32"/>
        </w:rPr>
        <w:t>… but there is still room for improvement</w:t>
      </w:r>
    </w:p>
    <w:p w:rsidR="00816515" w:rsidRPr="004D6B04" w:rsidRDefault="00816515" w:rsidP="00816515">
      <w:pPr>
        <w:pStyle w:val="ListParagraph"/>
        <w:rPr>
          <w:rFonts w:eastAsia="Arial"/>
        </w:rPr>
      </w:pPr>
    </w:p>
    <w:p w:rsidR="00816515" w:rsidRDefault="00816515" w:rsidP="00816515">
      <w:pPr>
        <w:rPr>
          <w:rFonts w:eastAsia="Arial"/>
          <w:spacing w:val="-18"/>
        </w:rPr>
      </w:pPr>
      <w:r>
        <w:rPr>
          <w:rFonts w:eastAsia="Arial"/>
        </w:rPr>
        <w:t>Modifiable lifestyle behaviours are still a major contributor to d</w:t>
      </w:r>
      <w:r w:rsidRPr="00DF0C68">
        <w:rPr>
          <w:rFonts w:eastAsia="Arial"/>
        </w:rPr>
        <w:t xml:space="preserve">eath and ill-health in WA. </w:t>
      </w:r>
      <w:r w:rsidR="00677986">
        <w:rPr>
          <w:rFonts w:eastAsia="Arial"/>
        </w:rPr>
        <w:t xml:space="preserve">In 2006, </w:t>
      </w:r>
      <w:r w:rsidRPr="00DF0C68">
        <w:rPr>
          <w:rFonts w:eastAsia="Arial"/>
        </w:rPr>
        <w:t>6</w:t>
      </w:r>
      <w:r w:rsidR="00677986">
        <w:rPr>
          <w:rFonts w:eastAsia="Arial"/>
        </w:rPr>
        <w:t>4</w:t>
      </w:r>
      <w:r w:rsidRPr="00DF0C68">
        <w:rPr>
          <w:rFonts w:eastAsia="Arial"/>
        </w:rPr>
        <w:t xml:space="preserve">% of all deaths in </w:t>
      </w:r>
      <w:r w:rsidR="00662F91">
        <w:rPr>
          <w:rFonts w:eastAsia="Arial"/>
        </w:rPr>
        <w:t>people</w:t>
      </w:r>
      <w:r w:rsidR="0060405C">
        <w:rPr>
          <w:rFonts w:eastAsia="Arial"/>
        </w:rPr>
        <w:t xml:space="preserve"> in WA</w:t>
      </w:r>
      <w:r w:rsidR="00662F91">
        <w:rPr>
          <w:rFonts w:eastAsia="Arial"/>
        </w:rPr>
        <w:t xml:space="preserve"> aged under</w:t>
      </w:r>
      <w:r w:rsidRPr="00DF0C68">
        <w:rPr>
          <w:rFonts w:eastAsia="Arial"/>
        </w:rPr>
        <w:t xml:space="preserve"> 75 </w:t>
      </w:r>
      <w:r w:rsidR="00662F91">
        <w:rPr>
          <w:rFonts w:eastAsia="Arial"/>
        </w:rPr>
        <w:t>were</w:t>
      </w:r>
      <w:r w:rsidRPr="00DF0C68">
        <w:rPr>
          <w:rFonts w:eastAsia="Arial"/>
        </w:rPr>
        <w:t xml:space="preserve"> potentially avoidable</w:t>
      </w:r>
      <w:r w:rsidR="00662F91">
        <w:rPr>
          <w:rFonts w:eastAsia="Arial"/>
        </w:rPr>
        <w:t xml:space="preserve">. The </w:t>
      </w:r>
      <w:r w:rsidRPr="00DF0C68">
        <w:rPr>
          <w:rFonts w:eastAsia="Arial"/>
        </w:rPr>
        <w:t xml:space="preserve">majority of </w:t>
      </w:r>
      <w:r>
        <w:rPr>
          <w:rFonts w:eastAsia="Arial"/>
        </w:rPr>
        <w:t>th</w:t>
      </w:r>
      <w:r w:rsidR="00662F91">
        <w:rPr>
          <w:rFonts w:eastAsia="Arial"/>
        </w:rPr>
        <w:t>o</w:t>
      </w:r>
      <w:r>
        <w:rPr>
          <w:rFonts w:eastAsia="Arial"/>
        </w:rPr>
        <w:t xml:space="preserve">se deaths </w:t>
      </w:r>
      <w:r w:rsidR="00662F91">
        <w:rPr>
          <w:rFonts w:eastAsia="Arial"/>
        </w:rPr>
        <w:t xml:space="preserve">were due to </w:t>
      </w:r>
      <w:r w:rsidRPr="00DF0C68">
        <w:rPr>
          <w:rFonts w:eastAsia="Arial"/>
        </w:rPr>
        <w:t>chronic disease</w:t>
      </w:r>
      <w:r w:rsidRPr="00DF0C68">
        <w:rPr>
          <w:rFonts w:eastAsia="Arial"/>
          <w:spacing w:val="-18"/>
        </w:rPr>
        <w:t>.</w:t>
      </w:r>
      <w:r w:rsidR="008E4A1B">
        <w:rPr>
          <w:rFonts w:eastAsia="Arial"/>
          <w:spacing w:val="-18"/>
        </w:rPr>
        <w:fldChar w:fldCharType="begin"/>
      </w:r>
      <w:r w:rsidR="00C21325">
        <w:rPr>
          <w:rFonts w:eastAsia="Arial"/>
          <w:spacing w:val="-18"/>
        </w:rPr>
        <w:instrText xml:space="preserve"> ADDIN EN.CITE &lt;EndNote&gt;&lt;Cite&gt;&lt;Author&gt;Hocking S&lt;/Author&gt;&lt;Year&gt;2010&lt;/Year&gt;&lt;RecNum&gt;528&lt;/RecNum&gt;&lt;DisplayText&gt;&lt;style face="superscript"&gt;6&lt;/style&gt;&lt;/DisplayText&gt;&lt;record&gt;&lt;rec-number&gt;528&lt;/rec-number&gt;&lt;foreign-keys&gt;&lt;key app="EN" db-id="zxa00wf2opvf9oeeset50xz7ezpfwre2v20z"&gt;528&lt;/key&gt;&lt;/foreign-keys&gt;&lt;ref-type name="Report"&gt;27&lt;/ref-type&gt;&lt;contributors&gt;&lt;authors&gt;&lt;author&gt;Hocking S,&lt;/author&gt;&lt;author&gt;Draper G,&lt;/author&gt;&lt;author&gt;Somerford P,&lt;/author&gt;&lt;author&gt;Xiao J,&lt;/author&gt;&lt;author&gt;Weeramanthri T,&lt;/author&gt;&lt;/authors&gt;&lt;/contributors&gt;&lt;titles&gt;&lt;title&gt;The Western Australian Chief Health Officer’s report 2010.&lt;/title&gt;&lt;/titles&gt;&lt;dates&gt;&lt;year&gt;2010&lt;/year&gt;&lt;/dates&gt;&lt;pub-location&gt;Perth&lt;/pub-location&gt;&lt;publisher&gt;Department of Health, Western Australia&lt;/publisher&gt;&lt;urls&gt;&lt;related-urls&gt;&lt;url&gt;http://www.health.wa.gov.au/publications/documents/WA_chief_health_officers_report_2010.pdf&lt;/url&gt;&lt;/related-urls&gt;&lt;/urls&gt;&lt;/record&gt;&lt;/Cite&gt;&lt;/EndNote&gt;</w:instrText>
      </w:r>
      <w:r w:rsidR="008E4A1B">
        <w:rPr>
          <w:rFonts w:eastAsia="Arial"/>
          <w:spacing w:val="-18"/>
        </w:rPr>
        <w:fldChar w:fldCharType="separate"/>
      </w:r>
      <w:r w:rsidR="00C21325" w:rsidRPr="00C21325">
        <w:rPr>
          <w:rFonts w:eastAsia="Arial"/>
          <w:noProof/>
          <w:spacing w:val="-18"/>
          <w:vertAlign w:val="superscript"/>
        </w:rPr>
        <w:t>6</w:t>
      </w:r>
      <w:r w:rsidR="008E4A1B">
        <w:rPr>
          <w:rFonts w:eastAsia="Arial"/>
          <w:spacing w:val="-18"/>
        </w:rPr>
        <w:fldChar w:fldCharType="end"/>
      </w:r>
      <w:r w:rsidRPr="00DF0C68">
        <w:rPr>
          <w:rFonts w:eastAsia="Arial"/>
          <w:spacing w:val="-18"/>
        </w:rPr>
        <w:t xml:space="preserve"> </w:t>
      </w:r>
      <w:r w:rsidRPr="00DF0C68">
        <w:rPr>
          <w:rFonts w:eastAsia="Arial"/>
          <w:spacing w:val="-18"/>
        </w:rPr>
        <w:br/>
      </w:r>
    </w:p>
    <w:p w:rsidR="005B34AC" w:rsidRDefault="005B34AC" w:rsidP="005B34AC">
      <w:pPr>
        <w:rPr>
          <w:rFonts w:eastAsia="Arial"/>
        </w:rPr>
      </w:pPr>
      <w:r w:rsidRPr="005B34AC">
        <w:rPr>
          <w:rFonts w:eastAsia="Arial"/>
        </w:rPr>
        <w:t>In Australia in 2011, the risk factors responsible for the greatest burden of disease were tobacco use (9%), dietary risks (7%), and high body mass and alcohol use (both 5%).</w:t>
      </w:r>
      <w:r w:rsidRPr="005B34AC">
        <w:rPr>
          <w:rFonts w:eastAsia="Arial"/>
        </w:rPr>
        <w:fldChar w:fldCharType="begin"/>
      </w:r>
      <w:r w:rsidR="00C21325">
        <w:rPr>
          <w:rFonts w:eastAsia="Arial"/>
        </w:rPr>
        <w:instrText xml:space="preserve"> ADDIN EN.CITE &lt;EndNote&gt;&lt;Cite&gt;&lt;Author&gt;Australian Institute of Health and Welfare&lt;/Author&gt;&lt;Year&gt;2016&lt;/Year&gt;&lt;RecNum&gt;1085&lt;/RecNum&gt;&lt;DisplayText&gt;&lt;style face="superscript"&gt;7&lt;/style&gt;&lt;/DisplayText&gt;&lt;record&gt;&lt;rec-number&gt;1085&lt;/rec-number&gt;&lt;foreign-keys&gt;&lt;key app="EN" db-id="zxa00wf2opvf9oeeset50xz7ezpfwre2v20z"&gt;1085&lt;/key&gt;&lt;/foreign-keys&gt;&lt;ref-type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2011-Summary report. Australian Burden of Disease Study series no. 4. BOD 5.&lt;/title&gt;&lt;/titles&gt;&lt;dates&gt;&lt;year&gt;2016&lt;/year&gt;&lt;/dates&gt;&lt;pub-location&gt;Canberra&lt;/pub-location&gt;&lt;publisher&gt;AIHW&lt;/publisher&gt;&lt;urls&gt;&lt;related-urls&gt;&lt;url&gt;http://www.aihw.gov.au/publication-detail/?id=60129556205&lt;/url&gt;&lt;/related-urls&gt;&lt;/urls&gt;&lt;/record&gt;&lt;/Cite&gt;&lt;/EndNote&gt;</w:instrText>
      </w:r>
      <w:r w:rsidRPr="005B34AC">
        <w:rPr>
          <w:rFonts w:eastAsia="Arial"/>
        </w:rPr>
        <w:fldChar w:fldCharType="separate"/>
      </w:r>
      <w:r w:rsidR="00C21325" w:rsidRPr="00C21325">
        <w:rPr>
          <w:rFonts w:eastAsia="Arial"/>
          <w:noProof/>
          <w:vertAlign w:val="superscript"/>
        </w:rPr>
        <w:t>7</w:t>
      </w:r>
      <w:r w:rsidRPr="005B34AC">
        <w:rPr>
          <w:rFonts w:eastAsia="Arial"/>
        </w:rPr>
        <w:fldChar w:fldCharType="end"/>
      </w:r>
      <w:r w:rsidR="0099210E">
        <w:rPr>
          <w:rFonts w:eastAsia="Arial"/>
        </w:rPr>
        <w:t xml:space="preserve"> </w:t>
      </w:r>
      <w:r w:rsidR="00C63195">
        <w:rPr>
          <w:rFonts w:eastAsia="Arial"/>
        </w:rPr>
        <w:t>C</w:t>
      </w:r>
      <w:r w:rsidRPr="005B34AC">
        <w:rPr>
          <w:rFonts w:eastAsia="Arial"/>
        </w:rPr>
        <w:t>ompared with other disease groups, injuries (including self-harm and suicide) caused the fifth largest burden of disease in Australia.</w:t>
      </w:r>
      <w:r w:rsidRPr="005B34AC">
        <w:rPr>
          <w:rFonts w:eastAsia="Arial"/>
        </w:rPr>
        <w:fldChar w:fldCharType="begin"/>
      </w:r>
      <w:r w:rsidRPr="005B34AC">
        <w:rPr>
          <w:rFonts w:eastAsia="Arial"/>
        </w:rPr>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Pr="005B34AC">
        <w:rPr>
          <w:rFonts w:eastAsia="Arial"/>
        </w:rPr>
        <w:fldChar w:fldCharType="separate"/>
      </w:r>
      <w:r w:rsidRPr="005B34AC">
        <w:rPr>
          <w:rFonts w:eastAsia="Arial"/>
          <w:noProof/>
          <w:vertAlign w:val="superscript"/>
        </w:rPr>
        <w:t>2</w:t>
      </w:r>
      <w:r w:rsidRPr="005B34AC">
        <w:rPr>
          <w:rFonts w:eastAsia="Arial"/>
        </w:rPr>
        <w:fldChar w:fldCharType="end"/>
      </w:r>
      <w:r>
        <w:rPr>
          <w:rFonts w:eastAsia="Arial"/>
        </w:rPr>
        <w:t xml:space="preserve"> </w:t>
      </w:r>
    </w:p>
    <w:p w:rsidR="005B34AC" w:rsidRDefault="005B34AC" w:rsidP="00816515">
      <w:pPr>
        <w:rPr>
          <w:rFonts w:eastAsia="Arial"/>
        </w:rPr>
      </w:pPr>
    </w:p>
    <w:p w:rsidR="00816515" w:rsidRDefault="007923BA" w:rsidP="00816515">
      <w:pPr>
        <w:rPr>
          <w:rFonts w:eastAsia="Arial"/>
        </w:rPr>
      </w:pPr>
      <w:r>
        <w:rPr>
          <w:rFonts w:eastAsia="Arial"/>
        </w:rPr>
        <w:t>In 2013</w:t>
      </w:r>
      <w:r w:rsidR="00816515">
        <w:rPr>
          <w:rFonts w:eastAsia="Arial"/>
        </w:rPr>
        <w:t xml:space="preserve">, </w:t>
      </w:r>
      <w:r w:rsidR="00D82BBB">
        <w:rPr>
          <w:rFonts w:eastAsia="Arial"/>
        </w:rPr>
        <w:t xml:space="preserve">there were 3,177 </w:t>
      </w:r>
      <w:r w:rsidR="00035D6B">
        <w:rPr>
          <w:rFonts w:eastAsia="Arial"/>
        </w:rPr>
        <w:t xml:space="preserve">deaths </w:t>
      </w:r>
      <w:r w:rsidR="00D82BBB">
        <w:rPr>
          <w:rFonts w:eastAsia="Arial"/>
        </w:rPr>
        <w:t xml:space="preserve">in WA </w:t>
      </w:r>
      <w:r w:rsidR="00035D6B">
        <w:rPr>
          <w:rFonts w:eastAsia="Arial"/>
        </w:rPr>
        <w:t xml:space="preserve">from </w:t>
      </w:r>
      <w:r w:rsidR="00816515">
        <w:rPr>
          <w:rFonts w:eastAsia="Arial"/>
        </w:rPr>
        <w:t xml:space="preserve">coronary </w:t>
      </w:r>
      <w:r w:rsidR="00816515" w:rsidRPr="00DF0C68">
        <w:rPr>
          <w:rFonts w:eastAsia="Arial"/>
        </w:rPr>
        <w:t>heart disease, cerebrovascular disease and lung cancer</w:t>
      </w:r>
      <w:r w:rsidR="00D82BBB">
        <w:rPr>
          <w:rFonts w:eastAsia="Arial"/>
        </w:rPr>
        <w:t xml:space="preserve"> combined</w:t>
      </w:r>
      <w:r w:rsidR="005C41B4">
        <w:rPr>
          <w:rFonts w:eastAsia="Arial"/>
        </w:rPr>
        <w:t>—</w:t>
      </w:r>
      <w:r w:rsidR="00816515" w:rsidRPr="00DF0C68">
        <w:rPr>
          <w:rFonts w:eastAsia="Arial"/>
        </w:rPr>
        <w:t xml:space="preserve">all chronic diseases </w:t>
      </w:r>
      <w:r w:rsidR="00861D34">
        <w:rPr>
          <w:rFonts w:eastAsia="Arial"/>
        </w:rPr>
        <w:t xml:space="preserve">which are </w:t>
      </w:r>
      <w:r w:rsidR="00816515" w:rsidRPr="00DF0C68">
        <w:rPr>
          <w:rFonts w:eastAsia="Arial"/>
        </w:rPr>
        <w:t>linked to modifiable lifestyle behaviours</w:t>
      </w:r>
      <w:r w:rsidR="00816515" w:rsidRPr="000242ED">
        <w:rPr>
          <w:rFonts w:eastAsia="Arial"/>
        </w:rPr>
        <w:t>.</w:t>
      </w:r>
      <w:r w:rsidR="008E4A1B">
        <w:rPr>
          <w:rFonts w:eastAsia="Arial"/>
        </w:rPr>
        <w:fldChar w:fldCharType="begin"/>
      </w:r>
      <w:r w:rsidR="009F7E7C">
        <w:rPr>
          <w:rFonts w:eastAsia="Arial"/>
        </w:rPr>
        <w:instrText xml:space="preserve"> ADDIN EN.CITE &lt;EndNote&gt;&lt;Cite&gt;&lt;Author&gt;Epidemiology Branch&lt;/Author&gt;&lt;Year&gt;2016&lt;/Year&gt;&lt;RecNum&gt;978&lt;/RecNum&gt;&lt;DisplayText&gt;&lt;style face="superscript"&gt;27&lt;/style&gt;&lt;/DisplayText&gt;&lt;record&gt;&lt;rec-number&gt;978&lt;/rec-number&gt;&lt;foreign-keys&gt;&lt;key app="EN" db-id="zxa00wf2opvf9oeeset50xz7ezpfwre2v20z"&gt;978&lt;/key&gt;&lt;/foreign-keys&gt;&lt;ref-type name="Report"&gt;27&lt;/ref-type&gt;&lt;contributors&gt;&lt;authors&gt;&lt;author&gt;Epidemiology Branch,&lt;/author&gt;&lt;/authors&gt;&lt;/contributors&gt;&lt;titles&gt;&lt;title&gt;Chronic disease hospitalisations and deaths, HMDS&lt;/title&gt;&lt;/titles&gt;&lt;dates&gt;&lt;year&gt;2016&lt;/year&gt;&lt;/dates&gt;&lt;pub-location&gt;Perth&lt;/pub-location&gt;&lt;publisher&gt;Department of Health, Western Australia&lt;/publisher&gt;&lt;urls&gt;&lt;/urls&gt;&lt;/record&gt;&lt;/Cite&gt;&lt;/EndNote&gt;</w:instrText>
      </w:r>
      <w:r w:rsidR="008E4A1B">
        <w:rPr>
          <w:rFonts w:eastAsia="Arial"/>
        </w:rPr>
        <w:fldChar w:fldCharType="separate"/>
      </w:r>
      <w:r w:rsidR="009F7E7C" w:rsidRPr="009F7E7C">
        <w:rPr>
          <w:rFonts w:eastAsia="Arial"/>
          <w:noProof/>
          <w:vertAlign w:val="superscript"/>
        </w:rPr>
        <w:t>27</w:t>
      </w:r>
      <w:r w:rsidR="008E4A1B">
        <w:rPr>
          <w:rFonts w:eastAsia="Arial"/>
        </w:rPr>
        <w:fldChar w:fldCharType="end"/>
      </w:r>
    </w:p>
    <w:p w:rsidR="00816515" w:rsidRDefault="00816515" w:rsidP="00816515">
      <w:pPr>
        <w:rPr>
          <w:rFonts w:eastAsia="Arial"/>
        </w:rPr>
      </w:pPr>
    </w:p>
    <w:p w:rsidR="00816515" w:rsidRPr="00DF0C68" w:rsidRDefault="009C5792" w:rsidP="00816515">
      <w:pPr>
        <w:rPr>
          <w:rFonts w:eastAsia="Arial"/>
          <w:spacing w:val="-18"/>
        </w:rPr>
      </w:pPr>
      <w:r>
        <w:rPr>
          <w:rFonts w:eastAsia="Arial"/>
          <w:noProof/>
          <w:lang w:val="en-AU" w:eastAsia="en-AU"/>
        </w:rPr>
        <mc:AlternateContent>
          <mc:Choice Requires="wps">
            <w:drawing>
              <wp:anchor distT="71755" distB="71755" distL="144145" distR="144145" simplePos="0" relativeHeight="251723776" behindDoc="0" locked="0" layoutInCell="1" allowOverlap="1" wp14:anchorId="7632AF15" wp14:editId="1173C054">
                <wp:simplePos x="0" y="0"/>
                <wp:positionH relativeFrom="column">
                  <wp:posOffset>1270</wp:posOffset>
                </wp:positionH>
                <wp:positionV relativeFrom="page">
                  <wp:posOffset>7292975</wp:posOffset>
                </wp:positionV>
                <wp:extent cx="2247900" cy="1057275"/>
                <wp:effectExtent l="0" t="0" r="19050" b="28575"/>
                <wp:wrapSquare wrapText="bothSides"/>
                <wp:docPr id="7" name="Rounded Rectangle 7"/>
                <wp:cNvGraphicFramePr/>
                <a:graphic xmlns:a="http://schemas.openxmlformats.org/drawingml/2006/main">
                  <a:graphicData uri="http://schemas.microsoft.com/office/word/2010/wordprocessingShape">
                    <wps:wsp>
                      <wps:cNvSpPr/>
                      <wps:spPr>
                        <a:xfrm>
                          <a:off x="0" y="0"/>
                          <a:ext cx="2247900" cy="1057275"/>
                        </a:xfrm>
                        <a:prstGeom prst="roundRect">
                          <a:avLst/>
                        </a:prstGeom>
                        <a:solidFill>
                          <a:schemeClr val="bg1">
                            <a:lumMod val="95000"/>
                          </a:schemeClr>
                        </a:solidFill>
                        <a:ln>
                          <a:solidFill>
                            <a:schemeClr val="bg1">
                              <a:lumMod val="50000"/>
                            </a:schemeClr>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F65DF4" w:rsidRPr="006C3415" w:rsidRDefault="00F65DF4" w:rsidP="007E6016">
                            <w:pPr>
                              <w:shd w:val="clear" w:color="auto" w:fill="F2F2F2" w:themeFill="background1" w:themeFillShade="F2"/>
                              <w:jc w:val="center"/>
                              <w:rPr>
                                <w:rFonts w:eastAsia="Arial"/>
                                <w:b/>
                                <w:i/>
                                <w:color w:val="808080" w:themeColor="background1" w:themeShade="80"/>
                                <w:sz w:val="26"/>
                                <w:szCs w:val="26"/>
                              </w:rPr>
                            </w:pPr>
                            <w:r w:rsidRPr="006C3415">
                              <w:rPr>
                                <w:rFonts w:eastAsia="Arial"/>
                                <w:b/>
                                <w:i/>
                                <w:color w:val="808080" w:themeColor="background1" w:themeShade="80"/>
                                <w:sz w:val="26"/>
                                <w:szCs w:val="26"/>
                              </w:rPr>
                              <w:t>Around 60% of all WA deaths in those under 75 years of age are potentially avoidable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7" style="position:absolute;margin-left:.1pt;margin-top:574.25pt;width:177pt;height:83.25pt;z-index:251723776;visibility:visible;mso-wrap-style:square;mso-width-percent:0;mso-height-percent:0;mso-wrap-distance-left:11.35pt;mso-wrap-distance-top:5.65pt;mso-wrap-distance-right:11.35pt;mso-wrap-distance-bottom:5.65pt;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" fillcolor="#f2f2f2 [3052]" strokecolor="#7f7f7f [1612]" strokeweight="2pt">
                <v:textbox>
                  <w:txbxContent>
                    <w:p w:rsidR="00F65DF4" w:rsidRPr="006C3415" w:rsidRDefault="00F65DF4" w:rsidP="007E6016">
                      <w:pPr>
                        <w:shd w:val="clear" w:color="auto" w:fill="F2F2F2" w:themeFill="background1" w:themeFillShade="F2"/>
                        <w:jc w:val="center"/>
                        <w:rPr>
                          <w:rFonts w:eastAsia="Arial"/>
                          <w:b/>
                          <w:i/>
                          <w:color w:val="808080" w:themeColor="background1" w:themeShade="80"/>
                          <w:sz w:val="26"/>
                          <w:szCs w:val="26"/>
                        </w:rPr>
                      </w:pPr>
                      <w:r w:rsidRPr="006C3415">
                        <w:rPr>
                          <w:rFonts w:eastAsia="Arial"/>
                          <w:b/>
                          <w:i/>
                          <w:color w:val="808080" w:themeColor="background1" w:themeShade="80"/>
                          <w:sz w:val="26"/>
                          <w:szCs w:val="26"/>
                        </w:rPr>
                        <w:t>Around 60% of all WA deaths in those under 75 years of age are potentially avoidable …</w:t>
                      </w:r>
                    </w:p>
                  </w:txbxContent>
                </v:textbox>
                <w10:wrap type="square" anchory="page"/>
              </v:roundrect>
            </w:pict>
          </mc:Fallback>
        </mc:AlternateContent>
      </w:r>
      <w:r w:rsidR="00816515">
        <w:rPr>
          <w:rFonts w:eastAsia="Arial"/>
        </w:rPr>
        <w:t>Between 2010 and 2014, chronic diseases were responsible for more than 950,000 hospitalisations in WA, and over 200,000 hospitalisations in 2014 alone.</w:t>
      </w:r>
      <w:r w:rsidR="008E4A1B">
        <w:rPr>
          <w:rFonts w:eastAsia="Arial"/>
        </w:rPr>
        <w:fldChar w:fldCharType="begin"/>
      </w:r>
      <w:r w:rsidR="009F7E7C">
        <w:rPr>
          <w:rFonts w:eastAsia="Arial"/>
        </w:rPr>
        <w:instrText xml:space="preserve"> ADDIN EN.CITE &lt;EndNote&gt;&lt;Cite&gt;&lt;Author&gt;Epidemiology Branch&lt;/Author&gt;&lt;Year&gt;2016&lt;/Year&gt;&lt;RecNum&gt;978&lt;/RecNum&gt;&lt;DisplayText&gt;&lt;style face="superscript"&gt;27&lt;/style&gt;&lt;/DisplayText&gt;&lt;record&gt;&lt;rec-number&gt;978&lt;/rec-number&gt;&lt;foreign-keys&gt;&lt;key app="EN" db-id="zxa00wf2opvf9oeeset50xz7ezpfwre2v20z"&gt;978&lt;/key&gt;&lt;/foreign-keys&gt;&lt;ref-type name="Report"&gt;27&lt;/ref-type&gt;&lt;contributors&gt;&lt;authors&gt;&lt;author&gt;Epidemiology Branch,&lt;/author&gt;&lt;/authors&gt;&lt;/contributors&gt;&lt;titles&gt;&lt;title&gt;Chronic disease hospitalisations and deaths, HMDS&lt;/title&gt;&lt;/titles&gt;&lt;dates&gt;&lt;year&gt;2016&lt;/year&gt;&lt;/dates&gt;&lt;pub-location&gt;Perth&lt;/pub-location&gt;&lt;publisher&gt;Department of Health, Western Australia&lt;/publisher&gt;&lt;urls&gt;&lt;/urls&gt;&lt;/record&gt;&lt;/Cite&gt;&lt;/EndNote&gt;</w:instrText>
      </w:r>
      <w:r w:rsidR="008E4A1B">
        <w:rPr>
          <w:rFonts w:eastAsia="Arial"/>
        </w:rPr>
        <w:fldChar w:fldCharType="separate"/>
      </w:r>
      <w:r w:rsidR="009F7E7C" w:rsidRPr="009F7E7C">
        <w:rPr>
          <w:rFonts w:eastAsia="Arial"/>
          <w:noProof/>
          <w:vertAlign w:val="superscript"/>
        </w:rPr>
        <w:t>27</w:t>
      </w:r>
      <w:r w:rsidR="008E4A1B">
        <w:rPr>
          <w:rFonts w:eastAsia="Arial"/>
        </w:rPr>
        <w:fldChar w:fldCharType="end"/>
      </w:r>
      <w:r w:rsidR="00816515" w:rsidRPr="00DF0C68">
        <w:rPr>
          <w:rFonts w:eastAsia="Arial"/>
        </w:rPr>
        <w:br/>
      </w:r>
    </w:p>
    <w:p w:rsidR="004120FF" w:rsidRDefault="00816515" w:rsidP="00816515">
      <w:pPr>
        <w:rPr>
          <w:rFonts w:eastAsia="Arial"/>
        </w:rPr>
      </w:pPr>
      <w:r>
        <w:rPr>
          <w:rFonts w:eastAsia="Arial"/>
        </w:rPr>
        <w:t>I</w:t>
      </w:r>
      <w:r w:rsidRPr="00DF0C68">
        <w:rPr>
          <w:rFonts w:eastAsia="Arial"/>
        </w:rPr>
        <w:t>njury is a</w:t>
      </w:r>
      <w:r>
        <w:rPr>
          <w:rFonts w:eastAsia="Arial"/>
        </w:rPr>
        <w:t>lso</w:t>
      </w:r>
      <w:r w:rsidRPr="00DF0C68">
        <w:rPr>
          <w:rFonts w:eastAsia="Arial"/>
        </w:rPr>
        <w:t xml:space="preserve"> </w:t>
      </w:r>
      <w:r>
        <w:rPr>
          <w:rFonts w:eastAsia="Arial"/>
        </w:rPr>
        <w:t xml:space="preserve">a </w:t>
      </w:r>
      <w:r w:rsidRPr="00DF0C68">
        <w:rPr>
          <w:rFonts w:eastAsia="Arial"/>
        </w:rPr>
        <w:t xml:space="preserve">major contributor to </w:t>
      </w:r>
      <w:r>
        <w:rPr>
          <w:rFonts w:eastAsia="Arial"/>
        </w:rPr>
        <w:t xml:space="preserve">loss of life in WA. In 2014, </w:t>
      </w:r>
      <w:r w:rsidR="001C6A28">
        <w:rPr>
          <w:rFonts w:eastAsia="Arial"/>
        </w:rPr>
        <w:t xml:space="preserve">the 757 </w:t>
      </w:r>
      <w:r w:rsidR="00C13F9B">
        <w:rPr>
          <w:rFonts w:eastAsia="Arial"/>
        </w:rPr>
        <w:t xml:space="preserve">deaths caused by </w:t>
      </w:r>
      <w:r>
        <w:rPr>
          <w:rFonts w:eastAsia="Arial"/>
        </w:rPr>
        <w:t>d</w:t>
      </w:r>
      <w:r w:rsidRPr="00DF0C68">
        <w:rPr>
          <w:rFonts w:eastAsia="Arial"/>
        </w:rPr>
        <w:t xml:space="preserve">rowning, suicide, </w:t>
      </w:r>
      <w:r>
        <w:rPr>
          <w:rFonts w:eastAsia="Arial"/>
        </w:rPr>
        <w:t xml:space="preserve">accidental </w:t>
      </w:r>
      <w:r w:rsidRPr="00DF0C68">
        <w:rPr>
          <w:rFonts w:eastAsia="Arial"/>
        </w:rPr>
        <w:t>p</w:t>
      </w:r>
      <w:r w:rsidR="007923BA">
        <w:rPr>
          <w:rFonts w:eastAsia="Arial"/>
        </w:rPr>
        <w:t>oisoning and transport accident</w:t>
      </w:r>
      <w:r w:rsidR="00C13F9B">
        <w:rPr>
          <w:rFonts w:eastAsia="Arial"/>
        </w:rPr>
        <w:t xml:space="preserve">s </w:t>
      </w:r>
      <w:r w:rsidR="00574445">
        <w:rPr>
          <w:rFonts w:eastAsia="Arial"/>
        </w:rPr>
        <w:t>were</w:t>
      </w:r>
      <w:r>
        <w:rPr>
          <w:rFonts w:eastAsia="Arial"/>
        </w:rPr>
        <w:t xml:space="preserve"> </w:t>
      </w:r>
      <w:r w:rsidR="004120FF">
        <w:rPr>
          <w:rFonts w:eastAsia="Arial"/>
        </w:rPr>
        <w:t xml:space="preserve">estimated </w:t>
      </w:r>
      <w:r w:rsidR="001C6A28">
        <w:rPr>
          <w:rFonts w:eastAsia="Arial"/>
        </w:rPr>
        <w:t xml:space="preserve">to </w:t>
      </w:r>
      <w:r>
        <w:rPr>
          <w:rFonts w:eastAsia="Arial"/>
        </w:rPr>
        <w:t>have resulted in an average loss of more than 30</w:t>
      </w:r>
      <w:r w:rsidR="004D45DF">
        <w:rPr>
          <w:rFonts w:eastAsia="Arial"/>
        </w:rPr>
        <w:t xml:space="preserve"> potential</w:t>
      </w:r>
      <w:r>
        <w:rPr>
          <w:rFonts w:eastAsia="Arial"/>
        </w:rPr>
        <w:t xml:space="preserve"> years of life</w:t>
      </w:r>
      <w:r w:rsidR="007923BA">
        <w:rPr>
          <w:rFonts w:eastAsia="Arial"/>
        </w:rPr>
        <w:t xml:space="preserve"> per death</w:t>
      </w:r>
      <w:r>
        <w:rPr>
          <w:rFonts w:eastAsia="Arial"/>
        </w:rPr>
        <w:t>.</w:t>
      </w:r>
      <w:r w:rsidR="008E4A1B">
        <w:rPr>
          <w:rFonts w:eastAsia="Arial"/>
        </w:rPr>
        <w:fldChar w:fldCharType="begin"/>
      </w:r>
      <w:r w:rsidR="009F7E7C">
        <w:rPr>
          <w:rFonts w:eastAsia="Arial"/>
        </w:rPr>
        <w:instrText xml:space="preserve"> ADDIN EN.CITE &lt;EndNote&gt;&lt;Cite&gt;&lt;Author&gt;Australian Bureau of Statistics&lt;/Author&gt;&lt;Year&gt;2016&lt;/Year&gt;&lt;RecNum&gt;5&lt;/RecNum&gt;&lt;DisplayText&gt;&lt;style face="superscript"&gt;28&lt;/style&gt;&lt;/DisplayText&gt;&lt;record&gt;&lt;rec-number&gt;5&lt;/rec-number&gt;&lt;foreign-keys&gt;&lt;key app="EN" db-id="zxa00wf2opvf9oeeset50xz7ezpfwre2v20z"&gt;5&lt;/key&gt;&lt;/foreign-keys&gt;&lt;ref-type name="Report"&gt;27&lt;/ref-type&gt;&lt;contributors&gt;&lt;authors&gt;&lt;author&gt;Australian Bureau of Statistics,&lt;/author&gt;&lt;/authors&gt;&lt;/contributors&gt;&lt;titles&gt;&lt;title&gt;3303.0 - Causes of death, Australia, 2014. Underlying cause of death, all causes, Western Australia 2014 [data cube]&lt;/title&gt;&lt;/titles&gt;&lt;dates&gt;&lt;year&gt;2016&lt;/year&gt;&lt;/dates&gt;&lt;pub-location&gt;Canberra&lt;/pub-location&gt;&lt;publisher&gt;Australian Bureau of Statistics&lt;/publisher&gt;&lt;urls&gt;&lt;related-urls&gt;&lt;url&gt;http://www.abs.gov.au/AUSSTATS/abs@.nsf/DetailsPage/3303.02014?OpenDocument&lt;/url&gt;&lt;/related-urls&gt;&lt;/urls&gt;&lt;/record&gt;&lt;/Cite&gt;&lt;/EndNote&gt;</w:instrText>
      </w:r>
      <w:r w:rsidR="008E4A1B">
        <w:rPr>
          <w:rFonts w:eastAsia="Arial"/>
        </w:rPr>
        <w:fldChar w:fldCharType="separate"/>
      </w:r>
      <w:r w:rsidR="009F7E7C" w:rsidRPr="009F7E7C">
        <w:rPr>
          <w:rFonts w:eastAsia="Arial"/>
          <w:noProof/>
          <w:vertAlign w:val="superscript"/>
        </w:rPr>
        <w:t>28</w:t>
      </w:r>
      <w:r w:rsidR="008E4A1B">
        <w:rPr>
          <w:rFonts w:eastAsia="Arial"/>
        </w:rPr>
        <w:fldChar w:fldCharType="end"/>
      </w:r>
    </w:p>
    <w:p w:rsidR="00816515" w:rsidRDefault="004120FF" w:rsidP="00816515">
      <w:pPr>
        <w:rPr>
          <w:rFonts w:eastAsia="Arial"/>
        </w:rPr>
      </w:pPr>
      <w:r>
        <w:rPr>
          <w:rFonts w:eastAsia="Arial"/>
        </w:rPr>
        <w:t xml:space="preserve"> </w:t>
      </w:r>
    </w:p>
    <w:p w:rsidR="00BC6CA8" w:rsidRPr="00594A28" w:rsidRDefault="00816515" w:rsidP="00594A28">
      <w:pPr>
        <w:rPr>
          <w:rFonts w:eastAsia="Arial"/>
        </w:rPr>
      </w:pPr>
      <w:r w:rsidRPr="00594A28">
        <w:rPr>
          <w:rFonts w:eastAsia="Arial"/>
        </w:rPr>
        <w:t>Injuries were responsible for over 250,000 hospitalisations and nearly 1.1 million emergency department visits in WA between 2010 and 2014.</w:t>
      </w:r>
      <w:r w:rsidR="008E4A1B">
        <w:rPr>
          <w:rFonts w:eastAsia="Arial"/>
        </w:rPr>
        <w:fldChar w:fldCharType="begin"/>
      </w:r>
      <w:r w:rsidR="009F7E7C">
        <w:rPr>
          <w:rFonts w:eastAsia="Arial"/>
        </w:rPr>
        <w:instrText xml:space="preserve"> ADDIN EN.CITE &lt;EndNote&gt;&lt;Cite&gt;&lt;Author&gt;Epidemiology Branch&lt;/Author&gt;&lt;Year&gt;2016&lt;/Year&gt;&lt;RecNum&gt;979&lt;/RecNum&gt;&lt;DisplayText&gt;&lt;style face="superscript"&gt;29&lt;/style&gt;&lt;/DisplayText&gt;&lt;record&gt;&lt;rec-number&gt;979&lt;/rec-number&gt;&lt;foreign-keys&gt;&lt;key app="EN" db-id="zxa00wf2opvf9oeeset50xz7ezpfwre2v20z"&gt;979&lt;/key&gt;&lt;/foreign-keys&gt;&lt;ref-type name="Report"&gt;27&lt;/ref-type&gt;&lt;contributors&gt;&lt;authors&gt;&lt;author&gt;Epidemiology Branch,&lt;/author&gt;&lt;/authors&gt;&lt;/contributors&gt;&lt;titles&gt;&lt;title&gt;Injury hospitalisations, deaths, and emergency department presentations, HMDS&lt;/title&gt;&lt;/titles&gt;&lt;dates&gt;&lt;year&gt;2016&lt;/year&gt;&lt;/dates&gt;&lt;pub-location&gt;Perth&lt;/pub-location&gt;&lt;publisher&gt;Department of Health, Western Australia&lt;/publisher&gt;&lt;urls&gt;&lt;/urls&gt;&lt;/record&gt;&lt;/Cite&gt;&lt;/EndNote&gt;</w:instrText>
      </w:r>
      <w:r w:rsidR="008E4A1B">
        <w:rPr>
          <w:rFonts w:eastAsia="Arial"/>
        </w:rPr>
        <w:fldChar w:fldCharType="separate"/>
      </w:r>
      <w:r w:rsidR="009F7E7C" w:rsidRPr="009F7E7C">
        <w:rPr>
          <w:rFonts w:eastAsia="Arial"/>
          <w:noProof/>
          <w:vertAlign w:val="superscript"/>
        </w:rPr>
        <w:t>29</w:t>
      </w:r>
      <w:r w:rsidR="008E4A1B">
        <w:rPr>
          <w:rFonts w:eastAsia="Arial"/>
        </w:rPr>
        <w:fldChar w:fldCharType="end"/>
      </w:r>
    </w:p>
    <w:p w:rsidR="00982A02" w:rsidRPr="006C3415" w:rsidRDefault="00982A02" w:rsidP="00982A02">
      <w:pPr>
        <w:rPr>
          <w:rFonts w:eastAsiaTheme="majorEastAsia"/>
          <w:b/>
          <w:color w:val="808080" w:themeColor="background1" w:themeShade="80"/>
          <w:sz w:val="32"/>
          <w:szCs w:val="32"/>
        </w:rPr>
      </w:pPr>
      <w:r w:rsidRPr="006C3415">
        <w:rPr>
          <w:rFonts w:eastAsiaTheme="majorEastAsia"/>
          <w:b/>
          <w:color w:val="808080" w:themeColor="background1" w:themeShade="80"/>
          <w:sz w:val="32"/>
          <w:szCs w:val="32"/>
        </w:rPr>
        <w:lastRenderedPageBreak/>
        <w:t>Some groups are still at greater risk than others</w:t>
      </w:r>
    </w:p>
    <w:p w:rsidR="00982A02" w:rsidRPr="00202C5A" w:rsidRDefault="00982A02" w:rsidP="00982A02">
      <w:pPr>
        <w:pStyle w:val="ListParagraph"/>
        <w:rPr>
          <w:rFonts w:eastAsia="Arial"/>
        </w:rPr>
      </w:pPr>
    </w:p>
    <w:p w:rsidR="005E24CB" w:rsidRPr="00BD470B" w:rsidRDefault="00982A02" w:rsidP="005E24CB">
      <w:pPr>
        <w:rPr>
          <w:rFonts w:eastAsia="Arial"/>
          <w:color w:val="000000" w:themeColor="text1"/>
        </w:rPr>
      </w:pPr>
      <w:r>
        <w:t>Some sub-populations in WA are also at a greater</w:t>
      </w:r>
      <w:r w:rsidRPr="000E6460">
        <w:t xml:space="preserve"> risk </w:t>
      </w:r>
      <w:r>
        <w:t xml:space="preserve">of </w:t>
      </w:r>
      <w:r w:rsidRPr="000E6460">
        <w:t>chroni</w:t>
      </w:r>
      <w:r>
        <w:t>c disease and injury than the general population.</w:t>
      </w:r>
      <w:r w:rsidR="005E24CB" w:rsidRPr="005E24CB">
        <w:rPr>
          <w:rFonts w:eastAsia="Arial"/>
          <w:color w:val="000000" w:themeColor="text1"/>
        </w:rPr>
        <w:t xml:space="preserve"> </w:t>
      </w:r>
      <w:r w:rsidR="005E24CB">
        <w:rPr>
          <w:rFonts w:eastAsia="Arial"/>
          <w:color w:val="000000" w:themeColor="text1"/>
        </w:rPr>
        <w:t>L</w:t>
      </w:r>
      <w:r w:rsidR="005E24CB" w:rsidRPr="00771BA0">
        <w:rPr>
          <w:rFonts w:eastAsia="Arial"/>
          <w:color w:val="000000" w:themeColor="text1"/>
        </w:rPr>
        <w:t xml:space="preserve">iving with a disability, </w:t>
      </w:r>
      <w:r w:rsidR="005E24CB">
        <w:rPr>
          <w:rFonts w:eastAsia="Arial"/>
          <w:color w:val="000000" w:themeColor="text1"/>
        </w:rPr>
        <w:t>with a</w:t>
      </w:r>
      <w:r w:rsidR="005E24CB" w:rsidRPr="00771BA0">
        <w:rPr>
          <w:rFonts w:eastAsia="Arial"/>
          <w:color w:val="000000" w:themeColor="text1"/>
        </w:rPr>
        <w:t xml:space="preserve"> greater </w:t>
      </w:r>
      <w:r w:rsidR="005E24CB">
        <w:rPr>
          <w:rFonts w:eastAsia="Arial"/>
          <w:color w:val="000000" w:themeColor="text1"/>
        </w:rPr>
        <w:t>degree</w:t>
      </w:r>
      <w:r w:rsidR="005E24CB" w:rsidRPr="00771BA0">
        <w:rPr>
          <w:rFonts w:eastAsia="Arial"/>
          <w:color w:val="000000" w:themeColor="text1"/>
        </w:rPr>
        <w:t xml:space="preserve"> of socioeconomic disadvantage, and </w:t>
      </w:r>
      <w:r w:rsidR="005E24CB">
        <w:rPr>
          <w:rFonts w:eastAsia="Arial"/>
          <w:color w:val="000000" w:themeColor="text1"/>
        </w:rPr>
        <w:t xml:space="preserve">dwelling </w:t>
      </w:r>
      <w:r w:rsidR="005E24CB" w:rsidRPr="00771BA0">
        <w:rPr>
          <w:rFonts w:eastAsia="Arial"/>
          <w:color w:val="000000" w:themeColor="text1"/>
        </w:rPr>
        <w:t>outside metropolitan ar</w:t>
      </w:r>
      <w:r w:rsidR="005E24CB">
        <w:rPr>
          <w:rFonts w:eastAsia="Arial"/>
          <w:color w:val="000000" w:themeColor="text1"/>
        </w:rPr>
        <w:t xml:space="preserve">eas are factors which increase the likelihood of exposure to risk factors for </w:t>
      </w:r>
      <w:r w:rsidR="005E24CB" w:rsidRPr="00771BA0">
        <w:rPr>
          <w:rFonts w:eastAsia="Arial"/>
          <w:color w:val="000000" w:themeColor="text1"/>
        </w:rPr>
        <w:t>chronic disease</w:t>
      </w:r>
      <w:r w:rsidR="005E24CB">
        <w:rPr>
          <w:rFonts w:eastAsia="Arial"/>
          <w:color w:val="000000" w:themeColor="text1"/>
        </w:rPr>
        <w:t>.</w:t>
      </w:r>
      <w:r w:rsidR="005E24CB">
        <w:fldChar w:fldCharType="begin"/>
      </w:r>
      <w:r w:rsidR="00C21325">
        <w:instrText xml:space="preserve"> ADDIN EN.CITE &lt;EndNote&gt;&lt;Cite&gt;&lt;Author&gt;Australian Bureau of Statistics&lt;/Author&gt;&lt;Year&gt;2015&lt;/Year&gt;&lt;RecNum&gt;36&lt;/RecNum&gt;&lt;DisplayText&gt;&lt;style face="superscript"&gt;8&lt;/style&gt;&lt;/DisplayText&gt;&lt;record&gt;&lt;rec-number&gt;36&lt;/rec-number&gt;&lt;foreign-keys&gt;&lt;key app="EN" db-id="zxa00wf2opvf9oeeset50xz7ezpfwre2v20z"&gt;36&lt;/key&gt;&lt;/foreign-keys&gt;&lt;ref-type name="Generic"&gt;13&lt;/ref-type&gt;&lt;contributors&gt;&lt;authors&gt;&lt;author&gt;Australian Bureau of Statistics,&lt;/author&gt;&lt;/authors&gt;&lt;/contributors&gt;&lt;titles&gt;&lt;title&gt;4364.0.55.001 - National Health Survey: first results, 2014-2015 - Australia&lt;/title&gt;&lt;/titles&gt;&lt;dates&gt;&lt;year&gt;2015&lt;/year&gt;&lt;/dates&gt;&lt;pub-location&gt;Canberra&lt;/pub-location&gt;&lt;publisher&gt;Australian Bureau of Statistics&lt;/publisher&gt;&lt;urls&gt;&lt;related-urls&gt;&lt;url&gt;http://www.abs.gov.au/AUSSTATS/abs@.nsf/DetailsPage/4364.0.55.0012014-15?OpenDocument&lt;/url&gt;&lt;/related-urls&gt;&lt;/urls&gt;&lt;/record&gt;&lt;/Cite&gt;&lt;/EndNote&gt;</w:instrText>
      </w:r>
      <w:r w:rsidR="005E24CB">
        <w:fldChar w:fldCharType="separate"/>
      </w:r>
      <w:r w:rsidR="00C21325" w:rsidRPr="00C21325">
        <w:rPr>
          <w:noProof/>
          <w:vertAlign w:val="superscript"/>
        </w:rPr>
        <w:t>8</w:t>
      </w:r>
      <w:r w:rsidR="005E24CB">
        <w:fldChar w:fldCharType="end"/>
      </w:r>
      <w:r w:rsidR="005E24CB">
        <w:rPr>
          <w:rFonts w:eastAsia="Arial"/>
          <w:color w:val="000000" w:themeColor="text1"/>
        </w:rPr>
        <w:t xml:space="preserve"> Aboriginal people</w:t>
      </w:r>
      <w:r w:rsidR="005E24CB">
        <w:rPr>
          <w:rFonts w:eastAsia="Arial"/>
          <w:color w:val="000000" w:themeColor="text1"/>
        </w:rPr>
        <w:fldChar w:fldCharType="begin"/>
      </w:r>
      <w:r w:rsidR="00C21325">
        <w:rPr>
          <w:rFonts w:eastAsia="Arial"/>
          <w:color w:val="000000" w:themeColor="text1"/>
        </w:rPr>
        <w:instrText xml:space="preserve"> ADDIN EN.CITE &lt;EndNote&gt;&lt;Cite&gt;&lt;Author&gt;Australian Bureau of Statistics&lt;/Author&gt;&lt;Year&gt;2013&lt;/Year&gt;&lt;RecNum&gt;31&lt;/RecNum&gt;&lt;DisplayText&gt;&lt;style face="superscript"&gt;9&lt;/style&gt;&lt;/DisplayText&gt;&lt;record&gt;&lt;rec-number&gt;31&lt;/rec-number&gt;&lt;foreign-keys&gt;&lt;key app="EN" db-id="zxa00wf2opvf9oeeset50xz7ezpfwre2v20z"&gt;31&lt;/key&gt;&lt;/foreign-keys&gt;&lt;ref-type name="Generic"&gt;13&lt;/ref-type&gt;&lt;contributors&gt;&lt;authors&gt;&lt;author&gt;Australian Bureau of Statistics,&lt;/author&gt;&lt;/authors&gt;&lt;/contributors&gt;&lt;titles&gt;&lt;title&gt;Australian Aboriginal and Torres Strait Islander Health Survey: First results, Australia, 2012-13&lt;/title&gt;&lt;/titles&gt;&lt;dates&gt;&lt;year&gt;2013&lt;/year&gt;&lt;/dates&gt;&lt;pub-location&gt;Canberra, Australia&lt;/pub-location&gt;&lt;publisher&gt;ABS&lt;/publisher&gt;&lt;urls&gt;&lt;related-urls&gt;&lt;url&gt;http://www.abs.gov.au/ausstats/abs@.nsf/mf/4727.0.55.001&lt;/url&gt;&lt;/related-urls&gt;&lt;/urls&gt;&lt;/record&gt;&lt;/Cite&gt;&lt;/EndNote&gt;</w:instrText>
      </w:r>
      <w:r w:rsidR="005E24CB">
        <w:rPr>
          <w:rFonts w:eastAsia="Arial"/>
          <w:color w:val="000000" w:themeColor="text1"/>
        </w:rPr>
        <w:fldChar w:fldCharType="separate"/>
      </w:r>
      <w:r w:rsidR="00C21325" w:rsidRPr="00C21325">
        <w:rPr>
          <w:rFonts w:eastAsia="Arial"/>
          <w:noProof/>
          <w:color w:val="000000" w:themeColor="text1"/>
          <w:vertAlign w:val="superscript"/>
        </w:rPr>
        <w:t>9</w:t>
      </w:r>
      <w:r w:rsidR="005E24CB">
        <w:rPr>
          <w:rFonts w:eastAsia="Arial"/>
          <w:color w:val="000000" w:themeColor="text1"/>
        </w:rPr>
        <w:fldChar w:fldCharType="end"/>
      </w:r>
      <w:r w:rsidR="005E24CB">
        <w:rPr>
          <w:rFonts w:eastAsia="Arial"/>
          <w:color w:val="000000" w:themeColor="text1"/>
        </w:rPr>
        <w:t xml:space="preserve"> and s</w:t>
      </w:r>
      <w:r w:rsidR="005E24CB" w:rsidRPr="005842B2">
        <w:rPr>
          <w:rFonts w:eastAsia="Arial"/>
          <w:spacing w:val="-4"/>
        </w:rPr>
        <w:t>ome culturally and linguistically-diverse</w:t>
      </w:r>
      <w:r w:rsidR="005E24CB">
        <w:rPr>
          <w:rFonts w:eastAsia="Arial"/>
          <w:spacing w:val="-4"/>
        </w:rPr>
        <w:t xml:space="preserve"> (CaLD) </w:t>
      </w:r>
      <w:r w:rsidR="005E24CB" w:rsidRPr="005842B2">
        <w:rPr>
          <w:rFonts w:eastAsia="Arial"/>
          <w:spacing w:val="-4"/>
        </w:rPr>
        <w:t>communities also have a higher prevale</w:t>
      </w:r>
      <w:r w:rsidR="005E24CB">
        <w:rPr>
          <w:rFonts w:eastAsia="Arial"/>
          <w:spacing w:val="-4"/>
        </w:rPr>
        <w:t>nce of risk factors for disease</w:t>
      </w:r>
      <w:r w:rsidR="005E24CB" w:rsidRPr="005842B2">
        <w:rPr>
          <w:rFonts w:eastAsia="Arial"/>
          <w:spacing w:val="-4"/>
        </w:rPr>
        <w:t>.</w:t>
      </w:r>
      <w:r w:rsidR="005E24CB">
        <w:rPr>
          <w:rFonts w:eastAsia="Arial"/>
          <w:spacing w:val="-4"/>
        </w:rPr>
        <w:fldChar w:fldCharType="begin"/>
      </w:r>
      <w:r w:rsidR="00C21325">
        <w:rPr>
          <w:rFonts w:eastAsia="Arial"/>
          <w:spacing w:val="-4"/>
        </w:rPr>
        <w:instrText xml:space="preserve"> ADDIN EN.CITE &lt;EndNote&gt;&lt;Cite&gt;&lt;Author&gt;National Health and Medical Research Council&lt;/Author&gt;&lt;Year&gt;2006&lt;/Year&gt;&lt;RecNum&gt;980&lt;/RecNum&gt;&lt;DisplayText&gt;&lt;style face="superscript"&gt;10&lt;/style&gt;&lt;/DisplayText&gt;&lt;record&gt;&lt;rec-number&gt;980&lt;/rec-number&gt;&lt;foreign-keys&gt;&lt;key app="EN" db-id="zxa00wf2opvf9oeeset50xz7ezpfwre2v20z"&gt;980&lt;/key&gt;&lt;/foreign-keys&gt;&lt;ref-type name="Report"&gt;27&lt;/ref-type&gt;&lt;contributors&gt;&lt;authors&gt;&lt;author&gt;National Health and Medical Research Council,&lt;/author&gt;&lt;/authors&gt;&lt;/contributors&gt;&lt;titles&gt;&lt;title&gt;Cultural competency in health: a guide for policy, partnerships and participation&lt;/title&gt;&lt;/titles&gt;&lt;dates&gt;&lt;year&gt;2006&lt;/year&gt;&lt;/dates&gt;&lt;pub-location&gt;Canberra&lt;/pub-location&gt;&lt;publisher&gt;National Health and Medical Research Council&lt;/publisher&gt;&lt;urls&gt;&lt;related-urls&gt;&lt;url&gt;http://www.nhmrc.gov.au/guidelines-publications/hp19-hp26&lt;/url&gt;&lt;/related-urls&gt;&lt;/urls&gt;&lt;/record&gt;&lt;/Cite&gt;&lt;/EndNote&gt;</w:instrText>
      </w:r>
      <w:r w:rsidR="005E24CB">
        <w:rPr>
          <w:rFonts w:eastAsia="Arial"/>
          <w:spacing w:val="-4"/>
        </w:rPr>
        <w:fldChar w:fldCharType="separate"/>
      </w:r>
      <w:r w:rsidR="00C21325" w:rsidRPr="00C21325">
        <w:rPr>
          <w:rFonts w:eastAsia="Arial"/>
          <w:noProof/>
          <w:spacing w:val="-4"/>
          <w:vertAlign w:val="superscript"/>
        </w:rPr>
        <w:t>10</w:t>
      </w:r>
      <w:r w:rsidR="005E24CB">
        <w:rPr>
          <w:rFonts w:eastAsia="Arial"/>
          <w:spacing w:val="-4"/>
        </w:rPr>
        <w:fldChar w:fldCharType="end"/>
      </w:r>
    </w:p>
    <w:p w:rsidR="00982A02" w:rsidRDefault="00982A02" w:rsidP="00982A02"/>
    <w:p w:rsidR="00982A02" w:rsidRDefault="005E24CB" w:rsidP="00982A02">
      <w:r>
        <w:t>L</w:t>
      </w:r>
      <w:r w:rsidR="00982A02" w:rsidRPr="000E6460">
        <w:t xml:space="preserve">ife expectancy </w:t>
      </w:r>
      <w:r w:rsidR="00982A02">
        <w:t>for Aboriginal men living in WA in 2010–2012 wa</w:t>
      </w:r>
      <w:r w:rsidR="00982A02" w:rsidRPr="000E6460">
        <w:t xml:space="preserve">s </w:t>
      </w:r>
      <w:r w:rsidR="00982A02">
        <w:t xml:space="preserve">more than </w:t>
      </w:r>
      <w:r w:rsidR="00982A02" w:rsidRPr="000E6460">
        <w:t>15</w:t>
      </w:r>
      <w:r w:rsidR="00982A02">
        <w:t xml:space="preserve"> y</w:t>
      </w:r>
      <w:r w:rsidR="00982A02" w:rsidRPr="000E6460">
        <w:t xml:space="preserve">ears </w:t>
      </w:r>
      <w:r w:rsidR="00982A02">
        <w:t>shorter than the State average</w:t>
      </w:r>
      <w:r w:rsidR="00982A02" w:rsidRPr="000E6460">
        <w:t xml:space="preserve">, and </w:t>
      </w:r>
      <w:r w:rsidR="00982A02">
        <w:t xml:space="preserve">this gap was more than </w:t>
      </w:r>
      <w:r w:rsidR="00982A02" w:rsidRPr="000E6460">
        <w:t>13</w:t>
      </w:r>
      <w:r w:rsidR="00982A02">
        <w:t xml:space="preserve"> y</w:t>
      </w:r>
      <w:r w:rsidR="00982A02" w:rsidRPr="000E6460">
        <w:t xml:space="preserve">ears for </w:t>
      </w:r>
      <w:r w:rsidR="00982A02">
        <w:t xml:space="preserve">Aboriginal </w:t>
      </w:r>
      <w:r w:rsidR="00982A02" w:rsidRPr="000E6460">
        <w:t>women.</w:t>
      </w:r>
      <w:r w:rsidR="00982A02">
        <w:t xml:space="preserve"> </w:t>
      </w:r>
      <w:r w:rsidR="00982A02" w:rsidRPr="000E6460">
        <w:t>The</w:t>
      </w:r>
      <w:r w:rsidR="00982A02">
        <w:t>se</w:t>
      </w:r>
      <w:r w:rsidR="00982A02" w:rsidRPr="000E6460">
        <w:t xml:space="preserve"> </w:t>
      </w:r>
      <w:r w:rsidR="00982A02">
        <w:t xml:space="preserve">differences in life expectancy are </w:t>
      </w:r>
      <w:r w:rsidR="00982A02" w:rsidRPr="000E6460">
        <w:t xml:space="preserve">largely due to </w:t>
      </w:r>
      <w:r w:rsidR="00982A02">
        <w:t xml:space="preserve">injury and earlier onset of </w:t>
      </w:r>
      <w:r w:rsidR="00982A02" w:rsidRPr="000E6460">
        <w:t>chronic disease.</w:t>
      </w:r>
      <w:r w:rsidR="00982A02">
        <w:fldChar w:fldCharType="begin"/>
      </w:r>
      <w:r w:rsidR="00C21325">
        <w:instrText xml:space="preserve"> ADDIN EN.CITE &lt;EndNote&gt;&lt;Cite&gt;&lt;Author&gt;Australian Institute of Health and Welfare&lt;/Author&gt;&lt;Year&gt;2015&lt;/Year&gt;&lt;RecNum&gt;119&lt;/RecNum&gt;&lt;DisplayText&gt;&lt;style face="superscript"&gt;11&lt;/style&gt;&lt;/DisplayText&gt;&lt;record&gt;&lt;rec-number&gt;119&lt;/rec-number&gt;&lt;foreign-keys&gt;&lt;key app="EN" db-id="zxa00wf2opvf9oeeset50xz7ezpfwre2v20z"&gt;119&lt;/key&gt;&lt;/foreign-keys&gt;&lt;ref-type name="Report"&gt;27&lt;/ref-type&gt;&lt;contributors&gt;&lt;authors&gt;&lt;author&gt;Australian Institute of Health and Welfare,&lt;/author&gt;&lt;/authors&gt;&lt;/contributors&gt;&lt;titles&gt;&lt;title&gt;Aboriginal and Torres Strait Islander Health Performance Framework&lt;/title&gt;&lt;/titles&gt;&lt;dates&gt;&lt;year&gt;2015&lt;/year&gt;&lt;/dates&gt;&lt;pub-location&gt;Canberra&lt;/pub-location&gt;&lt;publisher&gt;Australian Institute of Health and Welfare&lt;/publisher&gt;&lt;urls&gt;&lt;related-urls&gt;&lt;url&gt;http://www.health.gov.au/indigenous-hpf&lt;/url&gt;&lt;/related-urls&gt;&lt;/urls&gt;&lt;/record&gt;&lt;/Cite&gt;&lt;/EndNote&gt;</w:instrText>
      </w:r>
      <w:r w:rsidR="00982A02">
        <w:fldChar w:fldCharType="separate"/>
      </w:r>
      <w:r w:rsidR="00C21325" w:rsidRPr="00C21325">
        <w:rPr>
          <w:noProof/>
          <w:vertAlign w:val="superscript"/>
        </w:rPr>
        <w:t>11</w:t>
      </w:r>
      <w:r w:rsidR="00982A02">
        <w:fldChar w:fldCharType="end"/>
      </w:r>
    </w:p>
    <w:p w:rsidR="00982A02" w:rsidRDefault="00982A02" w:rsidP="00982A02"/>
    <w:p w:rsidR="00982A02" w:rsidRDefault="000E1FBF" w:rsidP="00982A02">
      <w:r>
        <w:t>P</w:t>
      </w:r>
      <w:r w:rsidR="00982A02">
        <w:t xml:space="preserve">eople experiencing mental health </w:t>
      </w:r>
      <w:r w:rsidR="0039680F">
        <w:t>problems</w:t>
      </w:r>
      <w:r>
        <w:t xml:space="preserve"> also</w:t>
      </w:r>
      <w:r w:rsidR="00982A02">
        <w:t xml:space="preserve"> often have poorer physical health outcomes than </w:t>
      </w:r>
      <w:r w:rsidR="00142732">
        <w:t>other people</w:t>
      </w:r>
      <w:r w:rsidR="00982A02">
        <w:t>.</w:t>
      </w:r>
      <w:r w:rsidR="00BF47EB">
        <w:fldChar w:fldCharType="begin"/>
      </w:r>
      <w:r w:rsidR="00C21325">
        <w:instrText xml:space="preserve"> ADDIN EN.CITE &lt;EndNote&gt;&lt;Cite ExcludeYear="1"&gt;&lt;Author&gt;Mental health Commission&lt;/Author&gt;&lt;RecNum&gt;1087&lt;/RecNum&gt;&lt;DisplayText&gt;&lt;style face="superscript"&gt;12&lt;/style&gt;&lt;/DisplayText&gt;&lt;record&gt;&lt;rec-number&gt;1087&lt;/rec-number&gt;&lt;foreign-keys&gt;&lt;key app="EN" db-id="zxa00wf2opvf9oeeset50xz7ezpfwre2v20z"&gt;1087&lt;/key&gt;&lt;/foreign-keys&gt;&lt;ref-type name="Report"&gt;27&lt;/ref-type&gt;&lt;contributors&gt;&lt;authors&gt;&lt;author&gt;Mental health Commission,&lt;/author&gt;&lt;author&gt;Western Australia,&lt;/author&gt;&lt;/authors&gt;&lt;/contributors&gt;&lt;titles&gt;&lt;title&gt;Mental health 2020: making it personal and everybody&amp;apos;s business&lt;/title&gt;&lt;/titles&gt;&lt;dates&gt;&lt;/dates&gt;&lt;pub-location&gt;Perth&lt;/pub-location&gt;&lt;publisher&gt;Mental Health Commission, Western Australia&lt;/publisher&gt;&lt;urls&gt;&lt;related-urls&gt;&lt;url&gt;http://www.mentalhealth.wa.gov.au/Libraries/pdf_docs/Mental_Health_Commission_strategic_plan_2020.sflb.ashx&lt;/url&gt;&lt;/related-urls&gt;&lt;/urls&gt;&lt;/record&gt;&lt;/Cite&gt;&lt;/EndNote&gt;</w:instrText>
      </w:r>
      <w:r w:rsidR="00BF47EB">
        <w:fldChar w:fldCharType="separate"/>
      </w:r>
      <w:r w:rsidR="00C21325" w:rsidRPr="00C21325">
        <w:rPr>
          <w:noProof/>
          <w:vertAlign w:val="superscript"/>
        </w:rPr>
        <w:t>12</w:t>
      </w:r>
      <w:r w:rsidR="00BF47EB">
        <w:fldChar w:fldCharType="end"/>
      </w:r>
      <w:r w:rsidR="00982A02">
        <w:t xml:space="preserve"> National data </w:t>
      </w:r>
      <w:r w:rsidR="00E840DA">
        <w:t>show</w:t>
      </w:r>
      <w:r w:rsidR="00982A02">
        <w:t xml:space="preserve"> </w:t>
      </w:r>
      <w:r w:rsidR="00142732">
        <w:t xml:space="preserve">that </w:t>
      </w:r>
      <w:r w:rsidR="00982A02">
        <w:t xml:space="preserve">people with a mental or behavioural condition are </w:t>
      </w:r>
      <w:r w:rsidR="00A7179A">
        <w:t>more likely to have</w:t>
      </w:r>
      <w:r w:rsidR="0048377E">
        <w:t xml:space="preserve"> a range of chronic diseases</w:t>
      </w:r>
      <w:r w:rsidR="00982A02">
        <w:t xml:space="preserve">, including </w:t>
      </w:r>
      <w:r w:rsidR="00EF47AA">
        <w:t xml:space="preserve">respiratory diseases, </w:t>
      </w:r>
      <w:r w:rsidR="00982A02">
        <w:t>diabetes (</w:t>
      </w:r>
      <w:r w:rsidR="00EF47AA">
        <w:t>t</w:t>
      </w:r>
      <w:r w:rsidR="00982A02">
        <w:t xml:space="preserve">ype 1 and 2 combined), cancer, </w:t>
      </w:r>
      <w:r w:rsidR="0048377E">
        <w:t>and cardio</w:t>
      </w:r>
      <w:r w:rsidR="00982A02">
        <w:t>vascular diseases.</w:t>
      </w:r>
      <w:r w:rsidR="00BF47EB">
        <w:fldChar w:fldCharType="begin"/>
      </w:r>
      <w:r w:rsidR="009F7E7C">
        <w:instrText xml:space="preserve"> ADDIN EN.CITE &lt;EndNote&gt;&lt;Cite&gt;&lt;Author&gt;Australian Bureau of Statistics&lt;/Author&gt;&lt;Year&gt;2015&lt;/Year&gt;&lt;RecNum&gt;1086&lt;/RecNum&gt;&lt;DisplayText&gt;&lt;style face="superscript"&gt;30&lt;/style&gt;&lt;/DisplayText&gt;&lt;record&gt;&lt;rec-number&gt;1086&lt;/rec-number&gt;&lt;foreign-keys&gt;&lt;key app="EN" db-id="zxa00wf2opvf9oeeset50xz7ezpfwre2v20z"&gt;1086&lt;/key&gt;&lt;/foreign-keys&gt;&lt;ref-type name="Report"&gt;27&lt;/ref-type&gt;&lt;contributors&gt;&lt;authors&gt;&lt;author&gt;Australian Bureau of Statistics,&lt;/author&gt;&lt;/authors&gt;&lt;/contributors&gt;&lt;titles&gt;&lt;title&gt;4329.0.00.004 - National Health Survey: mental health and co-existing physical health conditions, 2014-2015&lt;/title&gt;&lt;/titles&gt;&lt;dates&gt;&lt;year&gt;2015&lt;/year&gt;&lt;/dates&gt;&lt;pub-location&gt;Canberra&lt;/pub-location&gt;&lt;publisher&gt;Australian Bureau of Statistics&lt;/publisher&gt;&lt;urls&gt;&lt;related-urls&gt;&lt;url&gt;http://www.abs.gov.au/ausstats%5Cabs@.nsf/0/C0A4290EF1E7E7FDCA257F1E001C0B84?Opendocument&lt;/url&gt;&lt;/related-urls&gt;&lt;/urls&gt;&lt;/record&gt;&lt;/Cite&gt;&lt;/EndNote&gt;</w:instrText>
      </w:r>
      <w:r w:rsidR="00BF47EB">
        <w:fldChar w:fldCharType="separate"/>
      </w:r>
      <w:r w:rsidR="009F7E7C" w:rsidRPr="009F7E7C">
        <w:rPr>
          <w:noProof/>
          <w:vertAlign w:val="superscript"/>
        </w:rPr>
        <w:t>30</w:t>
      </w:r>
      <w:r w:rsidR="00BF47EB">
        <w:fldChar w:fldCharType="end"/>
      </w:r>
      <w:r w:rsidR="00AF5756">
        <w:t xml:space="preserve"> </w:t>
      </w:r>
      <w:r w:rsidR="00D16A35">
        <w:t xml:space="preserve">It </w:t>
      </w:r>
      <w:r w:rsidR="003B1BA3">
        <w:t xml:space="preserve">has </w:t>
      </w:r>
      <w:r w:rsidR="00950182">
        <w:t xml:space="preserve">been </w:t>
      </w:r>
      <w:r w:rsidR="003B1BA3">
        <w:t xml:space="preserve">estimated that </w:t>
      </w:r>
      <w:r w:rsidR="00A74E8D">
        <w:t>from</w:t>
      </w:r>
      <w:r w:rsidR="003B1BA3">
        <w:t xml:space="preserve"> 1985–2005</w:t>
      </w:r>
      <w:r w:rsidR="00D16A35">
        <w:t xml:space="preserve"> in WA</w:t>
      </w:r>
      <w:r w:rsidR="003B1BA3">
        <w:t xml:space="preserve">, </w:t>
      </w:r>
      <w:r w:rsidR="007E480C">
        <w:t xml:space="preserve">the gap in life expectancy for </w:t>
      </w:r>
      <w:r w:rsidR="003B1BA3">
        <w:t>psychiatric patients</w:t>
      </w:r>
      <w:r w:rsidR="00D9465E">
        <w:t xml:space="preserve"> compared with the total WA population</w:t>
      </w:r>
      <w:r w:rsidR="007E480C">
        <w:t xml:space="preserve"> increased from </w:t>
      </w:r>
      <w:r w:rsidR="00102303">
        <w:t>14</w:t>
      </w:r>
      <w:r w:rsidR="007E480C">
        <w:t xml:space="preserve"> years to </w:t>
      </w:r>
      <w:r w:rsidR="00102303">
        <w:t xml:space="preserve">16 </w:t>
      </w:r>
      <w:r w:rsidR="007E480C">
        <w:t>years for males, and from 10 years to 12 years for females. Seventy-eight</w:t>
      </w:r>
      <w:r w:rsidR="00D72932">
        <w:t xml:space="preserve"> per cent</w:t>
      </w:r>
      <w:r w:rsidR="007E480C">
        <w:t xml:space="preserve"> of excess deaths were due to physical health conditions, including cardiovascular disease</w:t>
      </w:r>
      <w:r w:rsidR="00D16A35">
        <w:t xml:space="preserve"> and</w:t>
      </w:r>
      <w:r w:rsidR="007E480C">
        <w:t xml:space="preserve"> cancers</w:t>
      </w:r>
      <w:r w:rsidR="00D16A35">
        <w:t>.</w:t>
      </w:r>
      <w:r w:rsidR="00BF47EB">
        <w:fldChar w:fldCharType="begin"/>
      </w:r>
      <w:r w:rsidR="00C21325">
        <w:instrText xml:space="preserve"> ADDIN EN.CITE &lt;EndNote&gt;&lt;Cite&gt;&lt;Author&gt;Lawrence&lt;/Author&gt;&lt;Year&gt;2013&lt;/Year&gt;&lt;RecNum&gt;1090&lt;/RecNum&gt;&lt;DisplayText&gt;&lt;style face="superscript"&gt;13&lt;/style&gt;&lt;/DisplayText&gt;&lt;record&gt;&lt;rec-number&gt;1090&lt;/rec-number&gt;&lt;foreign-keys&gt;&lt;key app="EN" db-id="zxa00wf2opvf9oeeset50xz7ezpfwre2v20z"&gt;1090&lt;/key&gt;&lt;/foreign-keys&gt;&lt;ref-type name="Journal Article"&gt;17&lt;/ref-type&gt;&lt;contributors&gt;&lt;authors&gt;&lt;author&gt;Lawrence, D&lt;/author&gt;&lt;author&gt;Hancock, KJ&lt;/author&gt;&lt;author&gt;Kisely, S&lt;/author&gt;&lt;/authors&gt;&lt;/contributors&gt;&lt;titles&gt;&lt;title&gt;The gap in life expectancy from preventable physical illness in psychiatric patients in Western Australia: retrospective analysis of population based registers&lt;/title&gt;&lt;secondary-title&gt;BMJ&lt;/secondary-title&gt;&lt;/titles&gt;&lt;periodical&gt;&lt;full-title&gt;BMJ&lt;/full-title&gt;&lt;/periodical&gt;&lt;volume&gt;346:f2539 doi: 10.1136/bmj.f2539&lt;/volume&gt;&lt;dates&gt;&lt;year&gt;2013&lt;/year&gt;&lt;/dates&gt;&lt;urls&gt;&lt;related-urls&gt;&lt;url&gt;http://www.bmj.com/content/346/bmj.f2539&lt;/url&gt;&lt;/related-urls&gt;&lt;/urls&gt;&lt;electronic-resource-num&gt;doi: 10.1136/bmj.f2539&lt;/electronic-resource-num&gt;&lt;/record&gt;&lt;/Cite&gt;&lt;/EndNote&gt;</w:instrText>
      </w:r>
      <w:r w:rsidR="00BF47EB">
        <w:fldChar w:fldCharType="separate"/>
      </w:r>
      <w:r w:rsidR="00C21325" w:rsidRPr="00C21325">
        <w:rPr>
          <w:noProof/>
          <w:vertAlign w:val="superscript"/>
        </w:rPr>
        <w:t>13</w:t>
      </w:r>
      <w:r w:rsidR="00BF47EB">
        <w:fldChar w:fldCharType="end"/>
      </w:r>
    </w:p>
    <w:p w:rsidR="00982A02" w:rsidRDefault="00982A02" w:rsidP="00982A02"/>
    <w:p w:rsidR="00982A02" w:rsidRDefault="00982A02" w:rsidP="00982A02">
      <w:pPr>
        <w:spacing w:before="120" w:after="120"/>
        <w:rPr>
          <w:i/>
          <w:color w:val="FF0000"/>
          <w:vertAlign w:val="superscript"/>
        </w:rPr>
      </w:pPr>
      <w:r w:rsidRPr="00F815F7">
        <w:t>National data also indicate that living with a disability, under greater levels of socioeconomic</w:t>
      </w:r>
      <w:r>
        <w:t xml:space="preserve"> disadvantage, and</w:t>
      </w:r>
      <w:r w:rsidRPr="00F815F7">
        <w:t xml:space="preserve"> outside of metropolitan areas </w:t>
      </w:r>
      <w:r>
        <w:t>put</w:t>
      </w:r>
      <w:r w:rsidR="009A55F7">
        <w:t>s</w:t>
      </w:r>
      <w:r>
        <w:t xml:space="preserve"> people </w:t>
      </w:r>
      <w:r w:rsidRPr="00F815F7">
        <w:t xml:space="preserve">at greater risk of chronic diseases </w:t>
      </w:r>
      <w:r>
        <w:t xml:space="preserve">relative to </w:t>
      </w:r>
      <w:r w:rsidRPr="00F815F7">
        <w:t>the rest of the population.</w:t>
      </w:r>
      <w:r>
        <w:fldChar w:fldCharType="begin"/>
      </w:r>
      <w:r w:rsidR="00C21325">
        <w:instrText xml:space="preserve"> ADDIN EN.CITE &lt;EndNote&gt;&lt;Cite&gt;&lt;Author&gt;Australian Bureau of Statistics&lt;/Author&gt;&lt;Year&gt;2015&lt;/Year&gt;&lt;RecNum&gt;36&lt;/RecNum&gt;&lt;DisplayText&gt;&lt;style face="superscript"&gt;8&lt;/style&gt;&lt;/DisplayText&gt;&lt;record&gt;&lt;rec-number&gt;36&lt;/rec-number&gt;&lt;foreign-keys&gt;&lt;key app="EN" db-id="zxa00wf2opvf9oeeset50xz7ezpfwre2v20z"&gt;36&lt;/key&gt;&lt;/foreign-keys&gt;&lt;ref-type name="Generic"&gt;13&lt;/ref-type&gt;&lt;contributors&gt;&lt;authors&gt;&lt;author&gt;Australian Bureau of Statistics,&lt;/author&gt;&lt;/authors&gt;&lt;/contributors&gt;&lt;titles&gt;&lt;title&gt;4364.0.55.001 - National Health Survey: first results, 2014-2015 - Australia&lt;/title&gt;&lt;/titles&gt;&lt;dates&gt;&lt;year&gt;2015&lt;/year&gt;&lt;/dates&gt;&lt;pub-location&gt;Canberra&lt;/pub-location&gt;&lt;publisher&gt;Australian Bureau of Statistics&lt;/publisher&gt;&lt;urls&gt;&lt;related-urls&gt;&lt;url&gt;http://www.abs.gov.au/AUSSTATS/abs@.nsf/DetailsPage/4364.0.55.0012014-15?OpenDocument&lt;/url&gt;&lt;/related-urls&gt;&lt;/urls&gt;&lt;/record&gt;&lt;/Cite&gt;&lt;/EndNote&gt;</w:instrText>
      </w:r>
      <w:r>
        <w:fldChar w:fldCharType="separate"/>
      </w:r>
      <w:r w:rsidR="00C21325" w:rsidRPr="00C21325">
        <w:rPr>
          <w:noProof/>
          <w:vertAlign w:val="superscript"/>
        </w:rPr>
        <w:t>8</w:t>
      </w:r>
      <w:r>
        <w:fldChar w:fldCharType="end"/>
      </w:r>
    </w:p>
    <w:p w:rsidR="00982A02" w:rsidRDefault="00982A02" w:rsidP="00982A02">
      <w:pPr>
        <w:rPr>
          <w:rFonts w:eastAsia="Arial"/>
          <w:spacing w:val="-4"/>
        </w:rPr>
      </w:pPr>
    </w:p>
    <w:p w:rsidR="00982A02" w:rsidRPr="005842B2" w:rsidRDefault="00982A02" w:rsidP="00982A02">
      <w:pPr>
        <w:rPr>
          <w:rFonts w:eastAsia="Arial"/>
          <w:spacing w:val="-4"/>
        </w:rPr>
      </w:pPr>
      <w:r w:rsidRPr="005842B2">
        <w:rPr>
          <w:rFonts w:eastAsia="Arial"/>
          <w:spacing w:val="-4"/>
        </w:rPr>
        <w:t xml:space="preserve">Some </w:t>
      </w:r>
      <w:r>
        <w:rPr>
          <w:rFonts w:eastAsia="Arial"/>
          <w:spacing w:val="-4"/>
        </w:rPr>
        <w:t>CaLD</w:t>
      </w:r>
      <w:r w:rsidRPr="005842B2">
        <w:rPr>
          <w:rFonts w:eastAsia="Arial"/>
          <w:spacing w:val="-4"/>
        </w:rPr>
        <w:t xml:space="preserve"> communities also have a higher prevalence of risk factors for disease. This may be due to cultural and social reasons related to their country of origin, or because they may be at greater risk of being disadvantaged, or due to psychosocial impacts on health associated with migration and settlement.</w:t>
      </w:r>
      <w:r>
        <w:rPr>
          <w:rFonts w:eastAsia="Arial"/>
          <w:spacing w:val="-4"/>
        </w:rPr>
        <w:fldChar w:fldCharType="begin"/>
      </w:r>
      <w:r w:rsidR="00C21325">
        <w:rPr>
          <w:rFonts w:eastAsia="Arial"/>
          <w:spacing w:val="-4"/>
        </w:rPr>
        <w:instrText xml:space="preserve"> ADDIN EN.CITE &lt;EndNote&gt;&lt;Cite&gt;&lt;Author&gt;National Health and Medical Research Council&lt;/Author&gt;&lt;Year&gt;2006&lt;/Year&gt;&lt;RecNum&gt;980&lt;/RecNum&gt;&lt;DisplayText&gt;&lt;style face="superscript"&gt;10&lt;/style&gt;&lt;/DisplayText&gt;&lt;record&gt;&lt;rec-number&gt;980&lt;/rec-number&gt;&lt;foreign-keys&gt;&lt;key app="EN" db-id="zxa00wf2opvf9oeeset50xz7ezpfwre2v20z"&gt;980&lt;/key&gt;&lt;/foreign-keys&gt;&lt;ref-type name="Report"&gt;27&lt;/ref-type&gt;&lt;contributors&gt;&lt;authors&gt;&lt;author&gt;National Health and Medical Research Council,&lt;/author&gt;&lt;/authors&gt;&lt;/contributors&gt;&lt;titles&gt;&lt;title&gt;Cultural competency in health: a guide for policy, partnerships and participation&lt;/title&gt;&lt;/titles&gt;&lt;dates&gt;&lt;year&gt;2006&lt;/year&gt;&lt;/dates&gt;&lt;pub-location&gt;Canberra&lt;/pub-location&gt;&lt;publisher&gt;National Health and Medical Research Council&lt;/publisher&gt;&lt;urls&gt;&lt;related-urls&gt;&lt;url&gt;http://www.nhmrc.gov.au/guidelines-publications/hp19-hp26&lt;/url&gt;&lt;/related-urls&gt;&lt;/urls&gt;&lt;/record&gt;&lt;/Cite&gt;&lt;/EndNote&gt;</w:instrText>
      </w:r>
      <w:r>
        <w:rPr>
          <w:rFonts w:eastAsia="Arial"/>
          <w:spacing w:val="-4"/>
        </w:rPr>
        <w:fldChar w:fldCharType="separate"/>
      </w:r>
      <w:r w:rsidR="00C21325" w:rsidRPr="00C21325">
        <w:rPr>
          <w:rFonts w:eastAsia="Arial"/>
          <w:noProof/>
          <w:spacing w:val="-4"/>
          <w:vertAlign w:val="superscript"/>
        </w:rPr>
        <w:t>10</w:t>
      </w:r>
      <w:r>
        <w:rPr>
          <w:rFonts w:eastAsia="Arial"/>
          <w:spacing w:val="-4"/>
        </w:rPr>
        <w:fldChar w:fldCharType="end"/>
      </w:r>
    </w:p>
    <w:p w:rsidR="005842B2" w:rsidRDefault="005842B2" w:rsidP="00816515">
      <w:pPr>
        <w:rPr>
          <w:rFonts w:eastAsia="Arial"/>
        </w:rPr>
      </w:pPr>
    </w:p>
    <w:p w:rsidR="00816515" w:rsidRPr="006C3415" w:rsidRDefault="00816515" w:rsidP="00816515">
      <w:pPr>
        <w:rPr>
          <w:rFonts w:eastAsiaTheme="majorEastAsia"/>
          <w:b/>
          <w:color w:val="808080" w:themeColor="background1" w:themeShade="80"/>
          <w:sz w:val="32"/>
          <w:szCs w:val="32"/>
        </w:rPr>
      </w:pPr>
      <w:r w:rsidRPr="006C3415">
        <w:rPr>
          <w:rFonts w:eastAsiaTheme="majorEastAsia"/>
          <w:b/>
          <w:color w:val="808080" w:themeColor="background1" w:themeShade="80"/>
          <w:sz w:val="32"/>
          <w:szCs w:val="32"/>
        </w:rPr>
        <w:t xml:space="preserve">Our changing demographic </w:t>
      </w:r>
      <w:r w:rsidR="003B6165" w:rsidRPr="006C3415">
        <w:rPr>
          <w:rFonts w:eastAsiaTheme="majorEastAsia"/>
          <w:b/>
          <w:color w:val="808080" w:themeColor="background1" w:themeShade="80"/>
          <w:sz w:val="32"/>
          <w:szCs w:val="32"/>
        </w:rPr>
        <w:t xml:space="preserve">profile </w:t>
      </w:r>
      <w:r w:rsidRPr="006C3415">
        <w:rPr>
          <w:rFonts w:eastAsiaTheme="majorEastAsia"/>
          <w:b/>
          <w:color w:val="808080" w:themeColor="background1" w:themeShade="80"/>
          <w:sz w:val="32"/>
          <w:szCs w:val="32"/>
        </w:rPr>
        <w:t>will bring new challenges</w:t>
      </w:r>
    </w:p>
    <w:p w:rsidR="00816515" w:rsidRDefault="00816515" w:rsidP="00816515">
      <w:pPr>
        <w:rPr>
          <w:rFonts w:eastAsia="Arial"/>
        </w:rPr>
      </w:pPr>
    </w:p>
    <w:p w:rsidR="00816515" w:rsidRDefault="00816515" w:rsidP="00816515">
      <w:pPr>
        <w:rPr>
          <w:rFonts w:eastAsia="Arial"/>
        </w:rPr>
      </w:pPr>
      <w:r>
        <w:rPr>
          <w:rFonts w:eastAsia="Arial"/>
        </w:rPr>
        <w:t xml:space="preserve">In addition to continuing increases in life expectancy, the </w:t>
      </w:r>
      <w:r w:rsidRPr="004503A2">
        <w:rPr>
          <w:rFonts w:eastAsia="Arial"/>
        </w:rPr>
        <w:t xml:space="preserve">overall population </w:t>
      </w:r>
      <w:r>
        <w:rPr>
          <w:rFonts w:eastAsia="Arial"/>
        </w:rPr>
        <w:t>of WA c</w:t>
      </w:r>
      <w:r w:rsidRPr="009B1587">
        <w:rPr>
          <w:rFonts w:eastAsia="Arial"/>
        </w:rPr>
        <w:t>ontinues to grow</w:t>
      </w:r>
      <w:r>
        <w:rPr>
          <w:rFonts w:eastAsia="Arial"/>
        </w:rPr>
        <w:t xml:space="preserve">. Between 2000 and 2015, the population of WA </w:t>
      </w:r>
      <w:r w:rsidR="00AC28AD">
        <w:rPr>
          <w:rFonts w:eastAsia="Arial"/>
        </w:rPr>
        <w:t>increased</w:t>
      </w:r>
      <w:r>
        <w:rPr>
          <w:rFonts w:eastAsia="Arial"/>
        </w:rPr>
        <w:t xml:space="preserve"> from 1.9 million to almost 2.6 million.</w:t>
      </w:r>
      <w:r w:rsidR="008E4A1B">
        <w:rPr>
          <w:rFonts w:eastAsia="Arial"/>
        </w:rPr>
        <w:fldChar w:fldCharType="begin"/>
      </w:r>
      <w:r w:rsidR="009F7E7C">
        <w:rPr>
          <w:rFonts w:eastAsia="Arial"/>
        </w:rPr>
        <w:instrText xml:space="preserve"> ADDIN EN.CITE &lt;EndNote&gt;&lt;Cite&gt;&lt;Author&gt;Australian Bureau of Statistics&lt;/Author&gt;&lt;Year&gt;2016&lt;/Year&gt;&lt;RecNum&gt;30&lt;/RecNum&gt;&lt;DisplayText&gt;&lt;style face="superscript"&gt;31&lt;/style&gt;&lt;/DisplayText&gt;&lt;record&gt;&lt;rec-number&gt;30&lt;/rec-number&gt;&lt;foreign-keys&gt;&lt;key app="EN" db-id="zxa00wf2opvf9oeeset50xz7ezpfwre2v20z"&gt;30&lt;/key&gt;&lt;/foreign-keys&gt;&lt;ref-type name="Generic"&gt;13&lt;/ref-type&gt;&lt;contributors&gt;&lt;authors&gt;&lt;author&gt;Australian Bureau of Statistics,&lt;/author&gt;&lt;/authors&gt;&lt;/contributors&gt;&lt;titles&gt;&lt;title&gt;3101.0 - Australian demographic statistics, December 2015&lt;/title&gt;&lt;/titles&gt;&lt;dates&gt;&lt;year&gt;2016&lt;/year&gt;&lt;/dates&gt;&lt;pub-location&gt;Canberra&lt;/pub-location&gt;&lt;publisher&gt;Australian Bureau of Statistics&lt;/publisher&gt;&lt;urls&gt;&lt;related-urls&gt;&lt;url&gt;http://www.abs.gov.au/AUSSTATS/abs@.nsf/DetailsPage/3101.0Dec%202015?OpenDocument&lt;/url&gt;&lt;/related-urls&gt;&lt;/urls&gt;&lt;/record&gt;&lt;/Cite&gt;&lt;/EndNote&gt;</w:instrText>
      </w:r>
      <w:r w:rsidR="008E4A1B">
        <w:rPr>
          <w:rFonts w:eastAsia="Arial"/>
        </w:rPr>
        <w:fldChar w:fldCharType="separate"/>
      </w:r>
      <w:r w:rsidR="009F7E7C" w:rsidRPr="009F7E7C">
        <w:rPr>
          <w:rFonts w:eastAsia="Arial"/>
          <w:noProof/>
          <w:vertAlign w:val="superscript"/>
        </w:rPr>
        <w:t>31</w:t>
      </w:r>
      <w:r w:rsidR="008E4A1B">
        <w:rPr>
          <w:rFonts w:eastAsia="Arial"/>
        </w:rPr>
        <w:fldChar w:fldCharType="end"/>
      </w:r>
    </w:p>
    <w:p w:rsidR="00816515" w:rsidRDefault="00816515" w:rsidP="00816515">
      <w:pPr>
        <w:rPr>
          <w:rFonts w:eastAsia="Arial"/>
        </w:rPr>
      </w:pPr>
    </w:p>
    <w:p w:rsidR="00572663" w:rsidRPr="00EF1C62" w:rsidRDefault="00572663" w:rsidP="00572663">
      <w:pPr>
        <w:rPr>
          <w:rFonts w:eastAsia="Arial"/>
          <w:spacing w:val="-4"/>
        </w:rPr>
      </w:pPr>
      <w:r w:rsidRPr="003B6165">
        <w:t>WA is one of the most culturally</w:t>
      </w:r>
      <w:r>
        <w:t>-</w:t>
      </w:r>
      <w:r w:rsidRPr="003B6165">
        <w:t xml:space="preserve">diverse </w:t>
      </w:r>
      <w:r w:rsidR="00E91735">
        <w:t>S</w:t>
      </w:r>
      <w:r w:rsidRPr="003B6165">
        <w:t>tates in Australia</w:t>
      </w:r>
      <w:r>
        <w:t>,</w:t>
      </w:r>
      <w:r w:rsidRPr="003B6165">
        <w:t xml:space="preserve"> with 31% of its population born overseas</w:t>
      </w:r>
      <w:r>
        <w:t>.</w:t>
      </w:r>
      <w:r>
        <w:fldChar w:fldCharType="begin"/>
      </w:r>
      <w:r w:rsidR="009F7E7C">
        <w:instrText xml:space="preserve"> ADDIN EN.CITE &lt;EndNote&gt;&lt;Cite&gt;&lt;Author&gt;Office of Multicultural Interests&lt;/Author&gt;&lt;Year&gt;2013&lt;/Year&gt;&lt;RecNum&gt;981&lt;/RecNum&gt;&lt;DisplayText&gt;&lt;style face="superscript"&gt;32&lt;/style&gt;&lt;/DisplayText&gt;&lt;record&gt;&lt;rec-number&gt;981&lt;/rec-number&gt;&lt;foreign-keys&gt;&lt;key app="EN" db-id="zxa00wf2opvf9oeeset50xz7ezpfwre2v20z"&gt;981&lt;/key&gt;&lt;/foreign-keys&gt;&lt;ref-type name="Report"&gt;27&lt;/ref-type&gt;&lt;contributors&gt;&lt;authors&gt;&lt;author&gt;Office of Multicultural Interests,&lt;/author&gt;&lt;/authors&gt;&lt;/contributors&gt;&lt;titles&gt;&lt;title&gt;Cultural diversity in Western Australia: a demographic profile&lt;/title&gt;&lt;/titles&gt;&lt;dates&gt;&lt;year&gt;2013&lt;/year&gt;&lt;/dates&gt;&lt;pub-location&gt;Perth&lt;/pub-location&gt;&lt;publisher&gt;Department of Local Government and Communities&lt;/publisher&gt;&lt;urls&gt;&lt;related-urls&gt;&lt;url&gt;http://www.omi.wa.gov.au/publications/omi_cultural_diversity.cfm&lt;/url&gt;&lt;/related-urls&gt;&lt;/urls&gt;&lt;/record&gt;&lt;/Cite&gt;&lt;/EndNote&gt;</w:instrText>
      </w:r>
      <w:r>
        <w:fldChar w:fldCharType="separate"/>
      </w:r>
      <w:r w:rsidR="009F7E7C" w:rsidRPr="009F7E7C">
        <w:rPr>
          <w:noProof/>
          <w:vertAlign w:val="superscript"/>
        </w:rPr>
        <w:t>32</w:t>
      </w:r>
      <w:r>
        <w:fldChar w:fldCharType="end"/>
      </w:r>
    </w:p>
    <w:p w:rsidR="00572663" w:rsidRDefault="00572663" w:rsidP="00816515">
      <w:pPr>
        <w:rPr>
          <w:rFonts w:eastAsia="Arial"/>
        </w:rPr>
      </w:pPr>
    </w:p>
    <w:p w:rsidR="00816515" w:rsidRDefault="00816515" w:rsidP="00816515">
      <w:pPr>
        <w:rPr>
          <w:rFonts w:eastAsia="Arial"/>
        </w:rPr>
      </w:pPr>
      <w:r>
        <w:rPr>
          <w:rFonts w:eastAsia="Arial"/>
        </w:rPr>
        <w:t xml:space="preserve">Increased </w:t>
      </w:r>
      <w:r w:rsidRPr="00866A63">
        <w:rPr>
          <w:rFonts w:eastAsia="Arial"/>
        </w:rPr>
        <w:t xml:space="preserve">life expectancy coupled with lower birth rates means </w:t>
      </w:r>
      <w:r>
        <w:rPr>
          <w:rFonts w:eastAsia="Arial"/>
        </w:rPr>
        <w:t>the proportion of older adults is increasing in WA relative to the rest of the population. In WA, the proportion of adults over the age of 65 increased from 1</w:t>
      </w:r>
      <w:r w:rsidR="00246F3C">
        <w:rPr>
          <w:rFonts w:eastAsia="Arial"/>
        </w:rPr>
        <w:t>1% to 13</w:t>
      </w:r>
      <w:r>
        <w:rPr>
          <w:rFonts w:eastAsia="Arial"/>
        </w:rPr>
        <w:t>% between 2000 and 2015</w:t>
      </w:r>
      <w:r w:rsidR="00246F3C">
        <w:rPr>
          <w:rFonts w:eastAsia="Arial"/>
        </w:rPr>
        <w:t>,</w:t>
      </w:r>
      <w:r w:rsidR="008E4A1B">
        <w:rPr>
          <w:rFonts w:eastAsia="Arial"/>
        </w:rPr>
        <w:fldChar w:fldCharType="begin"/>
      </w:r>
      <w:r w:rsidR="009F7E7C">
        <w:rPr>
          <w:rFonts w:eastAsia="Arial"/>
        </w:rPr>
        <w:instrText xml:space="preserve"> ADDIN EN.CITE &lt;EndNote&gt;&lt;Cite&gt;&lt;Author&gt;Australian Bureau of Statistics&lt;/Author&gt;&lt;Year&gt;2016&lt;/Year&gt;&lt;RecNum&gt;30&lt;/RecNum&gt;&lt;DisplayText&gt;&lt;style face="superscript"&gt;31&lt;/style&gt;&lt;/DisplayText&gt;&lt;record&gt;&lt;rec-number&gt;30&lt;/rec-number&gt;&lt;foreign-keys&gt;&lt;key app="EN" db-id="zxa00wf2opvf9oeeset50xz7ezpfwre2v20z"&gt;30&lt;/key&gt;&lt;/foreign-keys&gt;&lt;ref-type name="Generic"&gt;13&lt;/ref-type&gt;&lt;contributors&gt;&lt;authors&gt;&lt;author&gt;Australian Bureau of Statistics,&lt;/author&gt;&lt;/authors&gt;&lt;/contributors&gt;&lt;titles&gt;&lt;title&gt;3101.0 - Australian demographic statistics, December 2015&lt;/title&gt;&lt;/titles&gt;&lt;dates&gt;&lt;year&gt;2016&lt;/year&gt;&lt;/dates&gt;&lt;pub-location&gt;Canberra&lt;/pub-location&gt;&lt;publisher&gt;Australian Bureau of Statistics&lt;/publisher&gt;&lt;urls&gt;&lt;related-urls&gt;&lt;url&gt;http://www.abs.gov.au/AUSSTATS/abs@.nsf/DetailsPage/3101.0Dec%202015?OpenDocument&lt;/url&gt;&lt;/related-urls&gt;&lt;/urls&gt;&lt;/record&gt;&lt;/Cite&gt;&lt;/EndNote&gt;</w:instrText>
      </w:r>
      <w:r w:rsidR="008E4A1B">
        <w:rPr>
          <w:rFonts w:eastAsia="Arial"/>
        </w:rPr>
        <w:fldChar w:fldCharType="separate"/>
      </w:r>
      <w:r w:rsidR="009F7E7C" w:rsidRPr="009F7E7C">
        <w:rPr>
          <w:rFonts w:eastAsia="Arial"/>
          <w:noProof/>
          <w:vertAlign w:val="superscript"/>
        </w:rPr>
        <w:t>31</w:t>
      </w:r>
      <w:r w:rsidR="008E4A1B">
        <w:rPr>
          <w:rFonts w:eastAsia="Arial"/>
        </w:rPr>
        <w:fldChar w:fldCharType="end"/>
      </w:r>
      <w:r>
        <w:rPr>
          <w:rFonts w:eastAsia="Arial"/>
        </w:rPr>
        <w:t xml:space="preserve"> and is projected to jump to 22% by 2050.</w:t>
      </w:r>
      <w:r w:rsidR="008E4A1B">
        <w:rPr>
          <w:rFonts w:eastAsia="Arial"/>
        </w:rPr>
        <w:fldChar w:fldCharType="begin"/>
      </w:r>
      <w:r w:rsidR="009F7E7C">
        <w:rPr>
          <w:rFonts w:eastAsia="Arial"/>
        </w:rPr>
        <w:instrText xml:space="preserve"> ADDIN EN.CITE &lt;EndNote&gt;&lt;Cite&gt;&lt;Author&gt;Australian Bureau of Statistics&lt;/Author&gt;&lt;Year&gt;2008&lt;/Year&gt;&lt;RecNum&gt;149&lt;/RecNum&gt;&lt;DisplayText&gt;&lt;style face="superscript"&gt;33&lt;/style&gt;&lt;/DisplayText&gt;&lt;record&gt;&lt;rec-number&gt;149&lt;/rec-number&gt;&lt;foreign-keys&gt;&lt;key app="EN" db-id="zxa00wf2opvf9oeeset50xz7ezpfwre2v20z"&gt;149&lt;/key&gt;&lt;/foreign-keys&gt;&lt;ref-type name="Report"&gt;27&lt;/ref-type&gt;&lt;contributors&gt;&lt;authors&gt;&lt;author&gt;Australian Bureau of Statistics,&lt;/author&gt;&lt;/authors&gt;&lt;/contributors&gt;&lt;titles&gt;&lt;title&gt;3222.0 - Population projections, Australia, 2006 to 2101&lt;/title&gt;&lt;/titles&gt;&lt;dates&gt;&lt;year&gt;2008&lt;/year&gt;&lt;/dates&gt;&lt;pub-location&gt;Canberra&lt;/pub-location&gt;&lt;publisher&gt;Australian Bureau of Statistics&lt;/publisher&gt;&lt;urls&gt;&lt;related-urls&gt;&lt;url&gt;http://www.abs.gov.au/AUSSTATS/abs@.nsf/Lookup/3222.0Main+Features12006%20to%202101?OpenDocument&lt;/url&gt;&lt;/related-urls&gt;&lt;/urls&gt;&lt;/record&gt;&lt;/Cite&gt;&lt;/EndNote&gt;</w:instrText>
      </w:r>
      <w:r w:rsidR="008E4A1B">
        <w:rPr>
          <w:rFonts w:eastAsia="Arial"/>
        </w:rPr>
        <w:fldChar w:fldCharType="separate"/>
      </w:r>
      <w:r w:rsidR="009F7E7C" w:rsidRPr="009F7E7C">
        <w:rPr>
          <w:rFonts w:eastAsia="Arial"/>
          <w:noProof/>
          <w:vertAlign w:val="superscript"/>
        </w:rPr>
        <w:t>33</w:t>
      </w:r>
      <w:r w:rsidR="008E4A1B">
        <w:rPr>
          <w:rFonts w:eastAsia="Arial"/>
        </w:rPr>
        <w:fldChar w:fldCharType="end"/>
      </w:r>
    </w:p>
    <w:p w:rsidR="00816515" w:rsidRDefault="00816515" w:rsidP="00816515">
      <w:pPr>
        <w:rPr>
          <w:rFonts w:eastAsia="Arial"/>
        </w:rPr>
      </w:pPr>
    </w:p>
    <w:p w:rsidR="00816515" w:rsidRPr="00D20CE4" w:rsidRDefault="00816515" w:rsidP="00816515">
      <w:pPr>
        <w:rPr>
          <w:rFonts w:eastAsia="Arial"/>
          <w:sz w:val="14"/>
          <w:szCs w:val="14"/>
        </w:rPr>
      </w:pPr>
      <w:r>
        <w:rPr>
          <w:rFonts w:eastAsia="Arial"/>
        </w:rPr>
        <w:lastRenderedPageBreak/>
        <w:t>People over 65 years of age are</w:t>
      </w:r>
      <w:r>
        <w:rPr>
          <w:rFonts w:eastAsia="Arial"/>
          <w:color w:val="000000"/>
        </w:rPr>
        <w:t xml:space="preserve"> more likely than the rest of the population to su</w:t>
      </w:r>
      <w:r>
        <w:rPr>
          <w:rFonts w:eastAsia="Arial"/>
          <w:color w:val="000000"/>
          <w:spacing w:val="-4"/>
        </w:rPr>
        <w:t>f</w:t>
      </w:r>
      <w:r>
        <w:rPr>
          <w:rFonts w:eastAsia="Arial"/>
          <w:color w:val="000000"/>
        </w:rPr>
        <w:t xml:space="preserve">fer from </w:t>
      </w:r>
      <w:r w:rsidR="00266D72">
        <w:rPr>
          <w:rFonts w:eastAsia="Arial"/>
          <w:color w:val="000000"/>
        </w:rPr>
        <w:t>multiple</w:t>
      </w:r>
      <w:r>
        <w:rPr>
          <w:rFonts w:eastAsia="Arial"/>
          <w:color w:val="000000"/>
        </w:rPr>
        <w:t xml:space="preserve"> chronic diseases and are at significant risk of fall-related injuries.</w:t>
      </w:r>
      <w:r w:rsidR="008E4A1B">
        <w:rPr>
          <w:rFonts w:eastAsia="Arial"/>
          <w:color w:val="000000"/>
        </w:rPr>
        <w:fldChar w:fldCharType="begin"/>
      </w:r>
      <w:r w:rsidR="009F7E7C">
        <w:rPr>
          <w:rFonts w:eastAsia="Arial"/>
          <w:color w:val="000000"/>
        </w:rPr>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rPr>
          <w:rFonts w:eastAsia="Arial"/>
          <w:color w:val="000000"/>
        </w:rPr>
        <w:fldChar w:fldCharType="separate"/>
      </w:r>
      <w:r w:rsidR="009F7E7C" w:rsidRPr="009F7E7C">
        <w:rPr>
          <w:rFonts w:eastAsia="Arial"/>
          <w:noProof/>
          <w:color w:val="000000"/>
          <w:vertAlign w:val="superscript"/>
        </w:rPr>
        <w:t>20</w:t>
      </w:r>
      <w:r w:rsidR="008E4A1B">
        <w:rPr>
          <w:rFonts w:eastAsia="Arial"/>
          <w:color w:val="000000"/>
        </w:rPr>
        <w:fldChar w:fldCharType="end"/>
      </w:r>
      <w:r w:rsidR="0099210E">
        <w:rPr>
          <w:rFonts w:eastAsia="Arial"/>
          <w:i/>
          <w:color w:val="FF0000"/>
          <w:vertAlign w:val="superscript"/>
        </w:rPr>
        <w:t xml:space="preserve"> </w:t>
      </w:r>
      <w:r>
        <w:rPr>
          <w:rFonts w:eastAsia="Arial"/>
        </w:rPr>
        <w:t>Falls currently account for more than half of injury deaths and three quarters of injury hospitalisations in WA people over 65 years of age.</w:t>
      </w:r>
      <w:r w:rsidR="008E4A1B">
        <w:rPr>
          <w:rFonts w:eastAsia="Arial"/>
        </w:rPr>
        <w:fldChar w:fldCharType="begin"/>
      </w:r>
      <w:r w:rsidR="009F7E7C">
        <w:rPr>
          <w:rFonts w:eastAsia="Arial"/>
        </w:rPr>
        <w:instrText xml:space="preserve"> ADDIN EN.CITE &lt;EndNote&gt;&lt;Cite&gt;&lt;Author&gt;Epidemiology Branch&lt;/Author&gt;&lt;Year&gt;2016&lt;/Year&gt;&lt;RecNum&gt;979&lt;/RecNum&gt;&lt;DisplayText&gt;&lt;style face="superscript"&gt;29&lt;/style&gt;&lt;/DisplayText&gt;&lt;record&gt;&lt;rec-number&gt;979&lt;/rec-number&gt;&lt;foreign-keys&gt;&lt;key app="EN" db-id="zxa00wf2opvf9oeeset50xz7ezpfwre2v20z"&gt;979&lt;/key&gt;&lt;/foreign-keys&gt;&lt;ref-type name="Report"&gt;27&lt;/ref-type&gt;&lt;contributors&gt;&lt;authors&gt;&lt;author&gt;Epidemiology Branch,&lt;/author&gt;&lt;/authors&gt;&lt;/contributors&gt;&lt;titles&gt;&lt;title&gt;Injury hospitalisations, deaths, and emergency department presentations, HMDS&lt;/title&gt;&lt;/titles&gt;&lt;dates&gt;&lt;year&gt;2016&lt;/year&gt;&lt;/dates&gt;&lt;pub-location&gt;Perth&lt;/pub-location&gt;&lt;publisher&gt;Department of Health, Western Australia&lt;/publisher&gt;&lt;urls&gt;&lt;/urls&gt;&lt;/record&gt;&lt;/Cite&gt;&lt;/EndNote&gt;</w:instrText>
      </w:r>
      <w:r w:rsidR="008E4A1B">
        <w:rPr>
          <w:rFonts w:eastAsia="Arial"/>
        </w:rPr>
        <w:fldChar w:fldCharType="separate"/>
      </w:r>
      <w:r w:rsidR="009F7E7C" w:rsidRPr="009F7E7C">
        <w:rPr>
          <w:rFonts w:eastAsia="Arial"/>
          <w:noProof/>
          <w:vertAlign w:val="superscript"/>
        </w:rPr>
        <w:t>29</w:t>
      </w:r>
      <w:r w:rsidR="008E4A1B">
        <w:rPr>
          <w:rFonts w:eastAsia="Arial"/>
        </w:rPr>
        <w:fldChar w:fldCharType="end"/>
      </w:r>
    </w:p>
    <w:p w:rsidR="00816515" w:rsidRDefault="00816515" w:rsidP="00816515">
      <w:pPr>
        <w:rPr>
          <w:rFonts w:eastAsia="Arial"/>
        </w:rPr>
      </w:pPr>
    </w:p>
    <w:p w:rsidR="00816515" w:rsidRDefault="00816515" w:rsidP="00816515">
      <w:pPr>
        <w:rPr>
          <w:rFonts w:eastAsia="Arial"/>
        </w:rPr>
      </w:pPr>
      <w:r>
        <w:rPr>
          <w:rFonts w:eastAsia="Arial"/>
        </w:rPr>
        <w:t xml:space="preserve">The changing demographic profile in WA means many of the challenges </w:t>
      </w:r>
      <w:r w:rsidR="006D5223">
        <w:rPr>
          <w:rFonts w:eastAsia="Arial"/>
        </w:rPr>
        <w:t>currently being faced</w:t>
      </w:r>
      <w:r>
        <w:rPr>
          <w:rFonts w:eastAsia="Arial"/>
        </w:rPr>
        <w:t xml:space="preserve"> are likely to intensify over the coming decades. Strong population growth, increased longevity and a higher proportion of older adults in WA will translate to higher economic costs and a greater strain on </w:t>
      </w:r>
      <w:r w:rsidR="00265D3E">
        <w:rPr>
          <w:rFonts w:eastAsia="Arial"/>
        </w:rPr>
        <w:t>the</w:t>
      </w:r>
      <w:r>
        <w:rPr>
          <w:rFonts w:eastAsia="Arial"/>
        </w:rPr>
        <w:t xml:space="preserve"> healthcare system.</w:t>
      </w:r>
    </w:p>
    <w:p w:rsidR="00453E38" w:rsidRDefault="00453E38" w:rsidP="00816515">
      <w:pPr>
        <w:rPr>
          <w:rFonts w:eastAsiaTheme="majorEastAsia"/>
          <w:b/>
          <w:color w:val="31849B" w:themeColor="accent5" w:themeShade="BF"/>
          <w:sz w:val="32"/>
          <w:szCs w:val="32"/>
        </w:rPr>
      </w:pPr>
    </w:p>
    <w:p w:rsidR="00816515" w:rsidRPr="006C3415" w:rsidRDefault="00816515" w:rsidP="00816515">
      <w:pPr>
        <w:rPr>
          <w:rFonts w:eastAsiaTheme="majorEastAsia"/>
          <w:b/>
          <w:color w:val="808080" w:themeColor="background1" w:themeShade="80"/>
          <w:sz w:val="32"/>
          <w:szCs w:val="32"/>
        </w:rPr>
      </w:pPr>
      <w:r w:rsidRPr="006C3415">
        <w:rPr>
          <w:rFonts w:eastAsiaTheme="majorEastAsia"/>
          <w:b/>
          <w:color w:val="808080" w:themeColor="background1" w:themeShade="80"/>
          <w:sz w:val="32"/>
          <w:szCs w:val="32"/>
        </w:rPr>
        <w:t>Hospital costs for chronic disease and injury are already high…</w:t>
      </w:r>
    </w:p>
    <w:p w:rsidR="00816515" w:rsidRDefault="00816515" w:rsidP="00816515">
      <w:pPr>
        <w:rPr>
          <w:rFonts w:eastAsia="Arial"/>
        </w:rPr>
      </w:pPr>
    </w:p>
    <w:p w:rsidR="00E72BD1" w:rsidRDefault="00E72BD1" w:rsidP="00E72BD1">
      <w:pPr>
        <w:rPr>
          <w:rFonts w:eastAsia="Arial"/>
        </w:rPr>
      </w:pPr>
      <w:r>
        <w:rPr>
          <w:rFonts w:eastAsia="Arial"/>
        </w:rPr>
        <w:t xml:space="preserve">The </w:t>
      </w:r>
      <w:r w:rsidRPr="0057254B">
        <w:rPr>
          <w:rFonts w:eastAsia="Arial"/>
        </w:rPr>
        <w:t>hospital</w:t>
      </w:r>
      <w:r>
        <w:rPr>
          <w:rFonts w:eastAsia="Arial"/>
        </w:rPr>
        <w:t xml:space="preserve"> </w:t>
      </w:r>
      <w:r w:rsidRPr="0057254B">
        <w:rPr>
          <w:rFonts w:eastAsia="Arial"/>
        </w:rPr>
        <w:t xml:space="preserve">costs </w:t>
      </w:r>
      <w:r>
        <w:rPr>
          <w:rFonts w:eastAsia="Arial"/>
        </w:rPr>
        <w:t>in 2013 attributable to</w:t>
      </w:r>
      <w:r w:rsidRPr="0057254B">
        <w:rPr>
          <w:rFonts w:eastAsia="Arial"/>
        </w:rPr>
        <w:t xml:space="preserve"> chronic disease </w:t>
      </w:r>
      <w:r>
        <w:rPr>
          <w:rFonts w:eastAsia="Arial"/>
        </w:rPr>
        <w:t>exceeded $715 million in WA. In the same year, hospital costs in WA for injury were just short of $350 million.</w:t>
      </w:r>
      <w:r>
        <w:rPr>
          <w:rFonts w:eastAsia="Arial"/>
        </w:rPr>
        <w:fldChar w:fldCharType="begin"/>
      </w:r>
      <w:r>
        <w:rPr>
          <w:rFonts w:eastAsia="Arial"/>
        </w:rPr>
        <w:instrText xml:space="preserve"> ADDIN EN.CITE &lt;EndNote&gt;&lt;Cite&gt;&lt;Author&gt;Epidemiology Branch&lt;/Author&gt;&lt;Year&gt;2016&lt;/Year&gt;&lt;RecNum&gt;982&lt;/RecNum&gt;&lt;DisplayText&gt;&lt;style face="superscript"&gt;14&lt;/style&gt;&lt;/DisplayText&gt;&lt;record&gt;&lt;rec-number&gt;982&lt;/rec-number&gt;&lt;foreign-keys&gt;&lt;key app="EN" db-id="zxa00wf2opvf9oeeset50xz7ezpfwre2v20z"&gt;982&lt;/key&gt;&lt;/foreign-keys&gt;&lt;ref-type name="Report"&gt;27&lt;/ref-type&gt;&lt;contributors&gt;&lt;authors&gt;&lt;author&gt;Epidemiology Branch,&lt;/author&gt;&lt;/authors&gt;&lt;/contributors&gt;&lt;titles&gt;&lt;title&gt;Costs and cost projections for injury and chronic disease hospitalisations, HMDS&lt;/title&gt;&lt;/titles&gt;&lt;dates&gt;&lt;year&gt;2016&lt;/year&gt;&lt;/dates&gt;&lt;pub-location&gt;Perth&lt;/pub-location&gt;&lt;publisher&gt;Department of Health, Western Australia&lt;/publisher&gt;&lt;urls&gt;&lt;/urls&gt;&lt;/record&gt;&lt;/Cite&gt;&lt;/EndNote&gt;</w:instrText>
      </w:r>
      <w:r>
        <w:rPr>
          <w:rFonts w:eastAsia="Arial"/>
        </w:rPr>
        <w:fldChar w:fldCharType="separate"/>
      </w:r>
      <w:r w:rsidRPr="00C21325">
        <w:rPr>
          <w:rFonts w:eastAsia="Arial"/>
          <w:noProof/>
          <w:vertAlign w:val="superscript"/>
        </w:rPr>
        <w:t>14</w:t>
      </w:r>
      <w:r>
        <w:rPr>
          <w:rFonts w:eastAsia="Arial"/>
        </w:rPr>
        <w:fldChar w:fldCharType="end"/>
      </w:r>
    </w:p>
    <w:p w:rsidR="00AC28AD" w:rsidRDefault="00AC28AD" w:rsidP="00816515">
      <w:pPr>
        <w:rPr>
          <w:rFonts w:eastAsia="Arial"/>
        </w:rPr>
      </w:pPr>
    </w:p>
    <w:p w:rsidR="00816515" w:rsidRDefault="00816515" w:rsidP="00816515">
      <w:pPr>
        <w:rPr>
          <w:rFonts w:eastAsia="Arial"/>
        </w:rPr>
      </w:pPr>
      <w:r>
        <w:rPr>
          <w:rFonts w:eastAsia="Arial"/>
        </w:rPr>
        <w:t>Osteoarthritis, coronary heart disease and chronic kidney disease cost WA</w:t>
      </w:r>
      <w:r w:rsidRPr="0057254B">
        <w:rPr>
          <w:rFonts w:eastAsia="Arial"/>
        </w:rPr>
        <w:t xml:space="preserve"> </w:t>
      </w:r>
      <w:r>
        <w:rPr>
          <w:rFonts w:eastAsia="Arial"/>
        </w:rPr>
        <w:t xml:space="preserve">more than </w:t>
      </w:r>
      <w:r w:rsidRPr="0057254B">
        <w:rPr>
          <w:rFonts w:eastAsia="Arial"/>
        </w:rPr>
        <w:t>$</w:t>
      </w:r>
      <w:r>
        <w:rPr>
          <w:rFonts w:eastAsia="Arial"/>
        </w:rPr>
        <w:t>400</w:t>
      </w:r>
      <w:r w:rsidRPr="0057254B">
        <w:rPr>
          <w:rFonts w:eastAsia="Arial"/>
        </w:rPr>
        <w:t xml:space="preserve"> million in 201</w:t>
      </w:r>
      <w:r>
        <w:rPr>
          <w:rFonts w:eastAsia="Arial"/>
        </w:rPr>
        <w:t>3</w:t>
      </w:r>
      <w:r w:rsidR="00246F3C">
        <w:rPr>
          <w:rFonts w:eastAsia="Arial"/>
        </w:rPr>
        <w:t xml:space="preserve"> </w:t>
      </w:r>
      <w:r>
        <w:rPr>
          <w:rFonts w:eastAsia="Arial"/>
        </w:rPr>
        <w:t>(57% of chronic disease hospital costs)</w:t>
      </w:r>
      <w:r w:rsidRPr="0057254B">
        <w:rPr>
          <w:rFonts w:eastAsia="Arial"/>
        </w:rPr>
        <w:t>.</w:t>
      </w:r>
      <w:r w:rsidR="008E4A1B">
        <w:rPr>
          <w:rFonts w:eastAsia="Arial"/>
        </w:rPr>
        <w:fldChar w:fldCharType="begin"/>
      </w:r>
      <w:r w:rsidR="00C21325">
        <w:rPr>
          <w:rFonts w:eastAsia="Arial"/>
        </w:rPr>
        <w:instrText xml:space="preserve"> ADDIN EN.CITE &lt;EndNote&gt;&lt;Cite&gt;&lt;Author&gt;Epidemiology Branch&lt;/Author&gt;&lt;Year&gt;2016&lt;/Year&gt;&lt;RecNum&gt;982&lt;/RecNum&gt;&lt;DisplayText&gt;&lt;style face="superscript"&gt;14&lt;/style&gt;&lt;/DisplayText&gt;&lt;record&gt;&lt;rec-number&gt;982&lt;/rec-number&gt;&lt;foreign-keys&gt;&lt;key app="EN" db-id="zxa00wf2opvf9oeeset50xz7ezpfwre2v20z"&gt;982&lt;/key&gt;&lt;/foreign-keys&gt;&lt;ref-type name="Report"&gt;27&lt;/ref-type&gt;&lt;contributors&gt;&lt;authors&gt;&lt;author&gt;Epidemiology Branch,&lt;/author&gt;&lt;/authors&gt;&lt;/contributors&gt;&lt;titles&gt;&lt;title&gt;Costs and cost projections for injury and chronic disease hospitalisations, HMDS&lt;/title&gt;&lt;/titles&gt;&lt;dates&gt;&lt;year&gt;2016&lt;/year&gt;&lt;/dates&gt;&lt;pub-location&gt;Perth&lt;/pub-location&gt;&lt;publisher&gt;Department of Health, Western Australia&lt;/publisher&gt;&lt;urls&gt;&lt;/urls&gt;&lt;/record&gt;&lt;/Cite&gt;&lt;/EndNote&gt;</w:instrText>
      </w:r>
      <w:r w:rsidR="008E4A1B">
        <w:rPr>
          <w:rFonts w:eastAsia="Arial"/>
        </w:rPr>
        <w:fldChar w:fldCharType="separate"/>
      </w:r>
      <w:r w:rsidR="00C21325" w:rsidRPr="00C21325">
        <w:rPr>
          <w:rFonts w:eastAsia="Arial"/>
          <w:noProof/>
          <w:vertAlign w:val="superscript"/>
        </w:rPr>
        <w:t>14</w:t>
      </w:r>
      <w:r w:rsidR="008E4A1B">
        <w:rPr>
          <w:rFonts w:eastAsia="Arial"/>
        </w:rPr>
        <w:fldChar w:fldCharType="end"/>
      </w:r>
      <w:r w:rsidRPr="0057254B">
        <w:rPr>
          <w:rFonts w:eastAsia="Arial"/>
        </w:rPr>
        <w:br/>
      </w:r>
    </w:p>
    <w:p w:rsidR="00816515" w:rsidRDefault="00816515" w:rsidP="00816515">
      <w:pPr>
        <w:rPr>
          <w:rFonts w:eastAsia="Arial"/>
        </w:rPr>
      </w:pPr>
      <w:r>
        <w:rPr>
          <w:rFonts w:eastAsia="Arial"/>
        </w:rPr>
        <w:t>For injury, falls and transportation injuries alone accounted for almost $200 million (57% of all injury hospital costs) in 2013.</w:t>
      </w:r>
      <w:r w:rsidR="008E4A1B">
        <w:rPr>
          <w:rFonts w:eastAsia="Arial"/>
        </w:rPr>
        <w:fldChar w:fldCharType="begin"/>
      </w:r>
      <w:r w:rsidR="00C21325">
        <w:rPr>
          <w:rFonts w:eastAsia="Arial"/>
        </w:rPr>
        <w:instrText xml:space="preserve"> ADDIN EN.CITE &lt;EndNote&gt;&lt;Cite&gt;&lt;Author&gt;Epidemiology Branch&lt;/Author&gt;&lt;Year&gt;2016&lt;/Year&gt;&lt;RecNum&gt;982&lt;/RecNum&gt;&lt;DisplayText&gt;&lt;style face="superscript"&gt;14&lt;/style&gt;&lt;/DisplayText&gt;&lt;record&gt;&lt;rec-number&gt;982&lt;/rec-number&gt;&lt;foreign-keys&gt;&lt;key app="EN" db-id="zxa00wf2opvf9oeeset50xz7ezpfwre2v20z"&gt;982&lt;/key&gt;&lt;/foreign-keys&gt;&lt;ref-type name="Report"&gt;27&lt;/ref-type&gt;&lt;contributors&gt;&lt;authors&gt;&lt;author&gt;Epidemiology Branch,&lt;/author&gt;&lt;/authors&gt;&lt;/contributors&gt;&lt;titles&gt;&lt;title&gt;Costs and cost projections for injury and chronic disease hospitalisations, HMDS&lt;/title&gt;&lt;/titles&gt;&lt;dates&gt;&lt;year&gt;2016&lt;/year&gt;&lt;/dates&gt;&lt;pub-location&gt;Perth&lt;/pub-location&gt;&lt;publisher&gt;Department of Health, Western Australia&lt;/publisher&gt;&lt;urls&gt;&lt;/urls&gt;&lt;/record&gt;&lt;/Cite&gt;&lt;/EndNote&gt;</w:instrText>
      </w:r>
      <w:r w:rsidR="008E4A1B">
        <w:rPr>
          <w:rFonts w:eastAsia="Arial"/>
        </w:rPr>
        <w:fldChar w:fldCharType="separate"/>
      </w:r>
      <w:r w:rsidR="00C21325" w:rsidRPr="00C21325">
        <w:rPr>
          <w:rFonts w:eastAsia="Arial"/>
          <w:noProof/>
          <w:vertAlign w:val="superscript"/>
        </w:rPr>
        <w:t>14</w:t>
      </w:r>
      <w:r w:rsidR="008E4A1B">
        <w:rPr>
          <w:rFonts w:eastAsia="Arial"/>
        </w:rPr>
        <w:fldChar w:fldCharType="end"/>
      </w:r>
    </w:p>
    <w:p w:rsidR="00FD0EE1" w:rsidRDefault="00FD0EE1" w:rsidP="00816515">
      <w:pPr>
        <w:rPr>
          <w:rFonts w:eastAsia="Arial"/>
        </w:rPr>
      </w:pPr>
    </w:p>
    <w:p w:rsidR="00FD0EE1" w:rsidRDefault="00FD0EE1" w:rsidP="00FD0EE1">
      <w:pPr>
        <w:rPr>
          <w:rFonts w:eastAsia="Arial"/>
          <w:color w:val="FF0000"/>
          <w:vertAlign w:val="superscript"/>
        </w:rPr>
      </w:pPr>
      <w:r>
        <w:rPr>
          <w:rFonts w:eastAsia="Arial"/>
        </w:rPr>
        <w:t>Hospital costs of admissions due to alcohol-related causes in WA exceeded $478 million over the period 2007–2011.</w:t>
      </w:r>
      <w:r>
        <w:rPr>
          <w:rFonts w:eastAsia="Arial"/>
        </w:rPr>
        <w:fldChar w:fldCharType="begin"/>
      </w:r>
      <w:r w:rsidR="00547316">
        <w:rPr>
          <w:rFonts w:eastAsia="Arial"/>
        </w:rPr>
        <w:instrText xml:space="preserve"> ADDIN EN.CITE &lt;EndNote&gt;&lt;Cite&gt;&lt;Author&gt;Drug and Alcohol Office&lt;/Author&gt;&lt;Year&gt;2014&lt;/Year&gt;&lt;RecNum&gt;1070&lt;/RecNum&gt;&lt;DisplayText&gt;&lt;style face="superscript"&gt;34&lt;/style&gt;&lt;/DisplayText&gt;&lt;record&gt;&lt;rec-number&gt;1070&lt;/rec-number&gt;&lt;foreign-keys&gt;&lt;key app="EN" db-id="zxa00wf2opvf9oeeset50xz7ezpfwre2v20z"&gt;1070&lt;/key&gt;&lt;/foreign-keys&gt;&lt;ref-type name="Report"&gt;27&lt;/ref-type&gt;&lt;contributors&gt;&lt;authors&gt;&lt;author&gt;Drug and Alcohol Office,&lt;/author&gt;&lt;author&gt;Western Australia,&lt;/author&gt;&lt;author&gt;and Department of Health,&lt;/author&gt;&lt;author&gt;Western Australia,&lt;/author&gt;&lt;/authors&gt;&lt;/contributors&gt;&lt;titles&gt;&lt;title&gt;Alcohol-related hospitalisations and deaths in Western Australia. State Profile. Drug and Alcohol Office surveillance report&lt;/title&gt;&lt;/titles&gt;&lt;dates&gt;&lt;year&gt;2014&lt;/year&gt;&lt;/dates&gt;&lt;pub-location&gt;Perth&lt;/pub-location&gt;&lt;publisher&gt;Drug and Alcohol Office&lt;/publisher&gt;&lt;urls&gt;&lt;related-urls&gt;&lt;url&gt;http://www.dao.health.wa.gov.au/DesktopModules/Bring2mind/DMX/Download.aspx?Command=Core_Download&amp;amp;EntryId=1129&amp;amp;PortalId=0&amp;amp;TabId=211&lt;/url&gt;&lt;/related-urls&gt;&lt;/urls&gt;&lt;/record&gt;&lt;/Cite&gt;&lt;/EndNote&gt;</w:instrText>
      </w:r>
      <w:r>
        <w:rPr>
          <w:rFonts w:eastAsia="Arial"/>
        </w:rPr>
        <w:fldChar w:fldCharType="separate"/>
      </w:r>
      <w:r w:rsidR="00547316" w:rsidRPr="00547316">
        <w:rPr>
          <w:rFonts w:eastAsia="Arial"/>
          <w:noProof/>
          <w:vertAlign w:val="superscript"/>
        </w:rPr>
        <w:t>34</w:t>
      </w:r>
      <w:r>
        <w:rPr>
          <w:rFonts w:eastAsia="Arial"/>
        </w:rPr>
        <w:fldChar w:fldCharType="end"/>
      </w:r>
    </w:p>
    <w:p w:rsidR="00816515" w:rsidRDefault="00816515" w:rsidP="00816515">
      <w:pPr>
        <w:rPr>
          <w:rFonts w:eastAsia="Arial"/>
        </w:rPr>
      </w:pPr>
    </w:p>
    <w:p w:rsidR="00816515" w:rsidRDefault="00FD5AFC" w:rsidP="00816515">
      <w:pPr>
        <w:rPr>
          <w:rFonts w:eastAsia="Arial"/>
        </w:rPr>
      </w:pPr>
      <w:r>
        <w:rPr>
          <w:rFonts w:eastAsia="Arial"/>
        </w:rPr>
        <w:t xml:space="preserve">The overall costs of chronic disease are much higher, when </w:t>
      </w:r>
      <w:r w:rsidR="008B449D">
        <w:rPr>
          <w:rFonts w:eastAsia="Arial"/>
        </w:rPr>
        <w:t>health care costs other than hospitalisations are considered, as well as the impact on t</w:t>
      </w:r>
      <w:r w:rsidR="00685EC4">
        <w:rPr>
          <w:rFonts w:eastAsia="Arial"/>
        </w:rPr>
        <w:t>he workforce and the community.</w:t>
      </w:r>
      <w:r w:rsidR="00416059">
        <w:rPr>
          <w:rFonts w:eastAsia="Arial"/>
        </w:rPr>
        <w:t xml:space="preserve"> For example, w</w:t>
      </w:r>
      <w:r w:rsidR="00816515">
        <w:rPr>
          <w:rFonts w:eastAsia="Arial"/>
        </w:rPr>
        <w:t>hil</w:t>
      </w:r>
      <w:r w:rsidR="00FD0EE1">
        <w:rPr>
          <w:rFonts w:eastAsia="Arial"/>
        </w:rPr>
        <w:t>e</w:t>
      </w:r>
      <w:r w:rsidR="00816515">
        <w:rPr>
          <w:rFonts w:eastAsia="Arial"/>
        </w:rPr>
        <w:t xml:space="preserve"> hospital costs attributed to tobacco use in </w:t>
      </w:r>
      <w:r w:rsidR="000433C3">
        <w:rPr>
          <w:rFonts w:eastAsia="Arial"/>
        </w:rPr>
        <w:t>WA in 2009</w:t>
      </w:r>
      <w:r w:rsidR="00E041E6">
        <w:rPr>
          <w:rFonts w:eastAsia="Arial"/>
        </w:rPr>
        <w:t>–</w:t>
      </w:r>
      <w:r w:rsidR="000433C3">
        <w:rPr>
          <w:rFonts w:eastAsia="Arial"/>
        </w:rPr>
        <w:t xml:space="preserve">10 were estimated at </w:t>
      </w:r>
      <w:r w:rsidR="00816515">
        <w:rPr>
          <w:rFonts w:eastAsia="Arial"/>
        </w:rPr>
        <w:t>$9</w:t>
      </w:r>
      <w:r w:rsidR="008B5CBF">
        <w:rPr>
          <w:rFonts w:eastAsia="Arial"/>
        </w:rPr>
        <w:t>4</w:t>
      </w:r>
      <w:r w:rsidR="00816515">
        <w:rPr>
          <w:rFonts w:eastAsia="Arial"/>
        </w:rPr>
        <w:t xml:space="preserve"> million, the overall tangible cost (including all health care costs, workforce and household labour impacts) of tobacco use were estimated </w:t>
      </w:r>
      <w:r w:rsidR="00E041E6">
        <w:rPr>
          <w:rFonts w:eastAsia="Arial"/>
        </w:rPr>
        <w:t>to be</w:t>
      </w:r>
      <w:r w:rsidR="00816515">
        <w:rPr>
          <w:rFonts w:eastAsia="Arial"/>
        </w:rPr>
        <w:t xml:space="preserve"> $1.</w:t>
      </w:r>
      <w:r w:rsidR="00B77562">
        <w:rPr>
          <w:rFonts w:eastAsia="Arial"/>
        </w:rPr>
        <w:t>3</w:t>
      </w:r>
      <w:r w:rsidR="00816515">
        <w:rPr>
          <w:rFonts w:eastAsia="Arial"/>
        </w:rPr>
        <w:t xml:space="preserve"> billion.</w:t>
      </w:r>
      <w:r w:rsidR="0099210E">
        <w:rPr>
          <w:rFonts w:eastAsia="Arial"/>
        </w:rPr>
        <w:t xml:space="preserve"> </w:t>
      </w:r>
      <w:r w:rsidR="00816515">
        <w:rPr>
          <w:rFonts w:eastAsia="Arial"/>
        </w:rPr>
        <w:t>If intangible costs are also included (</w:t>
      </w:r>
      <w:r w:rsidR="00DB28E7">
        <w:rPr>
          <w:rFonts w:eastAsia="Arial"/>
        </w:rPr>
        <w:t>that is,</w:t>
      </w:r>
      <w:r w:rsidR="00816515">
        <w:rPr>
          <w:rFonts w:eastAsia="Arial"/>
        </w:rPr>
        <w:t xml:space="preserve"> estimated costs of pain and suffering), then the overall cost of tobacco use in WA in 2009</w:t>
      </w:r>
      <w:r w:rsidR="00CA6435">
        <w:rPr>
          <w:rFonts w:eastAsia="Arial"/>
        </w:rPr>
        <w:t>–</w:t>
      </w:r>
      <w:r w:rsidR="00816515">
        <w:rPr>
          <w:rFonts w:eastAsia="Arial"/>
        </w:rPr>
        <w:t>10</w:t>
      </w:r>
      <w:r w:rsidR="006852DD">
        <w:rPr>
          <w:rFonts w:eastAsia="Arial"/>
        </w:rPr>
        <w:t xml:space="preserve"> was </w:t>
      </w:r>
      <w:r w:rsidR="00E041E6">
        <w:rPr>
          <w:rFonts w:eastAsia="Arial"/>
        </w:rPr>
        <w:t xml:space="preserve">an </w:t>
      </w:r>
      <w:r w:rsidR="006852DD">
        <w:rPr>
          <w:rFonts w:eastAsia="Arial"/>
        </w:rPr>
        <w:t>estimated $</w:t>
      </w:r>
      <w:r w:rsidR="00B77562">
        <w:rPr>
          <w:rFonts w:eastAsia="Arial"/>
        </w:rPr>
        <w:t>3</w:t>
      </w:r>
      <w:r w:rsidR="006852DD">
        <w:rPr>
          <w:rFonts w:eastAsia="Arial"/>
        </w:rPr>
        <w:t xml:space="preserve"> billion.</w:t>
      </w:r>
      <w:r w:rsidR="008E4A1B">
        <w:rPr>
          <w:rFonts w:eastAsia="Arial"/>
        </w:rPr>
        <w:fldChar w:fldCharType="begin"/>
      </w:r>
      <w:r w:rsidR="00547316">
        <w:rPr>
          <w:rFonts w:eastAsia="Arial"/>
        </w:rPr>
        <w:instrText xml:space="preserve"> ADDIN EN.CITE &lt;EndNote&gt;&lt;Cite&gt;&lt;Author&gt;Collins&lt;/Author&gt;&lt;Year&gt;2014&lt;/Year&gt;&lt;RecNum&gt;339&lt;/RecNum&gt;&lt;DisplayText&gt;&lt;style face="superscript"&gt;35&lt;/style&gt;&lt;/DisplayText&gt;&lt;record&gt;&lt;rec-number&gt;339&lt;/rec-number&gt;&lt;foreign-keys&gt;&lt;key app="EN" db-id="zxa00wf2opvf9oeeset50xz7ezpfwre2v20z"&gt;339&lt;/key&gt;&lt;/foreign-keys&gt;&lt;ref-type name="Report"&gt;27&lt;/ref-type&gt;&lt;contributors&gt;&lt;authors&gt;&lt;author&gt;Collins, D&lt;/author&gt;&lt;author&gt;Lapsley, H&lt;/author&gt;&lt;/authors&gt;&lt;/contributors&gt;&lt;titles&gt;&lt;title&gt;The social costs of smoking in Western Australia in 2009/10 and the social benefits of public policy measures to reduce smoking prevalence&lt;/title&gt;&lt;/titles&gt;&lt;dates&gt;&lt;year&gt;2014&lt;/year&gt;&lt;/dates&gt;&lt;pub-location&gt;Perth&lt;/pub-location&gt;&lt;publisher&gt;Cancer Council Western Australia&lt;/publisher&gt;&lt;urls&gt;&lt;related-urls&gt;&lt;url&gt;http://www.cancerwa.asn.au/resources/2014-10-28-Social-Costs-of-Smoking-Final.pdf&lt;/url&gt;&lt;/related-urls&gt;&lt;/urls&gt;&lt;/record&gt;&lt;/Cite&gt;&lt;/EndNote&gt;</w:instrText>
      </w:r>
      <w:r w:rsidR="008E4A1B">
        <w:rPr>
          <w:rFonts w:eastAsia="Arial"/>
        </w:rPr>
        <w:fldChar w:fldCharType="separate"/>
      </w:r>
      <w:r w:rsidR="00547316" w:rsidRPr="00547316">
        <w:rPr>
          <w:rFonts w:eastAsia="Arial"/>
          <w:noProof/>
          <w:vertAlign w:val="superscript"/>
        </w:rPr>
        <w:t>35</w:t>
      </w:r>
      <w:r w:rsidR="008E4A1B">
        <w:rPr>
          <w:rFonts w:eastAsia="Arial"/>
        </w:rPr>
        <w:fldChar w:fldCharType="end"/>
      </w:r>
    </w:p>
    <w:p w:rsidR="00816515" w:rsidRDefault="00816515" w:rsidP="00816515">
      <w:pPr>
        <w:rPr>
          <w:rFonts w:eastAsia="Arial"/>
        </w:rPr>
      </w:pPr>
    </w:p>
    <w:p w:rsidR="00816515" w:rsidRPr="00566797" w:rsidRDefault="00816515" w:rsidP="00816515">
      <w:pPr>
        <w:rPr>
          <w:rFonts w:eastAsiaTheme="majorEastAsia"/>
          <w:b/>
          <w:color w:val="808080" w:themeColor="background1" w:themeShade="80"/>
          <w:sz w:val="32"/>
          <w:szCs w:val="32"/>
        </w:rPr>
      </w:pPr>
      <w:r w:rsidRPr="00566797">
        <w:rPr>
          <w:rFonts w:eastAsiaTheme="majorEastAsia"/>
          <w:b/>
          <w:color w:val="808080" w:themeColor="background1" w:themeShade="80"/>
          <w:sz w:val="32"/>
          <w:szCs w:val="32"/>
        </w:rPr>
        <w:t>Prevention makes good sense</w:t>
      </w:r>
    </w:p>
    <w:p w:rsidR="00816515" w:rsidRDefault="0098247E" w:rsidP="00816515">
      <w:pPr>
        <w:rPr>
          <w:rFonts w:eastAsia="Arial"/>
        </w:rPr>
      </w:pPr>
      <w:r>
        <w:rPr>
          <w:rFonts w:eastAsia="Arial"/>
          <w:noProof/>
          <w:lang w:val="en-AU" w:eastAsia="en-AU"/>
        </w:rPr>
        <mc:AlternateContent>
          <mc:Choice Requires="wps">
            <w:drawing>
              <wp:anchor distT="71755" distB="71755" distL="180340" distR="180340" simplePos="0" relativeHeight="251726848" behindDoc="0" locked="0" layoutInCell="1" allowOverlap="1" wp14:anchorId="08CA488C" wp14:editId="534DE65E">
                <wp:simplePos x="0" y="0"/>
                <wp:positionH relativeFrom="margin">
                  <wp:posOffset>2954655</wp:posOffset>
                </wp:positionH>
                <wp:positionV relativeFrom="margin">
                  <wp:posOffset>7101205</wp:posOffset>
                </wp:positionV>
                <wp:extent cx="2494280" cy="1382395"/>
                <wp:effectExtent l="0" t="0" r="20320" b="27305"/>
                <wp:wrapSquare wrapText="bothSides"/>
                <wp:docPr id="22" name="Rounded Rectangle 22"/>
                <wp:cNvGraphicFramePr/>
                <a:graphic xmlns:a="http://schemas.openxmlformats.org/drawingml/2006/main">
                  <a:graphicData uri="http://schemas.microsoft.com/office/word/2010/wordprocessingShape">
                    <wps:wsp>
                      <wps:cNvSpPr/>
                      <wps:spPr>
                        <a:xfrm>
                          <a:off x="0" y="0"/>
                          <a:ext cx="2494280" cy="1382395"/>
                        </a:xfrm>
                        <a:prstGeom prst="roundRect">
                          <a:avLst/>
                        </a:prstGeom>
                        <a:solidFill>
                          <a:schemeClr val="bg1">
                            <a:lumMod val="95000"/>
                          </a:schemeClr>
                        </a:solidFill>
                        <a:ln>
                          <a:solidFill>
                            <a:schemeClr val="bg1">
                              <a:lumMod val="50000"/>
                            </a:schemeClr>
                          </a:solid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F65DF4" w:rsidRPr="006C3415" w:rsidRDefault="00F65DF4" w:rsidP="007E6016">
                            <w:pPr>
                              <w:shd w:val="clear" w:color="auto" w:fill="F2F2F2" w:themeFill="background1" w:themeFillShade="F2"/>
                              <w:jc w:val="center"/>
                              <w:rPr>
                                <w:rFonts w:eastAsia="Arial"/>
                                <w:b/>
                                <w:i/>
                                <w:color w:val="808080" w:themeColor="background1" w:themeShade="80"/>
                                <w:sz w:val="26"/>
                                <w:szCs w:val="26"/>
                              </w:rPr>
                            </w:pPr>
                            <w:r w:rsidRPr="006C3415">
                              <w:rPr>
                                <w:rFonts w:eastAsia="Arial"/>
                                <w:b/>
                                <w:i/>
                                <w:color w:val="808080" w:themeColor="background1" w:themeShade="80"/>
                                <w:sz w:val="26"/>
                                <w:szCs w:val="26"/>
                              </w:rPr>
                              <w:t>$176 million invested in tobacco prevention in Australia between 1971 and 2010 averted approximately $8.6 billion in costs over this period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2" o:spid="_x0000_s1028" style="position:absolute;margin-left:232.65pt;margin-top:559.15pt;width:196.4pt;height:108.85pt;z-index:251726848;visibility:visible;mso-wrap-style:square;mso-width-percent:0;mso-height-percent:0;mso-wrap-distance-left:14.2pt;mso-wrap-distance-top:5.65pt;mso-wrap-distance-right:14.2pt;mso-wrap-distance-bottom:5.65pt;mso-position-horizontal:absolute;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" fillcolor="#f2f2f2 [3052]" strokecolor="#7f7f7f [1612]" strokeweight="2pt">
                <v:textbox>
                  <w:txbxContent>
                    <w:p w:rsidR="00F65DF4" w:rsidRPr="006C3415" w:rsidRDefault="00F65DF4" w:rsidP="007E6016">
                      <w:pPr>
                        <w:shd w:val="clear" w:color="auto" w:fill="F2F2F2" w:themeFill="background1" w:themeFillShade="F2"/>
                        <w:jc w:val="center"/>
                        <w:rPr>
                          <w:rFonts w:eastAsia="Arial"/>
                          <w:b/>
                          <w:i/>
                          <w:color w:val="808080" w:themeColor="background1" w:themeShade="80"/>
                          <w:sz w:val="26"/>
                          <w:szCs w:val="26"/>
                        </w:rPr>
                      </w:pPr>
                      <w:r w:rsidRPr="006C3415">
                        <w:rPr>
                          <w:rFonts w:eastAsia="Arial"/>
                          <w:b/>
                          <w:i/>
                          <w:color w:val="808080" w:themeColor="background1" w:themeShade="80"/>
                          <w:sz w:val="26"/>
                          <w:szCs w:val="26"/>
                        </w:rPr>
                        <w:t>$176 million invested in tobacco prevention in Australia between 1971 and 2010 averted approximately $8.6 billion in costs over this period</w:t>
                      </w:r>
                    </w:p>
                  </w:txbxContent>
                </v:textbox>
                <w10:wrap type="square" anchorx="margin" anchory="margin"/>
              </v:roundrect>
            </w:pict>
          </mc:Fallback>
        </mc:AlternateContent>
      </w:r>
    </w:p>
    <w:p w:rsidR="00FF1D18" w:rsidRPr="00AA4EC7" w:rsidRDefault="00FF1D18" w:rsidP="00FF1D18">
      <w:pPr>
        <w:rPr>
          <w:rFonts w:eastAsia="Arial"/>
        </w:rPr>
      </w:pPr>
      <w:r>
        <w:rPr>
          <w:rFonts w:eastAsia="Arial"/>
        </w:rPr>
        <w:t xml:space="preserve">There is good evidence that prevention </w:t>
      </w:r>
      <w:r w:rsidR="006C45FB">
        <w:rPr>
          <w:rFonts w:eastAsia="Arial"/>
        </w:rPr>
        <w:t>offers</w:t>
      </w:r>
      <w:r>
        <w:rPr>
          <w:rFonts w:eastAsia="Arial"/>
        </w:rPr>
        <w:t xml:space="preserve"> cost-effective </w:t>
      </w:r>
      <w:r w:rsidR="00BC15CB">
        <w:rPr>
          <w:rFonts w:eastAsia="Arial"/>
        </w:rPr>
        <w:t>way</w:t>
      </w:r>
      <w:r w:rsidR="006C45FB">
        <w:rPr>
          <w:rFonts w:eastAsia="Arial"/>
        </w:rPr>
        <w:t>s</w:t>
      </w:r>
      <w:r w:rsidR="00BC15CB">
        <w:rPr>
          <w:rFonts w:eastAsia="Arial"/>
        </w:rPr>
        <w:t xml:space="preserve"> to</w:t>
      </w:r>
      <w:r>
        <w:rPr>
          <w:rFonts w:eastAsia="Arial"/>
        </w:rPr>
        <w:t xml:space="preserve"> improv</w:t>
      </w:r>
      <w:r w:rsidR="00BC15CB">
        <w:rPr>
          <w:rFonts w:eastAsia="Arial"/>
        </w:rPr>
        <w:t>e</w:t>
      </w:r>
      <w:r>
        <w:rPr>
          <w:rFonts w:eastAsia="Arial"/>
        </w:rPr>
        <w:t xml:space="preserve"> health outcomes in Australia</w:t>
      </w:r>
      <w:r w:rsidR="00BC15CB">
        <w:rPr>
          <w:rFonts w:eastAsia="Arial"/>
        </w:rPr>
        <w:t>.</w:t>
      </w:r>
      <w:r w:rsidR="002F6386">
        <w:rPr>
          <w:rFonts w:eastAsia="Arial"/>
        </w:rPr>
        <w:fldChar w:fldCharType="begin"/>
      </w:r>
      <w:r w:rsidR="00C21325">
        <w:rPr>
          <w:rFonts w:eastAsia="Arial"/>
        </w:rPr>
        <w:instrText xml:space="preserve"> ADDIN EN.CITE &lt;EndNote&gt;&lt;Cite&gt;&lt;Author&gt;Vos T&lt;/Author&gt;&lt;Year&gt;2010&lt;/Year&gt;&lt;RecNum&gt;898&lt;/RecNum&gt;&lt;DisplayText&gt;&lt;style face="superscript"&gt;15&lt;/style&gt;&lt;/DisplayText&gt;&lt;record&gt;&lt;rec-number&gt;898&lt;/rec-number&gt;&lt;foreign-keys&gt;&lt;key app="EN" db-id="zxa00wf2opvf9oeeset50xz7ezpfwre2v20z"&gt;898&lt;/key&gt;&lt;/foreign-keys&gt;&lt;ref-type name="Report"&gt;27&lt;/ref-type&gt;&lt;contributors&gt;&lt;authors&gt;&lt;author&gt;Vos T, &lt;/author&gt;&lt;author&gt;Carter R,&lt;/author&gt;&lt;author&gt;Barendregt J, &lt;/author&gt;&lt;author&gt;Mihalopoulos C, &lt;/author&gt;&lt;author&gt;Veerman JL,&lt;/author&gt;&lt;author&gt;Magnus A, &lt;/author&gt;&lt;author&gt;Cobiac L, &lt;/author&gt;&lt;author&gt;Bertram MY,&lt;/author&gt;&lt;author&gt;Wallace AL, &lt;/author&gt;&lt;author&gt;ACE–Prevention Team,&lt;/author&gt;&lt;/authors&gt;&lt;/contributors&gt;&lt;titles&gt;&lt;title&gt;Assessing cost-effectiveness in prevention (ACE–Prevention): final report&lt;/title&gt;&lt;/titles&gt;&lt;dates&gt;&lt;year&gt;2010&lt;/year&gt;&lt;/dates&gt;&lt;publisher&gt;University of Queensland, Brisbane&lt;/publisher&gt;&lt;urls&gt;&lt;related-urls&gt;&lt;url&gt;http://public-health.uq.edu.au/filething/get/1836/ACE-Prevention_final_report.pdf&lt;/url&gt;&lt;/related-urls&gt;&lt;/urls&gt;&lt;/record&gt;&lt;/Cite&gt;&lt;/EndNote&gt;</w:instrText>
      </w:r>
      <w:r w:rsidR="002F6386">
        <w:rPr>
          <w:rFonts w:eastAsia="Arial"/>
        </w:rPr>
        <w:fldChar w:fldCharType="separate"/>
      </w:r>
      <w:r w:rsidR="00C21325" w:rsidRPr="00C21325">
        <w:rPr>
          <w:rFonts w:eastAsia="Arial"/>
          <w:noProof/>
          <w:vertAlign w:val="superscript"/>
        </w:rPr>
        <w:t>15</w:t>
      </w:r>
      <w:r w:rsidR="002F6386">
        <w:rPr>
          <w:rFonts w:eastAsia="Arial"/>
        </w:rPr>
        <w:fldChar w:fldCharType="end"/>
      </w:r>
    </w:p>
    <w:p w:rsidR="00FF1D18" w:rsidRDefault="00FF1D18" w:rsidP="00816515">
      <w:pPr>
        <w:rPr>
          <w:rFonts w:eastAsia="Arial"/>
        </w:rPr>
      </w:pPr>
    </w:p>
    <w:p w:rsidR="00266D5D" w:rsidRPr="005C0F5F" w:rsidRDefault="005A776F" w:rsidP="00266D5D">
      <w:pPr>
        <w:widowControl/>
        <w:rPr>
          <w:color w:val="000000" w:themeColor="text1"/>
        </w:rPr>
      </w:pPr>
      <w:r>
        <w:rPr>
          <w:rFonts w:eastAsia="Arial"/>
        </w:rPr>
        <w:t xml:space="preserve">Looking back, </w:t>
      </w:r>
      <w:r w:rsidR="00076F2D">
        <w:rPr>
          <w:rFonts w:eastAsia="Arial"/>
        </w:rPr>
        <w:t>it has been estimated that the</w:t>
      </w:r>
      <w:r>
        <w:rPr>
          <w:rFonts w:eastAsia="Arial"/>
        </w:rPr>
        <w:t xml:space="preserve"> </w:t>
      </w:r>
      <w:r w:rsidRPr="007432EA">
        <w:rPr>
          <w:color w:val="000000" w:themeColor="text1"/>
        </w:rPr>
        <w:t>$176 million</w:t>
      </w:r>
      <w:r>
        <w:rPr>
          <w:color w:val="000000" w:themeColor="text1"/>
        </w:rPr>
        <w:t xml:space="preserve"> </w:t>
      </w:r>
      <w:r w:rsidR="00076F2D">
        <w:rPr>
          <w:color w:val="000000" w:themeColor="text1"/>
        </w:rPr>
        <w:t xml:space="preserve">(in year 2000 dollars) </w:t>
      </w:r>
      <w:r>
        <w:rPr>
          <w:color w:val="000000" w:themeColor="text1"/>
        </w:rPr>
        <w:t xml:space="preserve">invested </w:t>
      </w:r>
      <w:r w:rsidRPr="007432EA">
        <w:rPr>
          <w:color w:val="000000" w:themeColor="text1"/>
        </w:rPr>
        <w:t xml:space="preserve">in tobacco prevention in Australia </w:t>
      </w:r>
      <w:r>
        <w:rPr>
          <w:color w:val="000000" w:themeColor="text1"/>
        </w:rPr>
        <w:t xml:space="preserve">between </w:t>
      </w:r>
      <w:r w:rsidRPr="007432EA">
        <w:rPr>
          <w:color w:val="000000" w:themeColor="text1"/>
        </w:rPr>
        <w:t>1971</w:t>
      </w:r>
      <w:r>
        <w:rPr>
          <w:color w:val="000000" w:themeColor="text1"/>
        </w:rPr>
        <w:t xml:space="preserve"> and 2010</w:t>
      </w:r>
      <w:r w:rsidRPr="007432EA">
        <w:rPr>
          <w:color w:val="000000" w:themeColor="text1"/>
        </w:rPr>
        <w:t xml:space="preserve"> averted </w:t>
      </w:r>
      <w:r>
        <w:rPr>
          <w:color w:val="000000" w:themeColor="text1"/>
        </w:rPr>
        <w:t xml:space="preserve">approximately </w:t>
      </w:r>
      <w:r w:rsidRPr="007432EA">
        <w:rPr>
          <w:color w:val="000000" w:themeColor="text1"/>
        </w:rPr>
        <w:t>$8.6 billion</w:t>
      </w:r>
      <w:r w:rsidR="00076F2D">
        <w:rPr>
          <w:color w:val="000000" w:themeColor="text1"/>
        </w:rPr>
        <w:t xml:space="preserve"> nationally</w:t>
      </w:r>
      <w:r w:rsidRPr="007432EA">
        <w:rPr>
          <w:color w:val="000000" w:themeColor="text1"/>
        </w:rPr>
        <w:t xml:space="preserve"> </w:t>
      </w:r>
      <w:r>
        <w:rPr>
          <w:color w:val="000000" w:themeColor="text1"/>
        </w:rPr>
        <w:t>in costs over this period through increases to life span, improved life quality and lower health care costs</w:t>
      </w:r>
      <w:r w:rsidR="00266D5D" w:rsidRPr="005C0F5F">
        <w:rPr>
          <w:color w:val="000000" w:themeColor="text1"/>
        </w:rPr>
        <w:t>.</w:t>
      </w:r>
      <w:r w:rsidR="008E4A1B">
        <w:rPr>
          <w:color w:val="000000" w:themeColor="text1"/>
        </w:rPr>
        <w:fldChar w:fldCharType="begin"/>
      </w:r>
      <w:r w:rsidR="00547316">
        <w:rPr>
          <w:color w:val="000000" w:themeColor="text1"/>
        </w:rPr>
        <w:instrText xml:space="preserve"> ADDIN EN.CITE &lt;EndNote&gt;&lt;Cite&gt;&lt;Author&gt;Applied Economics&lt;/Author&gt;&lt;Year&gt;2003&lt;/Year&gt;&lt;RecNum&gt;135&lt;/RecNum&gt;&lt;DisplayText&gt;&lt;style face="superscript"&gt;36&lt;/style&gt;&lt;/DisplayText&gt;&lt;record&gt;&lt;rec-number&gt;135&lt;/rec-number&gt;&lt;foreign-keys&gt;&lt;key app="EN" db-id="zxa00wf2opvf9oeeset50xz7ezpfwre2v20z"&gt;135&lt;/key&gt;&lt;/foreign-keys&gt;&lt;ref-type name="Report"&gt;27&lt;/ref-type&gt;&lt;contributors&gt;&lt;authors&gt;&lt;author&gt;Applied Economics,&lt;/author&gt;&lt;/authors&gt;&lt;/contributors&gt;&lt;titles&gt;&lt;title&gt;Returns on investment in public health: an epidemiological and economic analysis prepared for the Department of Health and Ageing&lt;/title&gt;&lt;/titles&gt;&lt;dates&gt;&lt;year&gt;2003&lt;/year&gt;&lt;/dates&gt;&lt;pub-location&gt;Canberra&lt;/pub-location&gt;&lt;publisher&gt;Department of Health and Ageing, Australian Government&lt;/publisher&gt;&lt;urls&gt;&lt;related-urls&gt;&lt;url&gt;http://archive.oxha.org/knowledge/publications/australgvt_returns_on_investment_2003.pdf&lt;/url&gt;&lt;/related-urls&gt;&lt;/urls&gt;&lt;/record&gt;&lt;/Cite&gt;&lt;/EndNote&gt;</w:instrText>
      </w:r>
      <w:r w:rsidR="008E4A1B">
        <w:rPr>
          <w:color w:val="000000" w:themeColor="text1"/>
        </w:rPr>
        <w:fldChar w:fldCharType="separate"/>
      </w:r>
      <w:r w:rsidR="00547316" w:rsidRPr="00547316">
        <w:rPr>
          <w:noProof/>
          <w:color w:val="000000" w:themeColor="text1"/>
          <w:vertAlign w:val="superscript"/>
        </w:rPr>
        <w:t>36</w:t>
      </w:r>
      <w:r w:rsidR="008E4A1B">
        <w:rPr>
          <w:color w:val="000000" w:themeColor="text1"/>
        </w:rPr>
        <w:fldChar w:fldCharType="end"/>
      </w:r>
    </w:p>
    <w:p w:rsidR="00C7580F" w:rsidRDefault="00816515" w:rsidP="008A2878">
      <w:pPr>
        <w:rPr>
          <w:rFonts w:eastAsia="Arial"/>
        </w:rPr>
      </w:pPr>
      <w:r>
        <w:rPr>
          <w:rFonts w:eastAsia="Arial"/>
        </w:rPr>
        <w:lastRenderedPageBreak/>
        <w:t>Similarly, a 2</w:t>
      </w:r>
      <w:r w:rsidRPr="0057254B">
        <w:rPr>
          <w:rFonts w:eastAsia="Arial"/>
        </w:rPr>
        <w:t>010</w:t>
      </w:r>
      <w:r>
        <w:rPr>
          <w:rFonts w:eastAsia="Arial"/>
        </w:rPr>
        <w:t xml:space="preserve"> report on </w:t>
      </w:r>
      <w:r w:rsidRPr="0057254B">
        <w:rPr>
          <w:rFonts w:eastAsia="Arial"/>
        </w:rPr>
        <w:t xml:space="preserve">the cost-effectiveness of preventive interventions in Australia </w:t>
      </w:r>
      <w:r>
        <w:rPr>
          <w:rFonts w:eastAsia="Arial"/>
        </w:rPr>
        <w:t xml:space="preserve">projected that </w:t>
      </w:r>
      <w:r w:rsidRPr="0057254B">
        <w:rPr>
          <w:rFonts w:eastAsia="Arial"/>
        </w:rPr>
        <w:t>by implementing 20 cost-effective interventions over the lifetime of the Australian population born in 2003, $4.6 billion</w:t>
      </w:r>
      <w:r w:rsidR="007A3CF3">
        <w:rPr>
          <w:rFonts w:eastAsia="Arial"/>
        </w:rPr>
        <w:t xml:space="preserve"> would have been spent</w:t>
      </w:r>
      <w:r w:rsidRPr="0057254B">
        <w:rPr>
          <w:rFonts w:eastAsia="Arial"/>
        </w:rPr>
        <w:t xml:space="preserve"> on interventions</w:t>
      </w:r>
      <w:r w:rsidR="005463B2">
        <w:rPr>
          <w:rFonts w:eastAsia="Arial"/>
        </w:rPr>
        <w:t>, averting</w:t>
      </w:r>
      <w:r w:rsidRPr="0057254B">
        <w:rPr>
          <w:rFonts w:eastAsia="Arial"/>
        </w:rPr>
        <w:t xml:space="preserve"> $11 billion in healthcare costs, and </w:t>
      </w:r>
      <w:r w:rsidR="005463B2">
        <w:rPr>
          <w:rFonts w:eastAsia="Arial"/>
        </w:rPr>
        <w:t>saving</w:t>
      </w:r>
      <w:r w:rsidRPr="0057254B">
        <w:rPr>
          <w:rFonts w:eastAsia="Arial"/>
        </w:rPr>
        <w:t xml:space="preserve"> the equivalent of </w:t>
      </w:r>
      <w:r w:rsidR="00DB28E7">
        <w:rPr>
          <w:rFonts w:eastAsia="Arial"/>
        </w:rPr>
        <w:t>one million</w:t>
      </w:r>
      <w:r w:rsidRPr="0057254B">
        <w:rPr>
          <w:rFonts w:eastAsia="Arial"/>
        </w:rPr>
        <w:t xml:space="preserve"> years of healthy life.</w:t>
      </w:r>
      <w:r w:rsidR="0099210E">
        <w:rPr>
          <w:rFonts w:eastAsia="Arial"/>
        </w:rPr>
        <w:t xml:space="preserve"> </w:t>
      </w:r>
      <w:r w:rsidR="00B40510">
        <w:rPr>
          <w:rFonts w:eastAsia="Arial"/>
        </w:rPr>
        <w:t xml:space="preserve">Most of these gains could be achieved </w:t>
      </w:r>
      <w:r w:rsidR="00B40510" w:rsidRPr="004F52F3">
        <w:t>through taxation and regulation interventions on salt, alcohol</w:t>
      </w:r>
      <w:r w:rsidR="00AD33B3">
        <w:t xml:space="preserve"> and</w:t>
      </w:r>
      <w:r w:rsidR="00B40510" w:rsidRPr="004F52F3">
        <w:t xml:space="preserve"> tobacco, and a preventive medication for cardiovascular disease</w:t>
      </w:r>
      <w:r w:rsidR="00B40510">
        <w:t>.</w:t>
      </w:r>
      <w:r w:rsidR="008E4A1B">
        <w:rPr>
          <w:rFonts w:eastAsia="Arial"/>
        </w:rPr>
        <w:fldChar w:fldCharType="begin"/>
      </w:r>
      <w:r w:rsidR="00C21325">
        <w:rPr>
          <w:rFonts w:eastAsia="Arial"/>
        </w:rPr>
        <w:instrText xml:space="preserve"> ADDIN EN.CITE &lt;EndNote&gt;&lt;Cite&gt;&lt;Author&gt;Vos T&lt;/Author&gt;&lt;Year&gt;2010&lt;/Year&gt;&lt;RecNum&gt;898&lt;/RecNum&gt;&lt;DisplayText&gt;&lt;style face="superscript"&gt;15&lt;/style&gt;&lt;/DisplayText&gt;&lt;record&gt;&lt;rec-number&gt;898&lt;/rec-number&gt;&lt;foreign-keys&gt;&lt;key app="EN" db-id="zxa00wf2opvf9oeeset50xz7ezpfwre2v20z"&gt;898&lt;/key&gt;&lt;/foreign-keys&gt;&lt;ref-type name="Report"&gt;27&lt;/ref-type&gt;&lt;contributors&gt;&lt;authors&gt;&lt;author&gt;Vos T, &lt;/author&gt;&lt;author&gt;Carter R,&lt;/author&gt;&lt;author&gt;Barendregt J, &lt;/author&gt;&lt;author&gt;Mihalopoulos C, &lt;/author&gt;&lt;author&gt;Veerman JL,&lt;/author&gt;&lt;author&gt;Magnus A, &lt;/author&gt;&lt;author&gt;Cobiac L, &lt;/author&gt;&lt;author&gt;Bertram MY,&lt;/author&gt;&lt;author&gt;Wallace AL, &lt;/author&gt;&lt;author&gt;ACE–Prevention Team,&lt;/author&gt;&lt;/authors&gt;&lt;/contributors&gt;&lt;titles&gt;&lt;title&gt;Assessing cost-effectiveness in prevention (ACE–Prevention): final report&lt;/title&gt;&lt;/titles&gt;&lt;dates&gt;&lt;year&gt;2010&lt;/year&gt;&lt;/dates&gt;&lt;publisher&gt;University of Queensland, Brisbane&lt;/publisher&gt;&lt;urls&gt;&lt;related-urls&gt;&lt;url&gt;http://public-health.uq.edu.au/filething/get/1836/ACE-Prevention_final_report.pdf&lt;/url&gt;&lt;/related-urls&gt;&lt;/urls&gt;&lt;/record&gt;&lt;/Cite&gt;&lt;/EndNote&gt;</w:instrText>
      </w:r>
      <w:r w:rsidR="008E4A1B">
        <w:rPr>
          <w:rFonts w:eastAsia="Arial"/>
        </w:rPr>
        <w:fldChar w:fldCharType="separate"/>
      </w:r>
      <w:r w:rsidR="00C21325" w:rsidRPr="00C21325">
        <w:rPr>
          <w:rFonts w:eastAsia="Arial"/>
          <w:noProof/>
          <w:vertAlign w:val="superscript"/>
        </w:rPr>
        <w:t>15</w:t>
      </w:r>
      <w:r w:rsidR="008E4A1B">
        <w:rPr>
          <w:rFonts w:eastAsia="Arial"/>
        </w:rPr>
        <w:fldChar w:fldCharType="end"/>
      </w:r>
    </w:p>
    <w:p w:rsidR="00E84B7C" w:rsidRDefault="00E84B7C" w:rsidP="008A2878">
      <w:pPr>
        <w:rPr>
          <w:rFonts w:eastAsia="Arial"/>
        </w:rPr>
      </w:pPr>
    </w:p>
    <w:p w:rsidR="004436BA" w:rsidRDefault="00E84B7C" w:rsidP="008A2878">
      <w:pPr>
        <w:rPr>
          <w:rFonts w:eastAsia="Arial"/>
        </w:rPr>
      </w:pPr>
      <w:r>
        <w:rPr>
          <w:rFonts w:eastAsia="Arial"/>
        </w:rPr>
        <w:t xml:space="preserve">A </w:t>
      </w:r>
      <w:r w:rsidR="004366AA">
        <w:rPr>
          <w:rFonts w:eastAsia="Arial"/>
        </w:rPr>
        <w:t>2016</w:t>
      </w:r>
      <w:r>
        <w:rPr>
          <w:rFonts w:eastAsia="Arial"/>
        </w:rPr>
        <w:t xml:space="preserve"> analysis of the </w:t>
      </w:r>
      <w:r w:rsidR="009901D4">
        <w:rPr>
          <w:rFonts w:eastAsia="Arial"/>
        </w:rPr>
        <w:t xml:space="preserve">possible </w:t>
      </w:r>
      <w:r>
        <w:rPr>
          <w:rFonts w:eastAsia="Arial"/>
        </w:rPr>
        <w:t>reduction in healthcare expend</w:t>
      </w:r>
      <w:r w:rsidR="006828ED">
        <w:rPr>
          <w:rFonts w:eastAsia="Arial"/>
        </w:rPr>
        <w:t>it</w:t>
      </w:r>
      <w:r>
        <w:rPr>
          <w:rFonts w:eastAsia="Arial"/>
        </w:rPr>
        <w:t xml:space="preserve">ure which </w:t>
      </w:r>
      <w:r w:rsidR="00380471">
        <w:rPr>
          <w:rFonts w:eastAsia="Arial"/>
        </w:rPr>
        <w:t xml:space="preserve">could </w:t>
      </w:r>
      <w:r>
        <w:rPr>
          <w:rFonts w:eastAsia="Arial"/>
        </w:rPr>
        <w:t>occur if vegetable consumption in Australia increased by 10%</w:t>
      </w:r>
      <w:r w:rsidR="004366AA">
        <w:rPr>
          <w:rFonts w:eastAsia="Arial"/>
        </w:rPr>
        <w:t xml:space="preserve"> </w:t>
      </w:r>
      <w:r w:rsidR="0033061B">
        <w:rPr>
          <w:rFonts w:eastAsia="Arial"/>
        </w:rPr>
        <w:t>estimated</w:t>
      </w:r>
      <w:r>
        <w:rPr>
          <w:rFonts w:eastAsia="Arial"/>
        </w:rPr>
        <w:t xml:space="preserve"> that </w:t>
      </w:r>
      <w:r w:rsidR="00002B79">
        <w:rPr>
          <w:rFonts w:eastAsia="Arial"/>
        </w:rPr>
        <w:t>G</w:t>
      </w:r>
      <w:r w:rsidR="0033061B">
        <w:rPr>
          <w:rFonts w:eastAsia="Arial"/>
        </w:rPr>
        <w:t>overnment healt</w:t>
      </w:r>
      <w:r w:rsidR="006828ED">
        <w:rPr>
          <w:rFonts w:eastAsia="Arial"/>
        </w:rPr>
        <w:t xml:space="preserve">h expenditure </w:t>
      </w:r>
      <w:r w:rsidR="00380471">
        <w:rPr>
          <w:rFonts w:eastAsia="Arial"/>
        </w:rPr>
        <w:t>c</w:t>
      </w:r>
      <w:r w:rsidR="006828ED">
        <w:rPr>
          <w:rFonts w:eastAsia="Arial"/>
        </w:rPr>
        <w:t xml:space="preserve">ould </w:t>
      </w:r>
      <w:r w:rsidR="00380471">
        <w:rPr>
          <w:rFonts w:eastAsia="Arial"/>
        </w:rPr>
        <w:t>declin</w:t>
      </w:r>
      <w:r w:rsidR="009202D8">
        <w:rPr>
          <w:rFonts w:eastAsia="Arial"/>
        </w:rPr>
        <w:t>e by</w:t>
      </w:r>
      <w:r w:rsidR="006828ED">
        <w:rPr>
          <w:rFonts w:eastAsia="Arial"/>
        </w:rPr>
        <w:t xml:space="preserve"> close to $100 million</w:t>
      </w:r>
      <w:r w:rsidR="00E332F8">
        <w:rPr>
          <w:rFonts w:eastAsia="Arial"/>
        </w:rPr>
        <w:t xml:space="preserve"> per year</w:t>
      </w:r>
      <w:r w:rsidR="006828ED">
        <w:rPr>
          <w:rFonts w:eastAsia="Arial"/>
        </w:rPr>
        <w:t xml:space="preserve"> (in 2015–16 dollars)</w:t>
      </w:r>
      <w:r w:rsidR="009202D8">
        <w:rPr>
          <w:rFonts w:eastAsia="Arial"/>
        </w:rPr>
        <w:t xml:space="preserve"> as a result</w:t>
      </w:r>
      <w:r w:rsidR="006828ED">
        <w:rPr>
          <w:rFonts w:eastAsia="Arial"/>
        </w:rPr>
        <w:t>.</w:t>
      </w:r>
      <w:r w:rsidR="0041746B">
        <w:rPr>
          <w:rFonts w:eastAsia="Arial"/>
        </w:rPr>
        <w:fldChar w:fldCharType="begin"/>
      </w:r>
      <w:r w:rsidR="00547316">
        <w:rPr>
          <w:rFonts w:eastAsia="Arial"/>
        </w:rPr>
        <w:instrText xml:space="preserve"> ADDIN EN.CITE &lt;EndNote&gt;&lt;Cite&gt;&lt;Author&gt;Deloitte Access Economics&lt;/Author&gt;&lt;Year&gt;2016&lt;/Year&gt;&lt;RecNum&gt;1088&lt;/RecNum&gt;&lt;DisplayText&gt;&lt;style face="superscript"&gt;37&lt;/style&gt;&lt;/DisplayText&gt;&lt;record&gt;&lt;rec-number&gt;1088&lt;/rec-number&gt;&lt;foreign-keys&gt;&lt;key app="EN" db-id="zxa00wf2opvf9oeeset50xz7ezpfwre2v20z"&gt;1088&lt;/key&gt;&lt;/foreign-keys&gt;&lt;ref-type name="Report"&gt;27&lt;/ref-type&gt;&lt;contributors&gt;&lt;authors&gt;&lt;author&gt;Deloitte Access Economics,&lt;/author&gt;&lt;/authors&gt;&lt;/contributors&gt;&lt;titles&gt;&lt;title&gt;The impact of increasing vegetable consumption on health expenditure.  Prepared for Horticulture Innovation Australia Limited&lt;/title&gt;&lt;/titles&gt;&lt;dates&gt;&lt;year&gt;2016&lt;/year&gt;&lt;/dates&gt;&lt;pub-location&gt;Sydney&lt;/pub-location&gt;&lt;publisher&gt;Horticulture Innovation Australia Limited&lt;/publisher&gt;&lt;urls&gt;&lt;/urls&gt;&lt;/record&gt;&lt;/Cite&gt;&lt;/EndNote&gt;</w:instrText>
      </w:r>
      <w:r w:rsidR="0041746B">
        <w:rPr>
          <w:rFonts w:eastAsia="Arial"/>
        </w:rPr>
        <w:fldChar w:fldCharType="separate"/>
      </w:r>
      <w:r w:rsidR="00547316" w:rsidRPr="00547316">
        <w:rPr>
          <w:rFonts w:eastAsia="Arial"/>
          <w:noProof/>
          <w:vertAlign w:val="superscript"/>
        </w:rPr>
        <w:t>37</w:t>
      </w:r>
      <w:r w:rsidR="0041746B">
        <w:rPr>
          <w:rFonts w:eastAsia="Arial"/>
        </w:rPr>
        <w:fldChar w:fldCharType="end"/>
      </w:r>
    </w:p>
    <w:p w:rsidR="00FF361D" w:rsidRDefault="00FF361D" w:rsidP="008A2878">
      <w:pPr>
        <w:rPr>
          <w:rFonts w:eastAsia="Arial"/>
        </w:rPr>
      </w:pPr>
    </w:p>
    <w:p w:rsidR="00685EC4" w:rsidRDefault="00685EC4">
      <w:pPr>
        <w:widowControl/>
        <w:spacing w:after="200" w:line="276" w:lineRule="auto"/>
        <w:rPr>
          <w:rFonts w:eastAsia="Arial"/>
        </w:rPr>
      </w:pPr>
      <w:r>
        <w:rPr>
          <w:rFonts w:eastAsia="Arial"/>
        </w:rPr>
        <w:br w:type="page"/>
      </w:r>
    </w:p>
    <w:p w:rsidR="00C7580F" w:rsidRPr="009E0A7C"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b/>
          <w:color w:val="808080" w:themeColor="background1" w:themeShade="80"/>
          <w:sz w:val="26"/>
          <w:szCs w:val="26"/>
        </w:rPr>
      </w:pPr>
      <w:r w:rsidRPr="009E0A7C">
        <w:rPr>
          <w:b/>
          <w:color w:val="808080" w:themeColor="background1" w:themeShade="80"/>
          <w:sz w:val="26"/>
          <w:szCs w:val="26"/>
        </w:rPr>
        <w:lastRenderedPageBreak/>
        <w:t>Box</w:t>
      </w:r>
      <w:r w:rsidR="0099210E" w:rsidRPr="009E0A7C">
        <w:rPr>
          <w:b/>
          <w:color w:val="808080" w:themeColor="background1" w:themeShade="80"/>
          <w:sz w:val="26"/>
          <w:szCs w:val="26"/>
        </w:rPr>
        <w:t xml:space="preserve"> </w:t>
      </w:r>
      <w:r w:rsidR="00A72E88" w:rsidRPr="009E0A7C">
        <w:rPr>
          <w:b/>
          <w:color w:val="808080" w:themeColor="background1" w:themeShade="80"/>
          <w:sz w:val="26"/>
          <w:szCs w:val="26"/>
        </w:rPr>
        <w:t>4</w:t>
      </w:r>
      <w:r w:rsidRPr="009E0A7C">
        <w:rPr>
          <w:b/>
          <w:color w:val="808080" w:themeColor="background1" w:themeShade="80"/>
          <w:sz w:val="26"/>
          <w:szCs w:val="26"/>
        </w:rPr>
        <w:t>:   Cancer—a case study in prevention</w:t>
      </w:r>
    </w:p>
    <w:p w:rsidR="00C7580F" w:rsidRPr="006C3415"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C7580F" w:rsidRPr="006C3415"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6C3415">
        <w:rPr>
          <w:color w:val="808080" w:themeColor="background1" w:themeShade="80"/>
        </w:rPr>
        <w:t xml:space="preserve">It is not so long ago that a diagnosis of cancer was likened to receiving a death sentence. But as time has gone by and now that some of the more common cancers are better understood, it is known that many cases of cancer can </w:t>
      </w:r>
      <w:r w:rsidR="006A411C" w:rsidRPr="006C3415">
        <w:rPr>
          <w:color w:val="808080" w:themeColor="background1" w:themeShade="80"/>
        </w:rPr>
        <w:t xml:space="preserve">potentially </w:t>
      </w:r>
      <w:r w:rsidRPr="006C3415">
        <w:rPr>
          <w:color w:val="808080" w:themeColor="background1" w:themeShade="80"/>
        </w:rPr>
        <w:t xml:space="preserve">be </w:t>
      </w:r>
      <w:r w:rsidR="006A411C" w:rsidRPr="006C3415">
        <w:rPr>
          <w:color w:val="808080" w:themeColor="background1" w:themeShade="80"/>
        </w:rPr>
        <w:t>avoided</w:t>
      </w:r>
      <w:r w:rsidRPr="006C3415">
        <w:rPr>
          <w:color w:val="808080" w:themeColor="background1" w:themeShade="80"/>
        </w:rPr>
        <w:t>. Some other types of cancer now have much better survival rates due to earlier detection and improved treatments, meaning that some people may continue to live for many years with cancer.</w:t>
      </w:r>
    </w:p>
    <w:p w:rsidR="00C7580F" w:rsidRPr="006C3415"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C7580F" w:rsidRPr="006C3415"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6C3415">
        <w:rPr>
          <w:color w:val="808080" w:themeColor="background1" w:themeShade="80"/>
        </w:rPr>
        <w:t>Almost 12,000</w:t>
      </w:r>
      <w:r w:rsidR="008E4A1B" w:rsidRPr="006C3415">
        <w:rPr>
          <w:color w:val="808080" w:themeColor="background1" w:themeShade="80"/>
        </w:rPr>
        <w:fldChar w:fldCharType="begin"/>
      </w:r>
      <w:r w:rsidR="00547316">
        <w:rPr>
          <w:color w:val="808080" w:themeColor="background1" w:themeShade="80"/>
        </w:rPr>
        <w:instrText xml:space="preserve"> ADDIN EN.CITE &lt;EndNote&gt;&lt;Cite&gt;&lt;Author&gt;Threlfall TJ&lt;/Author&gt;&lt;Year&gt;2015&lt;/Year&gt;&lt;RecNum&gt;971&lt;/RecNum&gt;&lt;DisplayText&gt;&lt;style face="superscript"&gt;38&lt;/style&gt;&lt;/DisplayText&gt;&lt;record&gt;&lt;rec-number&gt;971&lt;/rec-number&gt;&lt;foreign-keys&gt;&lt;key app="EN" db-id="zxa00wf2opvf9oeeset50xz7ezpfwre2v20z"&gt;971&lt;/key&gt;&lt;/foreign-keys&gt;&lt;ref-type name="Report"&gt;27&lt;/ref-type&gt;&lt;contributors&gt;&lt;authors&gt;&lt;author&gt;Threlfall TJ,&lt;/author&gt;&lt;author&gt;Thompson JR,&lt;/author&gt;&lt;/authors&gt;&lt;/contributors&gt;&lt;titles&gt;&lt;title&gt;Cancer incidence and mortality in Western Australia, 2013. Statistical Series Number 101&lt;/title&gt;&lt;/titles&gt;&lt;dates&gt;&lt;year&gt;2015&lt;/year&gt;&lt;/dates&gt;&lt;pub-location&gt;Perth&lt;/pub-location&gt;&lt;publisher&gt;Department of Health, Western Australia&lt;/publisher&gt;&lt;urls&gt;&lt;related-urls&gt;&lt;url&gt;http://www.health.wa.gov.au/docreg/Reports/Diseases/Cancer/WACR_Cancer_incidence_mortality_main_2013.pdf&lt;/url&gt;&lt;/related-urls&gt;&lt;/urls&gt;&lt;/record&gt;&lt;/Cite&gt;&lt;/EndNote&gt;</w:instrText>
      </w:r>
      <w:r w:rsidR="008E4A1B" w:rsidRPr="006C3415">
        <w:rPr>
          <w:color w:val="808080" w:themeColor="background1" w:themeShade="80"/>
        </w:rPr>
        <w:fldChar w:fldCharType="separate"/>
      </w:r>
      <w:r w:rsidR="00547316" w:rsidRPr="00547316">
        <w:rPr>
          <w:noProof/>
          <w:color w:val="808080" w:themeColor="background1" w:themeShade="80"/>
          <w:vertAlign w:val="superscript"/>
        </w:rPr>
        <w:t>38</w:t>
      </w:r>
      <w:r w:rsidR="008E4A1B" w:rsidRPr="006C3415">
        <w:rPr>
          <w:color w:val="808080" w:themeColor="background1" w:themeShade="80"/>
        </w:rPr>
        <w:fldChar w:fldCharType="end"/>
      </w:r>
      <w:r w:rsidRPr="006C3415">
        <w:rPr>
          <w:color w:val="808080" w:themeColor="background1" w:themeShade="80"/>
        </w:rPr>
        <w:t xml:space="preserve"> Western Australians are diagnosed with cancer every year, and it is estimated that up to 40%</w:t>
      </w:r>
      <w:r w:rsidR="008E4A1B" w:rsidRPr="006C3415">
        <w:rPr>
          <w:color w:val="808080" w:themeColor="background1" w:themeShade="80"/>
        </w:rPr>
        <w:fldChar w:fldCharType="begin"/>
      </w:r>
      <w:r w:rsidR="00547316">
        <w:rPr>
          <w:color w:val="808080" w:themeColor="background1" w:themeShade="80"/>
        </w:rPr>
        <w:instrText xml:space="preserve"> ADDIN EN.CITE &lt;EndNote&gt;&lt;Cite&gt;&lt;Author&gt;Parkin&lt;/Author&gt;&lt;Year&gt;2011&lt;/Year&gt;&lt;RecNum&gt;973&lt;/RecNum&gt;&lt;DisplayText&gt;&lt;style face="superscript"&gt;39&lt;/style&gt;&lt;/DisplayText&gt;&lt;record&gt;&lt;rec-number&gt;973&lt;/rec-number&gt;&lt;foreign-keys&gt;&lt;key app="EN" db-id="zxa00wf2opvf9oeeset50xz7ezpfwre2v20z"&gt;973&lt;/key&gt;&lt;/foreign-keys&gt;&lt;ref-type name="Journal Article"&gt;17&lt;/ref-type&gt;&lt;contributors&gt;&lt;authors&gt;&lt;author&gt;Parkin, D. M.&lt;/author&gt;&lt;author&gt;Boyd, L.&lt;/author&gt;&lt;author&gt;Walker, L. C.&lt;/author&gt;&lt;/authors&gt;&lt;/contributors&gt;&lt;titles&gt;&lt;title&gt;16. The fraction of cancer attributable to lifestyle and environmental factors in the UK in 2010: summary and conclusions&lt;/title&gt;&lt;secondary-title&gt;Brit J Cancer&lt;/secondary-title&gt;&lt;/titles&gt;&lt;periodical&gt;&lt;full-title&gt;Brit J Cancer&lt;/full-title&gt;&lt;/periodical&gt;&lt;pages&gt;S77-S81&lt;/pages&gt;&lt;volume&gt;105&lt;/volume&gt;&lt;number&gt;Suppl 2&lt;/number&gt;&lt;dates&gt;&lt;year&gt;2011&lt;/year&gt;&lt;/dates&gt;&lt;urls&gt;&lt;related-urls&gt;&lt;url&gt;http://www.ncbi.nlm.nih.gov/pmc/articles/PMC3252065/&lt;/url&gt;&lt;/related-urls&gt;&lt;/urls&gt;&lt;/record&gt;&lt;/Cite&gt;&lt;/EndNote&gt;</w:instrText>
      </w:r>
      <w:r w:rsidR="008E4A1B" w:rsidRPr="006C3415">
        <w:rPr>
          <w:color w:val="808080" w:themeColor="background1" w:themeShade="80"/>
        </w:rPr>
        <w:fldChar w:fldCharType="separate"/>
      </w:r>
      <w:r w:rsidR="00547316" w:rsidRPr="00547316">
        <w:rPr>
          <w:noProof/>
          <w:color w:val="808080" w:themeColor="background1" w:themeShade="80"/>
          <w:vertAlign w:val="superscript"/>
        </w:rPr>
        <w:t>39</w:t>
      </w:r>
      <w:r w:rsidR="008E4A1B" w:rsidRPr="006C3415">
        <w:rPr>
          <w:color w:val="808080" w:themeColor="background1" w:themeShade="80"/>
        </w:rPr>
        <w:fldChar w:fldCharType="end"/>
      </w:r>
      <w:r w:rsidRPr="006C3415">
        <w:rPr>
          <w:color w:val="808080" w:themeColor="background1" w:themeShade="80"/>
        </w:rPr>
        <w:t xml:space="preserve"> (or 4,800) of these could be prevented by modifying certain risk factors. Ninety per cent of </w:t>
      </w:r>
      <w:r w:rsidR="006A411C" w:rsidRPr="006C3415">
        <w:rPr>
          <w:color w:val="808080" w:themeColor="background1" w:themeShade="80"/>
        </w:rPr>
        <w:t xml:space="preserve">potentially </w:t>
      </w:r>
      <w:r w:rsidRPr="006C3415">
        <w:rPr>
          <w:color w:val="808080" w:themeColor="background1" w:themeShade="80"/>
        </w:rPr>
        <w:t>avoidable cancers can be attributed to just six key risk factors: smoking, UV radiation, poor diet, being overweight, physical inactivity and alcohol use.</w:t>
      </w:r>
      <w:r w:rsidR="0099210E" w:rsidRPr="006C3415">
        <w:rPr>
          <w:color w:val="808080" w:themeColor="background1" w:themeShade="80"/>
        </w:rPr>
        <w:t xml:space="preserve"> </w:t>
      </w:r>
      <w:r w:rsidRPr="006C3415">
        <w:rPr>
          <w:color w:val="808080" w:themeColor="background1" w:themeShade="80"/>
        </w:rPr>
        <w:t>Although trends in smoking continue downwards in WA and nationally, cancer deaths lag about 20–30 years behind levels of consumption,</w:t>
      </w:r>
      <w:r w:rsidR="008E4A1B" w:rsidRPr="006C3415">
        <w:rPr>
          <w:color w:val="808080" w:themeColor="background1" w:themeShade="80"/>
        </w:rPr>
        <w:fldChar w:fldCharType="begin"/>
      </w:r>
      <w:r w:rsidR="00547316">
        <w:rPr>
          <w:color w:val="808080" w:themeColor="background1" w:themeShade="80"/>
        </w:rPr>
        <w:instrText xml:space="preserve"> ADDIN EN.CITE &lt;EndNote&gt;&lt;Cite&gt;&lt;Author&gt;US Department of Health and Human Services&lt;/Author&gt;&lt;Year&gt;1982&lt;/Year&gt;&lt;RecNum&gt;883&lt;/RecNum&gt;&lt;DisplayText&gt;&lt;style face="superscript"&gt;40&lt;/style&gt;&lt;/DisplayText&gt;&lt;record&gt;&lt;rec-number&gt;883&lt;/rec-number&gt;&lt;foreign-keys&gt;&lt;key app="EN" db-id="zxa00wf2opvf9oeeset50xz7ezpfwre2v20z"&gt;883&lt;/key&gt;&lt;/foreign-keys&gt;&lt;ref-type name="Report"&gt;27&lt;/ref-type&gt;&lt;contributors&gt;&lt;authors&gt;&lt;author&gt;US Department of Health and Human Services,&lt;/author&gt;&lt;/authors&gt;&lt;/contributors&gt;&lt;titles&gt;&lt;title&gt;The health consequences of smoking: cancer.  A report of the Surgeon General.&lt;/title&gt;&lt;/titles&gt;&lt;dates&gt;&lt;year&gt;1982&lt;/year&gt;&lt;/dates&gt;&lt;pub-location&gt;Rockville, MD&lt;/pub-location&gt;&lt;publisher&gt;US Department of Health and Human Services&lt;/publisher&gt;&lt;urls&gt;&lt;related-urls&gt;&lt;url&gt;https://profiles.nlm.nih.gov/NN/B/C/D/W/&lt;/url&gt;&lt;/related-urls&gt;&lt;/urls&gt;&lt;/record&gt;&lt;/Cite&gt;&lt;/EndNote&gt;</w:instrText>
      </w:r>
      <w:r w:rsidR="008E4A1B" w:rsidRPr="006C3415">
        <w:rPr>
          <w:color w:val="808080" w:themeColor="background1" w:themeShade="80"/>
        </w:rPr>
        <w:fldChar w:fldCharType="separate"/>
      </w:r>
      <w:r w:rsidR="00547316" w:rsidRPr="00547316">
        <w:rPr>
          <w:noProof/>
          <w:color w:val="808080" w:themeColor="background1" w:themeShade="80"/>
          <w:vertAlign w:val="superscript"/>
        </w:rPr>
        <w:t>40</w:t>
      </w:r>
      <w:r w:rsidR="008E4A1B" w:rsidRPr="006C3415">
        <w:rPr>
          <w:color w:val="808080" w:themeColor="background1" w:themeShade="80"/>
        </w:rPr>
        <w:fldChar w:fldCharType="end"/>
      </w:r>
      <w:r w:rsidRPr="006C3415">
        <w:rPr>
          <w:color w:val="808080" w:themeColor="background1" w:themeShade="80"/>
        </w:rPr>
        <w:t xml:space="preserve"> meaning that tobacco is still the leading cause of cancer in Australia, and the cause of one in eight cancers.</w:t>
      </w:r>
      <w:r w:rsidR="008E4A1B" w:rsidRPr="006C3415">
        <w:rPr>
          <w:color w:val="808080" w:themeColor="background1" w:themeShade="80"/>
        </w:rPr>
        <w:fldChar w:fldCharType="begin"/>
      </w:r>
      <w:r w:rsidR="00547316">
        <w:rPr>
          <w:color w:val="808080" w:themeColor="background1" w:themeShade="80"/>
        </w:rPr>
        <w:instrText xml:space="preserve"> ADDIN EN.CITE &lt;EndNote&gt;&lt;Cite&gt;&lt;Author&gt;Whiteman&lt;/Author&gt;&lt;Year&gt;2015&lt;/Year&gt;&lt;RecNum&gt;972&lt;/RecNum&gt;&lt;DisplayText&gt;&lt;style face="superscript"&gt;41&lt;/style&gt;&lt;/DisplayText&gt;&lt;record&gt;&lt;rec-number&gt;972&lt;/rec-number&gt;&lt;foreign-keys&gt;&lt;key app="EN" db-id="zxa00wf2opvf9oeeset50xz7ezpfwre2v20z"&gt;972&lt;/key&gt;&lt;/foreign-keys&gt;&lt;ref-type name="Journal Article"&gt;17&lt;/ref-type&gt;&lt;contributors&gt;&lt;authors&gt;&lt;author&gt;Whiteman, DC&lt;/author&gt;&lt;author&gt;Webb, PM&lt;/author&gt;&lt;author&gt;Green, AC&lt;/author&gt;&lt;author&gt;Neale, RE&lt;/author&gt;&lt;author&gt;Fritschi, L&lt;/author&gt;&lt;author&gt;Bain, CH&lt;/author&gt;&lt;author&gt;Parkin, DM&lt;/author&gt;&lt;author&gt;Wilson, LF&lt;/author&gt;&lt;author&gt;Olsen, CM&lt;/author&gt;&lt;author&gt;Nagle, CM&lt;/author&gt;&lt;author&gt;Pandeya, N&lt;/author&gt;&lt;author&gt;Jordan, SJ&lt;/author&gt;&lt;author&gt;Antonsson, A&lt;/author&gt;&lt;author&gt;Kendall, BJ&lt;/author&gt;&lt;author&gt;Hughes, MCB&lt;/author&gt;&lt;author&gt;Ibiebele, TI&lt;/author&gt;&lt;author&gt;Miura, K&lt;/author&gt;&lt;author&gt;Peters, S&lt;/author&gt;&lt;author&gt;Carey, RN&lt;/author&gt;&lt;/authors&gt;&lt;/contributors&gt;&lt;titles&gt;&lt;title&gt;Cancers in Australia in 2010 attributable to modifiable factors: summary and conclusions&lt;/title&gt;&lt;secondary-title&gt;Aust NZ J Publ Health&lt;/secondary-title&gt;&lt;/titles&gt;&lt;periodical&gt;&lt;full-title&gt;Aust NZ J Publ Health&lt;/full-title&gt;&lt;/periodical&gt;&lt;pages&gt;477-84&lt;/pages&gt;&lt;volume&gt;39&lt;/volume&gt;&lt;dates&gt;&lt;year&gt;2015&lt;/year&gt;&lt;/dates&gt;&lt;urls&gt;&lt;related-urls&gt;&lt;url&gt;http://www.ncbi.nlm.nih.gov/pmc/articles/PMC4606779/&lt;/url&gt;&lt;/related-urls&gt;&lt;/urls&gt;&lt;/record&gt;&lt;/Cite&gt;&lt;/EndNote&gt;</w:instrText>
      </w:r>
      <w:r w:rsidR="008E4A1B" w:rsidRPr="006C3415">
        <w:rPr>
          <w:color w:val="808080" w:themeColor="background1" w:themeShade="80"/>
        </w:rPr>
        <w:fldChar w:fldCharType="separate"/>
      </w:r>
      <w:r w:rsidR="00547316" w:rsidRPr="00547316">
        <w:rPr>
          <w:noProof/>
          <w:color w:val="808080" w:themeColor="background1" w:themeShade="80"/>
          <w:vertAlign w:val="superscript"/>
        </w:rPr>
        <w:t>41</w:t>
      </w:r>
      <w:r w:rsidR="008E4A1B" w:rsidRPr="006C3415">
        <w:rPr>
          <w:color w:val="808080" w:themeColor="background1" w:themeShade="80"/>
        </w:rPr>
        <w:fldChar w:fldCharType="end"/>
      </w:r>
    </w:p>
    <w:p w:rsidR="00C7580F" w:rsidRPr="006C3415"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C7580F" w:rsidRPr="006C3415"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6C3415">
        <w:rPr>
          <w:color w:val="808080" w:themeColor="background1" w:themeShade="80"/>
        </w:rPr>
        <w:t xml:space="preserve">By setting up systems and </w:t>
      </w:r>
      <w:r w:rsidR="002510F8" w:rsidRPr="006C3415">
        <w:rPr>
          <w:color w:val="808080" w:themeColor="background1" w:themeShade="80"/>
        </w:rPr>
        <w:t>environments</w:t>
      </w:r>
      <w:r w:rsidRPr="006C3415">
        <w:rPr>
          <w:color w:val="808080" w:themeColor="background1" w:themeShade="80"/>
        </w:rPr>
        <w:t xml:space="preserve"> which encourage and support making healthier choices, </w:t>
      </w:r>
      <w:r w:rsidR="003B56D4" w:rsidRPr="006C3415">
        <w:rPr>
          <w:color w:val="808080" w:themeColor="background1" w:themeShade="80"/>
        </w:rPr>
        <w:t xml:space="preserve">there is </w:t>
      </w:r>
      <w:r w:rsidRPr="006C3415">
        <w:rPr>
          <w:color w:val="808080" w:themeColor="background1" w:themeShade="80"/>
        </w:rPr>
        <w:t xml:space="preserve">a great opportunity to reduce the toll of disability and death due to cancer. As an example, the success seen in the </w:t>
      </w:r>
      <w:r w:rsidR="002510F8" w:rsidRPr="006C3415">
        <w:rPr>
          <w:color w:val="808080" w:themeColor="background1" w:themeShade="80"/>
        </w:rPr>
        <w:t>tobacco program</w:t>
      </w:r>
      <w:r w:rsidRPr="006C3415">
        <w:rPr>
          <w:color w:val="808080" w:themeColor="background1" w:themeShade="80"/>
        </w:rPr>
        <w:t xml:space="preserve"> </w:t>
      </w:r>
      <w:r w:rsidRPr="006C3415">
        <w:rPr>
          <w:i/>
          <w:color w:val="808080" w:themeColor="background1" w:themeShade="80"/>
        </w:rPr>
        <w:t>Make Smoking History</w:t>
      </w:r>
      <w:r w:rsidRPr="006C3415">
        <w:rPr>
          <w:color w:val="808080" w:themeColor="background1" w:themeShade="80"/>
        </w:rPr>
        <w:t xml:space="preserve"> shows the power of effective public education campaigns; forging strategic, cross-sectoral partnerships; the importance of backing them up with strong State and Commonwealth legislation, and </w:t>
      </w:r>
      <w:r w:rsidR="003B56D4" w:rsidRPr="006C3415">
        <w:rPr>
          <w:color w:val="808080" w:themeColor="background1" w:themeShade="80"/>
        </w:rPr>
        <w:t>gaining the support of</w:t>
      </w:r>
      <w:r w:rsidRPr="006C3415">
        <w:rPr>
          <w:color w:val="808080" w:themeColor="background1" w:themeShade="80"/>
        </w:rPr>
        <w:t xml:space="preserve"> the wider community.</w:t>
      </w:r>
      <w:r w:rsidR="008E4A1B" w:rsidRPr="006C3415">
        <w:rPr>
          <w:color w:val="808080" w:themeColor="background1" w:themeShade="80"/>
        </w:rPr>
        <w:fldChar w:fldCharType="begin"/>
      </w:r>
      <w:r w:rsidR="00547316">
        <w:rPr>
          <w:color w:val="808080" w:themeColor="background1" w:themeShade="80"/>
        </w:rPr>
        <w:instrText xml:space="preserve"> ADDIN EN.CITE &lt;EndNote&gt;&lt;Cite&gt;&lt;Author&gt;Cancer Council Western Australia&lt;/Author&gt;&lt;Year&gt;2010&lt;/Year&gt;&lt;RecNum&gt;974&lt;/RecNum&gt;&lt;DisplayText&gt;&lt;style face="superscript"&gt;42&lt;/style&gt;&lt;/DisplayText&gt;&lt;record&gt;&lt;rec-number&gt;974&lt;/rec-number&gt;&lt;foreign-keys&gt;&lt;key app="EN" db-id="zxa00wf2opvf9oeeset50xz7ezpfwre2v20z"&gt;974&lt;/key&gt;&lt;/foreign-keys&gt;&lt;ref-type name="Report"&gt;27&lt;/ref-type&gt;&lt;contributors&gt;&lt;authors&gt;&lt;author&gt;Cancer Council Western Australia,&lt;/author&gt;&lt;/authors&gt;&lt;/contributors&gt;&lt;titles&gt;&lt;title&gt;History in the making: the first 10 years of the Make Smoking History Campaign&lt;/title&gt;&lt;/titles&gt;&lt;dates&gt;&lt;year&gt;2010&lt;/year&gt;&lt;/dates&gt;&lt;pub-location&gt;Perth&lt;/pub-location&gt;&lt;publisher&gt;Cancer Council Western Australia&lt;/publisher&gt;&lt;urls&gt;&lt;related-urls&gt;&lt;url&gt;http://www.cancerwa.asn.au/resources/2010-05-25-Make-Smoking-History-10th-Anniversary-Book.pdf&lt;/url&gt;&lt;/related-urls&gt;&lt;/urls&gt;&lt;/record&gt;&lt;/Cite&gt;&lt;/EndNote&gt;</w:instrText>
      </w:r>
      <w:r w:rsidR="008E4A1B" w:rsidRPr="006C3415">
        <w:rPr>
          <w:color w:val="808080" w:themeColor="background1" w:themeShade="80"/>
        </w:rPr>
        <w:fldChar w:fldCharType="separate"/>
      </w:r>
      <w:r w:rsidR="00547316" w:rsidRPr="00547316">
        <w:rPr>
          <w:noProof/>
          <w:color w:val="808080" w:themeColor="background1" w:themeShade="80"/>
          <w:vertAlign w:val="superscript"/>
        </w:rPr>
        <w:t>42</w:t>
      </w:r>
      <w:r w:rsidR="008E4A1B" w:rsidRPr="006C3415">
        <w:rPr>
          <w:color w:val="808080" w:themeColor="background1" w:themeShade="80"/>
        </w:rPr>
        <w:fldChar w:fldCharType="end"/>
      </w:r>
      <w:r w:rsidRPr="006C3415">
        <w:rPr>
          <w:color w:val="808080" w:themeColor="background1" w:themeShade="80"/>
        </w:rPr>
        <w:t xml:space="preserve"> But until population levels of overweight and obesity are arrested, weight-related cancers (along with other chronic diseases such as diabetes and cardiovascular disease) can be expected to increase.</w:t>
      </w:r>
      <w:r w:rsidR="008E4A1B" w:rsidRPr="006C3415">
        <w:rPr>
          <w:color w:val="808080" w:themeColor="background1" w:themeShade="80"/>
        </w:rPr>
        <w:fldChar w:fldCharType="begin"/>
      </w:r>
      <w:r w:rsidR="00547316">
        <w:rPr>
          <w:color w:val="808080" w:themeColor="background1" w:themeShade="80"/>
        </w:rPr>
        <w:instrText xml:space="preserve"> ADDIN EN.CITE &lt;EndNote&gt;&lt;Cite&gt;&lt;Author&gt;Feletto E&lt;/Author&gt;&lt;Year&gt;2013&lt;/Year&gt;&lt;RecNum&gt;975&lt;/RecNum&gt;&lt;DisplayText&gt;&lt;style face="superscript"&gt;43&lt;/style&gt;&lt;/DisplayText&gt;&lt;record&gt;&lt;rec-number&gt;975&lt;/rec-number&gt;&lt;foreign-keys&gt;&lt;key app="EN" db-id="zxa00wf2opvf9oeeset50xz7ezpfwre2v20z"&gt;975&lt;/key&gt;&lt;/foreign-keys&gt;&lt;ref-type name="Report"&gt;27&lt;/ref-type&gt;&lt;contributors&gt;&lt;authors&gt;&lt;author&gt;Feletto E,&lt;/author&gt;&lt;author&gt;Sitas F,&lt;/author&gt;&lt;author&gt;Gibberd A,&lt;/author&gt;&lt;author&gt;Kahn C,&lt;/author&gt;&lt;author&gt;Weber M,&lt;/author&gt;&lt;author&gt;Grogan P, &lt;/author&gt;&lt;author&gt;Chiew M,&lt;/author&gt;&lt;author&gt;Supramaniam R,&lt;/author&gt;&lt;author&gt;Velentzis L,&lt;/author&gt;&lt;author&gt;Nickson C,&lt;/author&gt;&lt;author&gt;Smith D, &lt;/author&gt;&lt;author&gt;O’Connell D,&lt;/author&gt;&lt;author&gt;Smith M,&lt;/author&gt;&lt;author&gt;Armstrong K,&lt;/author&gt;&lt;author&gt;Yu XQ,&lt;/author&gt;&lt;author&gt;Canfell K, &lt;/author&gt;&lt;author&gt;Robotin M, &lt;/author&gt;&lt;author&gt;Penman A,&lt;/author&gt;&lt;/authors&gt;&lt;/contributors&gt;&lt;titles&gt;&lt;title&gt;The state of cancer control in Australia.  Cancer Council NSW research report summary&lt;/title&gt;&lt;/titles&gt;&lt;dates&gt;&lt;year&gt;2013&lt;/year&gt;&lt;/dates&gt;&lt;pub-location&gt;Sydney&lt;/pub-location&gt;&lt;publisher&gt;Cancer Council NSW&lt;/publisher&gt;&lt;urls&gt;&lt;related-urls&gt;&lt;url&gt;http://www.cancercouncil.com.au/wp-content/uploads/2013/05/State-of-Cancer-Control-May-2012_PRESS_HighRes_09052013.pdf&lt;/url&gt;&lt;/related-urls&gt;&lt;/urls&gt;&lt;/record&gt;&lt;/Cite&gt;&lt;/EndNote&gt;</w:instrText>
      </w:r>
      <w:r w:rsidR="008E4A1B" w:rsidRPr="006C3415">
        <w:rPr>
          <w:color w:val="808080" w:themeColor="background1" w:themeShade="80"/>
        </w:rPr>
        <w:fldChar w:fldCharType="separate"/>
      </w:r>
      <w:r w:rsidR="00547316" w:rsidRPr="00547316">
        <w:rPr>
          <w:noProof/>
          <w:color w:val="808080" w:themeColor="background1" w:themeShade="80"/>
          <w:vertAlign w:val="superscript"/>
        </w:rPr>
        <w:t>43</w:t>
      </w:r>
      <w:r w:rsidR="008E4A1B" w:rsidRPr="006C3415">
        <w:rPr>
          <w:color w:val="808080" w:themeColor="background1" w:themeShade="80"/>
        </w:rPr>
        <w:fldChar w:fldCharType="end"/>
      </w:r>
      <w:r w:rsidRPr="006C3415">
        <w:rPr>
          <w:color w:val="808080" w:themeColor="background1" w:themeShade="80"/>
        </w:rPr>
        <w:t xml:space="preserve"> Lessons learned from tobacco control may provide pointers to approaches which could potentially be applied to other risk factors.</w:t>
      </w:r>
    </w:p>
    <w:p w:rsidR="00C7580F" w:rsidRPr="006C3415" w:rsidRDefault="00C7580F"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p>
    <w:p w:rsidR="00C7580F" w:rsidRPr="006C3415" w:rsidRDefault="008A2878" w:rsidP="006C3415">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6C3415">
        <w:rPr>
          <w:color w:val="808080" w:themeColor="background1" w:themeShade="80"/>
        </w:rPr>
        <w:t>O</w:t>
      </w:r>
      <w:r w:rsidR="00C7580F" w:rsidRPr="006C3415">
        <w:rPr>
          <w:color w:val="808080" w:themeColor="background1" w:themeShade="80"/>
        </w:rPr>
        <w:t xml:space="preserve">ne risk factor for cancer </w:t>
      </w:r>
      <w:r w:rsidR="006A411C" w:rsidRPr="006C3415">
        <w:rPr>
          <w:color w:val="808080" w:themeColor="background1" w:themeShade="80"/>
        </w:rPr>
        <w:t>that</w:t>
      </w:r>
      <w:r w:rsidR="00C7580F" w:rsidRPr="006C3415">
        <w:rPr>
          <w:color w:val="808080" w:themeColor="background1" w:themeShade="80"/>
        </w:rPr>
        <w:t xml:space="preserve"> </w:t>
      </w:r>
      <w:r w:rsidR="00E705FB" w:rsidRPr="006C3415">
        <w:rPr>
          <w:color w:val="808080" w:themeColor="background1" w:themeShade="80"/>
        </w:rPr>
        <w:t xml:space="preserve">cannot </w:t>
      </w:r>
      <w:r w:rsidR="003D35D2" w:rsidRPr="006C3415">
        <w:rPr>
          <w:color w:val="808080" w:themeColor="background1" w:themeShade="80"/>
        </w:rPr>
        <w:t xml:space="preserve">be </w:t>
      </w:r>
      <w:r w:rsidR="00C7580F" w:rsidRPr="006C3415">
        <w:rPr>
          <w:color w:val="808080" w:themeColor="background1" w:themeShade="80"/>
        </w:rPr>
        <w:t>prevent</w:t>
      </w:r>
      <w:r w:rsidR="003D35D2" w:rsidRPr="006C3415">
        <w:rPr>
          <w:color w:val="808080" w:themeColor="background1" w:themeShade="80"/>
        </w:rPr>
        <w:t>ed</w:t>
      </w:r>
      <w:r w:rsidR="00C7580F" w:rsidRPr="006C3415">
        <w:rPr>
          <w:color w:val="808080" w:themeColor="background1" w:themeShade="80"/>
        </w:rPr>
        <w:t xml:space="preserve"> is getting older, and as WA’s ag</w:t>
      </w:r>
      <w:r w:rsidR="00E705FB" w:rsidRPr="006C3415">
        <w:rPr>
          <w:color w:val="808080" w:themeColor="background1" w:themeShade="80"/>
        </w:rPr>
        <w:t>e</w:t>
      </w:r>
      <w:r w:rsidR="00C7580F" w:rsidRPr="006C3415">
        <w:rPr>
          <w:color w:val="808080" w:themeColor="background1" w:themeShade="80"/>
        </w:rPr>
        <w:t>ing population increases, an increase in the numbers of people diagnosed with and surviving with cancer</w:t>
      </w:r>
      <w:r w:rsidR="003D35D2" w:rsidRPr="006C3415">
        <w:rPr>
          <w:color w:val="808080" w:themeColor="background1" w:themeShade="80"/>
        </w:rPr>
        <w:t xml:space="preserve"> may be expected</w:t>
      </w:r>
      <w:r w:rsidR="00C7580F" w:rsidRPr="006C3415">
        <w:rPr>
          <w:color w:val="808080" w:themeColor="background1" w:themeShade="80"/>
        </w:rPr>
        <w:t>.</w:t>
      </w:r>
      <w:r w:rsidR="008E4A1B" w:rsidRPr="006C3415">
        <w:rPr>
          <w:color w:val="808080" w:themeColor="background1" w:themeShade="80"/>
        </w:rPr>
        <w:fldChar w:fldCharType="begin"/>
      </w:r>
      <w:r w:rsidR="00547316">
        <w:rPr>
          <w:color w:val="808080" w:themeColor="background1" w:themeShade="80"/>
        </w:rPr>
        <w:instrText xml:space="preserve"> ADDIN EN.CITE &lt;EndNote&gt;&lt;Cite&gt;&lt;Author&gt;Girschik J&lt;/Author&gt;&lt;Year&gt;2016&lt;/Year&gt;&lt;RecNum&gt;1007&lt;/RecNum&gt;&lt;DisplayText&gt;&lt;style face="superscript"&gt;44&lt;/style&gt;&lt;/DisplayText&gt;&lt;record&gt;&lt;rec-number&gt;1007&lt;/rec-number&gt;&lt;foreign-keys&gt;&lt;key app="EN" db-id="zxa00wf2opvf9oeeset50xz7ezpfwre2v20z"&gt;1007&lt;/key&gt;&lt;/foreign-keys&gt;&lt;ref-type name="Report"&gt;27&lt;/ref-type&gt;&lt;contributors&gt;&lt;authors&gt;&lt;author&gt;Girschik J,&lt;/author&gt;&lt;author&gt;Miller LJ,&lt;/author&gt;&lt;author&gt;Sun W,&lt;/author&gt;&lt;author&gt;Jardine A,&lt;/author&gt;&lt;author&gt;Weeramanthri TS,&lt;/author&gt;&lt;/authors&gt;&lt;/contributors&gt;&lt;titles&gt;&lt;title&gt;Priorities and preferences for cancer control in Western Australia.&lt;/title&gt;&lt;/titles&gt;&lt;dates&gt;&lt;year&gt;2016&lt;/year&gt;&lt;/dates&gt;&lt;pub-location&gt;Perth&lt;/pub-location&gt;&lt;publisher&gt;Department of Health, Western Australia&lt;/publisher&gt;&lt;urls&gt;&lt;related-urls&gt;&lt;url&gt;http://ww2.health.wa.gov.au/~/media/Files/Corporate/general%20documents/Population%20health/PDF/cancer%20control%20in%20WA%20report.ashx&lt;/url&gt;&lt;/related-urls&gt;&lt;/urls&gt;&lt;/record&gt;&lt;/Cite&gt;&lt;/EndNote&gt;</w:instrText>
      </w:r>
      <w:r w:rsidR="008E4A1B" w:rsidRPr="006C3415">
        <w:rPr>
          <w:color w:val="808080" w:themeColor="background1" w:themeShade="80"/>
        </w:rPr>
        <w:fldChar w:fldCharType="separate"/>
      </w:r>
      <w:r w:rsidR="00547316" w:rsidRPr="00547316">
        <w:rPr>
          <w:noProof/>
          <w:color w:val="808080" w:themeColor="background1" w:themeShade="80"/>
          <w:vertAlign w:val="superscript"/>
        </w:rPr>
        <w:t>44</w:t>
      </w:r>
      <w:r w:rsidR="008E4A1B" w:rsidRPr="006C3415">
        <w:rPr>
          <w:color w:val="808080" w:themeColor="background1" w:themeShade="80"/>
        </w:rPr>
        <w:fldChar w:fldCharType="end"/>
      </w:r>
      <w:r w:rsidR="00C7580F" w:rsidRPr="006C3415">
        <w:rPr>
          <w:color w:val="808080" w:themeColor="background1" w:themeShade="80"/>
        </w:rPr>
        <w:t xml:space="preserve"> While greater survivorship is undoubtedly good news, cancer survivors may experience emotional, physical and financial hardship, which in turn impact on their families and carers. As they age, they will continue to be vulnerable to recurrences of cancer, as well as the development of other chronic diseases, including new cancers. Carers themselves may be elderly and in poor health.</w:t>
      </w:r>
      <w:r w:rsidR="008E4A1B" w:rsidRPr="006C3415">
        <w:rPr>
          <w:color w:val="808080" w:themeColor="background1" w:themeShade="80"/>
        </w:rPr>
        <w:fldChar w:fldCharType="begin"/>
      </w:r>
      <w:r w:rsidR="008E4A1B" w:rsidRPr="006C3415">
        <w:rPr>
          <w:color w:val="808080" w:themeColor="background1" w:themeShade="80"/>
        </w:rPr>
        <w:instrText xml:space="preserve"> ADDIN EN.CITE &lt;EndNote&gt;&lt;Cite&gt;&lt;Author&gt;Australian Institute of Health and Welfare&lt;/Author&gt;&lt;Year&gt;2014&lt;/Year&gt;&lt;RecNum&gt;4&lt;/RecNum&gt;&lt;DisplayText&gt;&lt;style face="superscript"&gt;1&lt;/style&gt;&lt;/DisplayText&gt;&lt;record&gt;&lt;rec-number&gt;4&lt;/rec-number&gt;&lt;foreign-keys&gt;&lt;key app="EN" db-id="zxa00wf2opvf9oeeset50xz7ezpfwre2v20z"&gt;4&lt;/key&gt;&lt;/foreign-keys&gt;&lt;ref-type name="Web Page"&gt;12&lt;/ref-type&gt;&lt;contributors&gt;&lt;authors&gt;&lt;author&gt;Australian Institute of Health and Welfare,&lt;/author&gt;&lt;/authors&gt;&lt;/contributors&gt;&lt;titles&gt;&lt;title&gt;Australia&amp;apos;s health 2014. Australia&amp;apos;s health series no. 12. Cat. no. AUS 178&lt;/title&gt;&lt;/titles&gt;&lt;dates&gt;&lt;year&gt;2014&lt;/year&gt;&lt;/dates&gt;&lt;pub-location&gt;Canberra&lt;/pub-location&gt;&lt;publisher&gt;Australian Institute of Health and Welfare&lt;/publisher&gt;&lt;urls&gt;&lt;related-urls&gt;&lt;url&gt;http://www.aihw.gov.au/WorkArea/DownloadAsset.aspx?id=60129548150&lt;/url&gt;&lt;/related-urls&gt;&lt;/urls&gt;&lt;/record&gt;&lt;/Cite&gt;&lt;/EndNote&gt;</w:instrText>
      </w:r>
      <w:r w:rsidR="008E4A1B" w:rsidRPr="006C3415">
        <w:rPr>
          <w:color w:val="808080" w:themeColor="background1" w:themeShade="80"/>
        </w:rPr>
        <w:fldChar w:fldCharType="separate"/>
      </w:r>
      <w:r w:rsidR="008E4A1B" w:rsidRPr="006C3415">
        <w:rPr>
          <w:noProof/>
          <w:color w:val="808080" w:themeColor="background1" w:themeShade="80"/>
          <w:vertAlign w:val="superscript"/>
        </w:rPr>
        <w:t>1</w:t>
      </w:r>
      <w:r w:rsidR="008E4A1B" w:rsidRPr="006C3415">
        <w:rPr>
          <w:color w:val="808080" w:themeColor="background1" w:themeShade="80"/>
        </w:rPr>
        <w:fldChar w:fldCharType="end"/>
      </w:r>
      <w:r w:rsidR="00C7580F" w:rsidRPr="006C3415">
        <w:rPr>
          <w:color w:val="808080" w:themeColor="background1" w:themeShade="80"/>
        </w:rPr>
        <w:t xml:space="preserve"> Seeking and seizing opportunities for cancer prevention has never been more important than it is now. </w:t>
      </w:r>
    </w:p>
    <w:p w:rsidR="00032F98" w:rsidRDefault="00032F98">
      <w:pPr>
        <w:widowControl/>
        <w:spacing w:after="200" w:line="276" w:lineRule="auto"/>
        <w:rPr>
          <w:rFonts w:eastAsiaTheme="majorEastAsia" w:cstheme="majorBidi"/>
          <w:color w:val="808080" w:themeColor="background1" w:themeShade="80"/>
          <w:sz w:val="52"/>
          <w:szCs w:val="52"/>
        </w:rPr>
      </w:pPr>
      <w:r>
        <w:br w:type="page"/>
      </w:r>
    </w:p>
    <w:p w:rsidR="00143C42" w:rsidRPr="00BA10DA" w:rsidRDefault="00744942" w:rsidP="000466B8">
      <w:pPr>
        <w:pStyle w:val="Heading1"/>
      </w:pPr>
      <w:bookmarkStart w:id="11" w:name="_Toc462049311"/>
      <w:r w:rsidRPr="00BA10DA">
        <w:lastRenderedPageBreak/>
        <w:t xml:space="preserve">Part </w:t>
      </w:r>
      <w:r w:rsidR="00B922ED">
        <w:t>3</w:t>
      </w:r>
      <w:r w:rsidR="000466B8">
        <w:t>:</w:t>
      </w:r>
      <w:r w:rsidRPr="00BA10DA">
        <w:t xml:space="preserve"> </w:t>
      </w:r>
      <w:r w:rsidR="00A453C1">
        <w:t xml:space="preserve">A </w:t>
      </w:r>
      <w:r w:rsidR="0086193A">
        <w:t>f</w:t>
      </w:r>
      <w:r w:rsidR="00A453C1">
        <w:t xml:space="preserve">ramework for </w:t>
      </w:r>
      <w:r w:rsidR="0086193A">
        <w:t>a</w:t>
      </w:r>
      <w:r w:rsidR="00A453C1">
        <w:t>ction</w:t>
      </w:r>
      <w:bookmarkEnd w:id="11"/>
      <w:r w:rsidRPr="00BA10DA">
        <w:t xml:space="preserve"> </w:t>
      </w:r>
    </w:p>
    <w:p w:rsidR="00744942" w:rsidRDefault="00744942" w:rsidP="00823AA2"/>
    <w:p w:rsidR="00744942" w:rsidRPr="005B6B69" w:rsidRDefault="00DF78E2" w:rsidP="00DF78E2">
      <w:pPr>
        <w:pStyle w:val="Heading2"/>
        <w:rPr>
          <w:rFonts w:eastAsia="Arial"/>
        </w:rPr>
      </w:pPr>
      <w:bookmarkStart w:id="12" w:name="_Toc462049312"/>
      <w:r>
        <w:rPr>
          <w:rFonts w:eastAsia="Arial"/>
        </w:rPr>
        <w:t xml:space="preserve">3.1  </w:t>
      </w:r>
      <w:r w:rsidR="000209F4" w:rsidRPr="005B6B69">
        <w:rPr>
          <w:rFonts w:eastAsia="Arial"/>
        </w:rPr>
        <w:t>O</w:t>
      </w:r>
      <w:r w:rsidR="003A78CF">
        <w:rPr>
          <w:rFonts w:eastAsia="Arial"/>
        </w:rPr>
        <w:t xml:space="preserve">verarching </w:t>
      </w:r>
      <w:r w:rsidR="00C450D8" w:rsidRPr="005B6B69">
        <w:rPr>
          <w:rFonts w:eastAsia="Arial"/>
        </w:rPr>
        <w:t>g</w:t>
      </w:r>
      <w:r w:rsidR="000209F4" w:rsidRPr="005B6B69">
        <w:rPr>
          <w:rFonts w:eastAsia="Arial"/>
        </w:rPr>
        <w:t>oal</w:t>
      </w:r>
      <w:bookmarkEnd w:id="12"/>
      <w:r w:rsidR="000209F4" w:rsidRPr="005B6B69">
        <w:rPr>
          <w:rFonts w:eastAsia="Arial"/>
        </w:rPr>
        <w:t xml:space="preserve"> </w:t>
      </w:r>
    </w:p>
    <w:p w:rsidR="00744942" w:rsidRDefault="00744942" w:rsidP="00823AA2"/>
    <w:p w:rsidR="00744942" w:rsidRDefault="00FC2F28" w:rsidP="00D058AD">
      <w:r>
        <w:t>The goal of the WA HPSF is to</w:t>
      </w:r>
      <w:r w:rsidR="00744942">
        <w:t xml:space="preserve"> </w:t>
      </w:r>
      <w:r w:rsidR="00317FB5">
        <w:t>lower the incidence of avoidable chronic disease</w:t>
      </w:r>
      <w:r w:rsidR="00744942">
        <w:t xml:space="preserve"> and injury in </w:t>
      </w:r>
      <w:r w:rsidR="00E924F5">
        <w:t>WA</w:t>
      </w:r>
      <w:r w:rsidR="009A425D">
        <w:t xml:space="preserve"> by</w:t>
      </w:r>
      <w:r w:rsidR="00744942">
        <w:t xml:space="preserve"> </w:t>
      </w:r>
      <w:r w:rsidR="009A425D" w:rsidRPr="00C2221F">
        <w:t>facilitating improvements in health behaviours and environments</w:t>
      </w:r>
      <w:r w:rsidR="002D033A">
        <w:t xml:space="preserve">. </w:t>
      </w:r>
    </w:p>
    <w:p w:rsidR="000209F4" w:rsidRDefault="000209F4" w:rsidP="00823AA2"/>
    <w:p w:rsidR="00744942" w:rsidRPr="000209F4" w:rsidRDefault="00DF78E2" w:rsidP="00DF78E2">
      <w:pPr>
        <w:pStyle w:val="Heading2"/>
        <w:rPr>
          <w:rFonts w:eastAsia="Arial"/>
        </w:rPr>
      </w:pPr>
      <w:bookmarkStart w:id="13" w:name="_Toc462049313"/>
      <w:r>
        <w:rPr>
          <w:rFonts w:eastAsia="Arial"/>
        </w:rPr>
        <w:t xml:space="preserve">3.2  </w:t>
      </w:r>
      <w:r w:rsidR="003A78CF">
        <w:rPr>
          <w:rFonts w:eastAsia="Arial"/>
        </w:rPr>
        <w:t>P</w:t>
      </w:r>
      <w:r w:rsidR="000209F4">
        <w:rPr>
          <w:rFonts w:eastAsia="Arial"/>
        </w:rPr>
        <w:t>riorities</w:t>
      </w:r>
      <w:bookmarkEnd w:id="13"/>
      <w:r w:rsidR="000209F4">
        <w:rPr>
          <w:rFonts w:eastAsia="Arial"/>
        </w:rPr>
        <w:t xml:space="preserve"> </w:t>
      </w:r>
    </w:p>
    <w:p w:rsidR="00744942" w:rsidRDefault="00744942" w:rsidP="00823AA2">
      <w:pPr>
        <w:pStyle w:val="ListParagraph"/>
      </w:pPr>
    </w:p>
    <w:p w:rsidR="00744942" w:rsidRPr="00C2221F" w:rsidRDefault="00BB5D25" w:rsidP="00823AA2">
      <w:pPr>
        <w:pStyle w:val="ListParagraph"/>
        <w:numPr>
          <w:ilvl w:val="0"/>
          <w:numId w:val="2"/>
        </w:numPr>
      </w:pPr>
      <w:r>
        <w:t>healthy</w:t>
      </w:r>
      <w:r w:rsidR="000209F4">
        <w:t xml:space="preserve"> health</w:t>
      </w:r>
    </w:p>
    <w:p w:rsidR="00744942" w:rsidRDefault="00EC1ADF" w:rsidP="00823AA2">
      <w:pPr>
        <w:pStyle w:val="ListParagraph"/>
        <w:numPr>
          <w:ilvl w:val="0"/>
          <w:numId w:val="2"/>
        </w:numPr>
      </w:pPr>
      <w:r>
        <w:t>a</w:t>
      </w:r>
      <w:r w:rsidR="000209F4">
        <w:t xml:space="preserve"> more active WA</w:t>
      </w:r>
    </w:p>
    <w:p w:rsidR="00EC1ADF" w:rsidRPr="00C2221F" w:rsidRDefault="00F51F9A" w:rsidP="00EC1ADF">
      <w:pPr>
        <w:pStyle w:val="ListParagraph"/>
        <w:numPr>
          <w:ilvl w:val="0"/>
          <w:numId w:val="2"/>
        </w:numPr>
      </w:pPr>
      <w:r>
        <w:t xml:space="preserve">curbing the rise in </w:t>
      </w:r>
      <w:r w:rsidR="00EC1ADF" w:rsidRPr="00C2221F">
        <w:t xml:space="preserve">overweight </w:t>
      </w:r>
      <w:r w:rsidR="00EC1ADF">
        <w:t>and o</w:t>
      </w:r>
      <w:r w:rsidR="00EC1ADF" w:rsidRPr="00C2221F">
        <w:t>bes</w:t>
      </w:r>
      <w:r w:rsidR="00EC1ADF">
        <w:t>ity</w:t>
      </w:r>
    </w:p>
    <w:p w:rsidR="00744942" w:rsidRPr="00C2221F" w:rsidRDefault="00EC1ADF" w:rsidP="00823AA2">
      <w:pPr>
        <w:pStyle w:val="ListParagraph"/>
        <w:numPr>
          <w:ilvl w:val="0"/>
          <w:numId w:val="2"/>
        </w:numPr>
      </w:pPr>
      <w:r>
        <w:t>m</w:t>
      </w:r>
      <w:r w:rsidR="000209F4">
        <w:t>aking smoking history</w:t>
      </w:r>
    </w:p>
    <w:p w:rsidR="000209F4" w:rsidRDefault="00EC1ADF" w:rsidP="00823AA2">
      <w:pPr>
        <w:pStyle w:val="ListParagraph"/>
        <w:numPr>
          <w:ilvl w:val="0"/>
          <w:numId w:val="2"/>
        </w:numPr>
      </w:pPr>
      <w:r>
        <w:t>r</w:t>
      </w:r>
      <w:r w:rsidR="000209F4">
        <w:t xml:space="preserve">educing </w:t>
      </w:r>
      <w:r w:rsidR="00744942" w:rsidRPr="00C2221F">
        <w:t>harmful levels of alcohol use</w:t>
      </w:r>
      <w:r w:rsidR="000209F4">
        <w:t xml:space="preserve"> </w:t>
      </w:r>
    </w:p>
    <w:p w:rsidR="00744942" w:rsidRPr="00C2221F" w:rsidRDefault="000336FE" w:rsidP="00823AA2">
      <w:pPr>
        <w:pStyle w:val="ListParagraph"/>
        <w:numPr>
          <w:ilvl w:val="0"/>
          <w:numId w:val="2"/>
        </w:numPr>
      </w:pPr>
      <w:r>
        <w:t>preventing injury</w:t>
      </w:r>
      <w:r w:rsidR="000209F4">
        <w:t xml:space="preserve"> and </w:t>
      </w:r>
      <w:r w:rsidR="00134E8E">
        <w:t xml:space="preserve">promoting </w:t>
      </w:r>
      <w:r w:rsidR="000209F4">
        <w:t>safer communities</w:t>
      </w:r>
    </w:p>
    <w:p w:rsidR="00744942" w:rsidRDefault="00744942" w:rsidP="00823AA2"/>
    <w:p w:rsidR="000209F4" w:rsidRPr="000209F4" w:rsidRDefault="00DF78E2" w:rsidP="00DF78E2">
      <w:pPr>
        <w:pStyle w:val="Heading2"/>
        <w:rPr>
          <w:rFonts w:eastAsia="Arial"/>
        </w:rPr>
      </w:pPr>
      <w:bookmarkStart w:id="14" w:name="_Toc462049314"/>
      <w:r>
        <w:rPr>
          <w:rFonts w:eastAsia="Arial"/>
        </w:rPr>
        <w:t xml:space="preserve">3.3  </w:t>
      </w:r>
      <w:r w:rsidR="003A78CF">
        <w:rPr>
          <w:rFonts w:eastAsia="Arial"/>
        </w:rPr>
        <w:t>T</w:t>
      </w:r>
      <w:r w:rsidR="000209F4">
        <w:rPr>
          <w:rFonts w:eastAsia="Arial"/>
        </w:rPr>
        <w:t>arget groups</w:t>
      </w:r>
      <w:bookmarkEnd w:id="14"/>
      <w:r w:rsidR="000209F4" w:rsidRPr="000209F4">
        <w:rPr>
          <w:rFonts w:eastAsia="Arial"/>
        </w:rPr>
        <w:t xml:space="preserve"> </w:t>
      </w:r>
    </w:p>
    <w:p w:rsidR="000209F4" w:rsidRDefault="000209F4" w:rsidP="00823AA2"/>
    <w:p w:rsidR="008C7C91" w:rsidRDefault="0086193A" w:rsidP="008C7C91">
      <w:r>
        <w:t xml:space="preserve">The </w:t>
      </w:r>
      <w:r w:rsidR="000B541D">
        <w:t>WA HPSF</w:t>
      </w:r>
      <w:r w:rsidR="008C7C91">
        <w:t xml:space="preserve"> </w:t>
      </w:r>
      <w:r w:rsidR="008C7C91" w:rsidRPr="00272615">
        <w:t>adopts a whole</w:t>
      </w:r>
      <w:r w:rsidR="00551063">
        <w:t>-</w:t>
      </w:r>
      <w:r w:rsidR="008C7C91" w:rsidRPr="00272615">
        <w:t>of</w:t>
      </w:r>
      <w:r w:rsidR="00551063">
        <w:t>-</w:t>
      </w:r>
      <w:r w:rsidR="008C7C91" w:rsidRPr="00272615">
        <w:t>population approach to preventing</w:t>
      </w:r>
      <w:r w:rsidR="008C7C91">
        <w:t xml:space="preserve"> chronic disease and injury.</w:t>
      </w:r>
      <w:r w:rsidR="0099210E">
        <w:t xml:space="preserve"> </w:t>
      </w:r>
      <w:r w:rsidR="008C7C91">
        <w:t>Complement</w:t>
      </w:r>
      <w:r w:rsidR="00551063">
        <w:t>ary to</w:t>
      </w:r>
      <w:r w:rsidR="008C7C91">
        <w:t xml:space="preserve"> the whole</w:t>
      </w:r>
      <w:r w:rsidR="006D5882">
        <w:t>-</w:t>
      </w:r>
      <w:r w:rsidR="00695709">
        <w:t>of-</w:t>
      </w:r>
      <w:r w:rsidR="008C7C91">
        <w:t xml:space="preserve">population approach is the </w:t>
      </w:r>
      <w:r w:rsidR="008C7C91" w:rsidRPr="00272615">
        <w:t xml:space="preserve">development of targeted interventions to reduce health inequities and assist </w:t>
      </w:r>
      <w:r w:rsidR="00AF0A67">
        <w:t>those</w:t>
      </w:r>
      <w:r w:rsidR="008C7C91">
        <w:t xml:space="preserve"> in the community who are at </w:t>
      </w:r>
      <w:r w:rsidR="00AF0A67">
        <w:t xml:space="preserve">higher </w:t>
      </w:r>
      <w:r w:rsidR="008C7C91">
        <w:t>risk of chronic disease</w:t>
      </w:r>
      <w:r w:rsidR="00242D61">
        <w:t xml:space="preserve"> </w:t>
      </w:r>
      <w:r w:rsidR="00360C09">
        <w:t xml:space="preserve">or injury </w:t>
      </w:r>
      <w:r w:rsidR="008C7C91">
        <w:t xml:space="preserve">because </w:t>
      </w:r>
      <w:r w:rsidR="00360C09">
        <w:t>of a</w:t>
      </w:r>
      <w:r w:rsidR="008C7C91">
        <w:t xml:space="preserve"> high prevalence </w:t>
      </w:r>
      <w:r w:rsidR="00813FE8">
        <w:t xml:space="preserve">of </w:t>
      </w:r>
      <w:r w:rsidR="00360C09">
        <w:t xml:space="preserve">the associated </w:t>
      </w:r>
      <w:r w:rsidR="008C7C91">
        <w:t>risk factors.</w:t>
      </w:r>
    </w:p>
    <w:p w:rsidR="008C7C91" w:rsidRDefault="008C7C91" w:rsidP="00823AA2"/>
    <w:p w:rsidR="00744942" w:rsidRDefault="008C7C91" w:rsidP="00823AA2">
      <w:r>
        <w:t xml:space="preserve">In line with this approach, </w:t>
      </w:r>
      <w:r w:rsidR="00BB5D25">
        <w:t>the</w:t>
      </w:r>
      <w:r>
        <w:t xml:space="preserve"> </w:t>
      </w:r>
      <w:r w:rsidR="00AD0DE8">
        <w:t xml:space="preserve">main </w:t>
      </w:r>
      <w:r>
        <w:t xml:space="preserve">target groups </w:t>
      </w:r>
      <w:r w:rsidR="00BB5D25">
        <w:t xml:space="preserve">for the WA HPSF </w:t>
      </w:r>
      <w:r>
        <w:t>are:</w:t>
      </w:r>
    </w:p>
    <w:p w:rsidR="00744942" w:rsidRPr="00C2221F" w:rsidRDefault="00744942" w:rsidP="00823AA2"/>
    <w:p w:rsidR="00744942" w:rsidRPr="00C2221F" w:rsidRDefault="00BF6DE6" w:rsidP="00823AA2">
      <w:pPr>
        <w:pStyle w:val="ListParagraph"/>
        <w:numPr>
          <w:ilvl w:val="0"/>
          <w:numId w:val="1"/>
        </w:numPr>
      </w:pPr>
      <w:r>
        <w:t>people in WA who are currently well</w:t>
      </w:r>
      <w:r w:rsidR="00744942">
        <w:t xml:space="preserve"> </w:t>
      </w:r>
    </w:p>
    <w:p w:rsidR="000209F4" w:rsidRDefault="006458E4" w:rsidP="00823AA2">
      <w:pPr>
        <w:pStyle w:val="ListParagraph"/>
        <w:numPr>
          <w:ilvl w:val="0"/>
          <w:numId w:val="1"/>
        </w:numPr>
      </w:pPr>
      <w:r>
        <w:t>p</w:t>
      </w:r>
      <w:r w:rsidR="00837435">
        <w:t xml:space="preserve">opulation groups </w:t>
      </w:r>
      <w:r w:rsidR="00FE5FBB">
        <w:t>with a</w:t>
      </w:r>
      <w:r w:rsidR="00837435">
        <w:t xml:space="preserve"> </w:t>
      </w:r>
      <w:r w:rsidR="008C7C91">
        <w:t>higher</w:t>
      </w:r>
      <w:r w:rsidR="00837435">
        <w:t xml:space="preserve"> risk of developing chronic disease or experiencing inju</w:t>
      </w:r>
      <w:r w:rsidR="00BF6DE6">
        <w:t>ry than the general population</w:t>
      </w:r>
    </w:p>
    <w:p w:rsidR="00837435" w:rsidRDefault="00837435" w:rsidP="00837435">
      <w:pPr>
        <w:pStyle w:val="ListParagraph"/>
      </w:pPr>
    </w:p>
    <w:p w:rsidR="00837435" w:rsidRDefault="008C7C91" w:rsidP="008C7C91">
      <w:r>
        <w:t>These groups include:</w:t>
      </w:r>
    </w:p>
    <w:p w:rsidR="00C75C8E" w:rsidRDefault="00C75C8E" w:rsidP="008C7C91"/>
    <w:p w:rsidR="008D5E7F" w:rsidRDefault="006458E4" w:rsidP="008D5E7F">
      <w:pPr>
        <w:pStyle w:val="ListParagraph"/>
        <w:numPr>
          <w:ilvl w:val="0"/>
          <w:numId w:val="1"/>
        </w:numPr>
      </w:pPr>
      <w:r>
        <w:t>t</w:t>
      </w:r>
      <w:r w:rsidR="008D5E7F">
        <w:t>hose living in low socioeconomic circumstances</w:t>
      </w:r>
    </w:p>
    <w:p w:rsidR="008C7C91" w:rsidRDefault="00C75C8E" w:rsidP="008C7C91">
      <w:pPr>
        <w:pStyle w:val="ListParagraph"/>
        <w:numPr>
          <w:ilvl w:val="0"/>
          <w:numId w:val="1"/>
        </w:numPr>
      </w:pPr>
      <w:r>
        <w:t>Aboriginal people</w:t>
      </w:r>
    </w:p>
    <w:p w:rsidR="008C7C91" w:rsidRDefault="006458E4" w:rsidP="008C7C91">
      <w:pPr>
        <w:pStyle w:val="ListParagraph"/>
        <w:numPr>
          <w:ilvl w:val="0"/>
          <w:numId w:val="1"/>
        </w:numPr>
      </w:pPr>
      <w:r>
        <w:t>p</w:t>
      </w:r>
      <w:r w:rsidR="008C7C91">
        <w:t>eople with mental illness</w:t>
      </w:r>
    </w:p>
    <w:p w:rsidR="008C7C91" w:rsidRDefault="006458E4" w:rsidP="008C7C91">
      <w:pPr>
        <w:pStyle w:val="ListParagraph"/>
        <w:numPr>
          <w:ilvl w:val="0"/>
          <w:numId w:val="1"/>
        </w:numPr>
      </w:pPr>
      <w:r>
        <w:t>p</w:t>
      </w:r>
      <w:r w:rsidR="008C7C91">
        <w:t>eople with disabilities</w:t>
      </w:r>
    </w:p>
    <w:p w:rsidR="008C7C91" w:rsidRDefault="006458E4" w:rsidP="008C7C91">
      <w:pPr>
        <w:pStyle w:val="ListParagraph"/>
        <w:numPr>
          <w:ilvl w:val="0"/>
          <w:numId w:val="1"/>
        </w:numPr>
      </w:pPr>
      <w:r>
        <w:t>c</w:t>
      </w:r>
      <w:r w:rsidR="008C7C91">
        <w:t>arers and families of people with sickness and disability</w:t>
      </w:r>
    </w:p>
    <w:p w:rsidR="008C7C91" w:rsidRDefault="006458E4" w:rsidP="008C7C91">
      <w:pPr>
        <w:pStyle w:val="ListParagraph"/>
        <w:numPr>
          <w:ilvl w:val="0"/>
          <w:numId w:val="1"/>
        </w:numPr>
      </w:pPr>
      <w:r>
        <w:t>p</w:t>
      </w:r>
      <w:r w:rsidR="008C7C91">
        <w:t>opulations l</w:t>
      </w:r>
      <w:r w:rsidR="00C75C8E">
        <w:t>iving in rural and remote areas</w:t>
      </w:r>
    </w:p>
    <w:p w:rsidR="008C7C91" w:rsidRDefault="006458E4" w:rsidP="00064AF5">
      <w:pPr>
        <w:pStyle w:val="ListParagraph"/>
        <w:numPr>
          <w:ilvl w:val="0"/>
          <w:numId w:val="1"/>
        </w:numPr>
      </w:pPr>
      <w:r>
        <w:t>s</w:t>
      </w:r>
      <w:r w:rsidR="008C7C91">
        <w:t xml:space="preserve">ome </w:t>
      </w:r>
      <w:r w:rsidR="000E5592">
        <w:t>CaLD</w:t>
      </w:r>
      <w:r w:rsidR="00064AF5">
        <w:t xml:space="preserve"> populations; particularly new arrivals</w:t>
      </w:r>
    </w:p>
    <w:p w:rsidR="00777FB8" w:rsidRDefault="00844063" w:rsidP="00844063">
      <w:pPr>
        <w:tabs>
          <w:tab w:val="left" w:pos="3192"/>
        </w:tabs>
        <w:rPr>
          <w:rFonts w:eastAsia="Arial"/>
          <w:color w:val="1F497D" w:themeColor="text2"/>
          <w:sz w:val="36"/>
          <w:szCs w:val="36"/>
        </w:rPr>
      </w:pPr>
      <w:r>
        <w:rPr>
          <w:rFonts w:eastAsia="Arial"/>
          <w:color w:val="1F497D" w:themeColor="text2"/>
          <w:sz w:val="36"/>
          <w:szCs w:val="36"/>
        </w:rPr>
        <w:tab/>
      </w:r>
    </w:p>
    <w:p w:rsidR="00B67327" w:rsidRDefault="00B67327">
      <w:pPr>
        <w:widowControl/>
        <w:spacing w:after="200" w:line="276" w:lineRule="auto"/>
        <w:rPr>
          <w:rFonts w:eastAsia="Arial" w:cstheme="majorBidi"/>
          <w:b/>
          <w:color w:val="31849B" w:themeColor="accent5" w:themeShade="BF"/>
          <w:sz w:val="32"/>
          <w:szCs w:val="32"/>
        </w:rPr>
      </w:pPr>
      <w:r>
        <w:rPr>
          <w:rFonts w:eastAsia="Arial"/>
        </w:rPr>
        <w:br w:type="page"/>
      </w:r>
    </w:p>
    <w:p w:rsidR="001B5944" w:rsidRPr="008C7C91" w:rsidRDefault="00DF78E2" w:rsidP="00DF78E2">
      <w:pPr>
        <w:pStyle w:val="Heading2"/>
        <w:rPr>
          <w:rFonts w:eastAsia="Arial"/>
        </w:rPr>
      </w:pPr>
      <w:bookmarkStart w:id="15" w:name="_Toc462049315"/>
      <w:r>
        <w:rPr>
          <w:rFonts w:eastAsia="Arial"/>
        </w:rPr>
        <w:lastRenderedPageBreak/>
        <w:t xml:space="preserve">3.4  </w:t>
      </w:r>
      <w:r w:rsidR="003A78CF">
        <w:rPr>
          <w:rFonts w:eastAsia="Arial"/>
        </w:rPr>
        <w:t>G</w:t>
      </w:r>
      <w:r w:rsidR="008C7C91" w:rsidRPr="008C7C91">
        <w:rPr>
          <w:rFonts w:eastAsia="Arial"/>
        </w:rPr>
        <w:t>uiding principles</w:t>
      </w:r>
      <w:bookmarkEnd w:id="15"/>
      <w:r w:rsidR="008C7C91" w:rsidRPr="008C7C91">
        <w:rPr>
          <w:rFonts w:eastAsia="Arial"/>
        </w:rPr>
        <w:t xml:space="preserve"> </w:t>
      </w:r>
    </w:p>
    <w:p w:rsidR="008C7C91" w:rsidRDefault="008C7C91" w:rsidP="00823AA2"/>
    <w:p w:rsidR="00744942" w:rsidRPr="00707118" w:rsidRDefault="0041340D" w:rsidP="00823AA2">
      <w:r>
        <w:t>F</w:t>
      </w:r>
      <w:r w:rsidR="00643A00">
        <w:t xml:space="preserve">our </w:t>
      </w:r>
      <w:r w:rsidR="00744942" w:rsidRPr="00707118">
        <w:t xml:space="preserve">principles underpin the </w:t>
      </w:r>
      <w:r w:rsidR="004A3CA8">
        <w:t xml:space="preserve">approaches taken to </w:t>
      </w:r>
      <w:r w:rsidR="006922DF">
        <w:t xml:space="preserve">health promotion </w:t>
      </w:r>
      <w:r w:rsidR="008C7C91">
        <w:t>in t</w:t>
      </w:r>
      <w:r w:rsidR="00E55A8D">
        <w:t xml:space="preserve">he </w:t>
      </w:r>
      <w:r w:rsidR="000B541D">
        <w:t>WA HPSF</w:t>
      </w:r>
      <w:r w:rsidR="008C7C91">
        <w:t>:</w:t>
      </w:r>
      <w:r w:rsidR="00744942" w:rsidRPr="00707118">
        <w:t xml:space="preserve"> </w:t>
      </w:r>
    </w:p>
    <w:p w:rsidR="00744942" w:rsidRDefault="00744942" w:rsidP="00823AA2"/>
    <w:p w:rsidR="001B5944" w:rsidRDefault="006458E4" w:rsidP="0085383A">
      <w:pPr>
        <w:pStyle w:val="ListParagraph"/>
        <w:numPr>
          <w:ilvl w:val="0"/>
          <w:numId w:val="38"/>
        </w:numPr>
        <w:ind w:left="426" w:hanging="371"/>
      </w:pPr>
      <w:r>
        <w:t>a</w:t>
      </w:r>
      <w:r w:rsidR="008A6B50">
        <w:t>dopting a</w:t>
      </w:r>
      <w:r w:rsidR="00BC23F4">
        <w:t xml:space="preserve"> </w:t>
      </w:r>
      <w:r w:rsidR="00374FC5">
        <w:t xml:space="preserve">comprehensive </w:t>
      </w:r>
      <w:r w:rsidR="008A6B50">
        <w:t>whole</w:t>
      </w:r>
      <w:r w:rsidR="00695709">
        <w:t>-</w:t>
      </w:r>
      <w:r w:rsidR="008A6B50">
        <w:t>of</w:t>
      </w:r>
      <w:r w:rsidR="00695709">
        <w:t>-</w:t>
      </w:r>
      <w:r w:rsidR="008A6B50">
        <w:t>population approach</w:t>
      </w:r>
    </w:p>
    <w:p w:rsidR="001B5944" w:rsidRDefault="006458E4" w:rsidP="0085383A">
      <w:pPr>
        <w:pStyle w:val="ListParagraph"/>
        <w:numPr>
          <w:ilvl w:val="0"/>
          <w:numId w:val="38"/>
        </w:numPr>
        <w:ind w:left="426" w:hanging="371"/>
      </w:pPr>
      <w:r>
        <w:t>w</w:t>
      </w:r>
      <w:r w:rsidR="001B5944">
        <w:t>orking in partnership</w:t>
      </w:r>
      <w:r w:rsidR="00BC23F4">
        <w:t xml:space="preserve"> </w:t>
      </w:r>
      <w:r w:rsidR="00414FBD">
        <w:t>and building capacity</w:t>
      </w:r>
    </w:p>
    <w:p w:rsidR="006A43A5" w:rsidRDefault="006458E4" w:rsidP="0085383A">
      <w:pPr>
        <w:pStyle w:val="ListParagraph"/>
        <w:numPr>
          <w:ilvl w:val="0"/>
          <w:numId w:val="38"/>
        </w:numPr>
        <w:ind w:left="426" w:hanging="371"/>
      </w:pPr>
      <w:r>
        <w:t>i</w:t>
      </w:r>
      <w:r w:rsidR="006A43A5">
        <w:t xml:space="preserve">ntervening early and </w:t>
      </w:r>
      <w:r w:rsidR="00643A00">
        <w:t>throughout life</w:t>
      </w:r>
    </w:p>
    <w:p w:rsidR="00643A00" w:rsidRDefault="006458E4" w:rsidP="0085383A">
      <w:pPr>
        <w:pStyle w:val="ListParagraph"/>
        <w:numPr>
          <w:ilvl w:val="0"/>
          <w:numId w:val="38"/>
        </w:numPr>
        <w:ind w:left="426" w:hanging="371"/>
      </w:pPr>
      <w:r>
        <w:t>p</w:t>
      </w:r>
      <w:r w:rsidR="00414FBD">
        <w:t>romoting equity and inclusivity</w:t>
      </w:r>
    </w:p>
    <w:p w:rsidR="006A43A5" w:rsidRDefault="006A43A5" w:rsidP="006A43A5">
      <w:pPr>
        <w:pStyle w:val="ListParagraph"/>
      </w:pPr>
    </w:p>
    <w:p w:rsidR="0041532A" w:rsidRPr="002E1B91" w:rsidRDefault="009D2857" w:rsidP="0041532A">
      <w:r>
        <w:t>T</w:t>
      </w:r>
      <w:r w:rsidR="0041532A">
        <w:t>hese p</w:t>
      </w:r>
      <w:r w:rsidR="00B544ED">
        <w:t>rinciples</w:t>
      </w:r>
      <w:r>
        <w:t xml:space="preserve"> are supported by</w:t>
      </w:r>
      <w:r w:rsidR="00B544ED">
        <w:t xml:space="preserve"> a commitment to </w:t>
      </w:r>
      <w:r w:rsidR="0041532A">
        <w:t>evidence</w:t>
      </w:r>
      <w:r>
        <w:t>-</w:t>
      </w:r>
      <w:r w:rsidR="0041532A">
        <w:t xml:space="preserve">based </w:t>
      </w:r>
      <w:r w:rsidR="007004D5">
        <w:t xml:space="preserve">health promotion </w:t>
      </w:r>
      <w:r w:rsidR="0041532A">
        <w:t>practice</w:t>
      </w:r>
      <w:r w:rsidR="00B544ED">
        <w:t xml:space="preserve">. </w:t>
      </w:r>
      <w:r w:rsidR="0041532A" w:rsidRPr="002E1B91">
        <w:t xml:space="preserve">Where there is a lack of evidence for successful interventions, initiatives </w:t>
      </w:r>
      <w:r w:rsidR="0041532A">
        <w:t>will be informed by a sou</w:t>
      </w:r>
      <w:r w:rsidR="0041532A" w:rsidRPr="002E1B91">
        <w:t>nd theoretic</w:t>
      </w:r>
      <w:r w:rsidR="0041532A" w:rsidRPr="0037548C">
        <w:t xml:space="preserve">al basis </w:t>
      </w:r>
      <w:r w:rsidR="0041532A">
        <w:t>and</w:t>
      </w:r>
      <w:r w:rsidR="0041532A" w:rsidRPr="0037548C">
        <w:t xml:space="preserve"> expert </w:t>
      </w:r>
      <w:r w:rsidR="0041532A">
        <w:t xml:space="preserve">advice </w:t>
      </w:r>
      <w:r w:rsidR="0041532A" w:rsidRPr="0037548C">
        <w:t xml:space="preserve">while the evidence base is </w:t>
      </w:r>
      <w:r w:rsidR="0041532A">
        <w:t>being developed</w:t>
      </w:r>
      <w:r w:rsidR="0041532A" w:rsidRPr="002E1B91">
        <w:t>.</w:t>
      </w:r>
    </w:p>
    <w:p w:rsidR="00B544ED" w:rsidRDefault="00B544ED" w:rsidP="00B544ED"/>
    <w:p w:rsidR="00BC23F4" w:rsidRPr="007E6016" w:rsidRDefault="006A43A5" w:rsidP="006A43A5">
      <w:pPr>
        <w:rPr>
          <w:rFonts w:eastAsia="Arial"/>
          <w:color w:val="808080" w:themeColor="background1" w:themeShade="80"/>
          <w:sz w:val="28"/>
          <w:szCs w:val="28"/>
        </w:rPr>
      </w:pPr>
      <w:r w:rsidRPr="007E6016">
        <w:rPr>
          <w:rFonts w:eastAsia="Arial"/>
          <w:color w:val="808080" w:themeColor="background1" w:themeShade="80"/>
          <w:sz w:val="28"/>
          <w:szCs w:val="28"/>
        </w:rPr>
        <w:t xml:space="preserve">Principle 1: </w:t>
      </w:r>
      <w:r w:rsidR="005B6B69" w:rsidRPr="007E6016">
        <w:rPr>
          <w:rFonts w:eastAsia="Arial"/>
          <w:color w:val="808080" w:themeColor="background1" w:themeShade="80"/>
          <w:sz w:val="28"/>
          <w:szCs w:val="28"/>
        </w:rPr>
        <w:t xml:space="preserve"> </w:t>
      </w:r>
      <w:r w:rsidR="00231413" w:rsidRPr="007E6016">
        <w:rPr>
          <w:rFonts w:eastAsia="Arial"/>
          <w:color w:val="808080" w:themeColor="background1" w:themeShade="80"/>
          <w:sz w:val="28"/>
          <w:szCs w:val="28"/>
        </w:rPr>
        <w:t>Adopti</w:t>
      </w:r>
      <w:r w:rsidRPr="007E6016">
        <w:rPr>
          <w:rFonts w:eastAsia="Arial"/>
          <w:color w:val="808080" w:themeColor="background1" w:themeShade="80"/>
          <w:sz w:val="28"/>
          <w:szCs w:val="28"/>
        </w:rPr>
        <w:t xml:space="preserve">ng a </w:t>
      </w:r>
      <w:r w:rsidR="005B6B69" w:rsidRPr="007E6016">
        <w:rPr>
          <w:rFonts w:eastAsia="Arial"/>
          <w:color w:val="808080" w:themeColor="background1" w:themeShade="80"/>
          <w:sz w:val="28"/>
          <w:szCs w:val="28"/>
        </w:rPr>
        <w:t xml:space="preserve">comprehensive, </w:t>
      </w:r>
      <w:r w:rsidR="00231413" w:rsidRPr="007E6016">
        <w:rPr>
          <w:rFonts w:eastAsia="Arial"/>
          <w:color w:val="808080" w:themeColor="background1" w:themeShade="80"/>
          <w:sz w:val="28"/>
          <w:szCs w:val="28"/>
        </w:rPr>
        <w:t>whole</w:t>
      </w:r>
      <w:r w:rsidR="00D65894" w:rsidRPr="007E6016">
        <w:rPr>
          <w:rFonts w:eastAsia="Arial"/>
          <w:color w:val="808080" w:themeColor="background1" w:themeShade="80"/>
          <w:sz w:val="28"/>
          <w:szCs w:val="28"/>
        </w:rPr>
        <w:t>-</w:t>
      </w:r>
      <w:r w:rsidR="00231413" w:rsidRPr="007E6016">
        <w:rPr>
          <w:rFonts w:eastAsia="Arial"/>
          <w:color w:val="808080" w:themeColor="background1" w:themeShade="80"/>
          <w:sz w:val="28"/>
          <w:szCs w:val="28"/>
        </w:rPr>
        <w:t>of</w:t>
      </w:r>
      <w:r w:rsidR="00D65894" w:rsidRPr="007E6016">
        <w:rPr>
          <w:rFonts w:eastAsia="Arial"/>
          <w:color w:val="808080" w:themeColor="background1" w:themeShade="80"/>
          <w:sz w:val="28"/>
          <w:szCs w:val="28"/>
        </w:rPr>
        <w:t>-</w:t>
      </w:r>
      <w:r w:rsidR="00231413" w:rsidRPr="007E6016">
        <w:rPr>
          <w:rFonts w:eastAsia="Arial"/>
          <w:color w:val="808080" w:themeColor="background1" w:themeShade="80"/>
          <w:sz w:val="28"/>
          <w:szCs w:val="28"/>
        </w:rPr>
        <w:t>population approach</w:t>
      </w:r>
    </w:p>
    <w:p w:rsidR="00EC2B9D" w:rsidRDefault="00EC2B9D" w:rsidP="00823AA2"/>
    <w:p w:rsidR="00374FC5" w:rsidRPr="00707118" w:rsidRDefault="00BC23F4" w:rsidP="00374FC5">
      <w:r>
        <w:t>Complex problems require a comprehensive, long</w:t>
      </w:r>
      <w:r w:rsidR="009643DE">
        <w:t>-</w:t>
      </w:r>
      <w:r>
        <w:t xml:space="preserve">term set of solutions. </w:t>
      </w:r>
      <w:r w:rsidR="009472C2">
        <w:t xml:space="preserve">Influencing </w:t>
      </w:r>
      <w:r w:rsidR="003927D1">
        <w:t>issues and behaviours</w:t>
      </w:r>
      <w:r w:rsidR="00497A19">
        <w:t xml:space="preserve"> s</w:t>
      </w:r>
      <w:r w:rsidR="00374FC5" w:rsidRPr="00707118">
        <w:t xml:space="preserve">uch as obesity, </w:t>
      </w:r>
      <w:r w:rsidR="0063385F">
        <w:t>poor eating patterns</w:t>
      </w:r>
      <w:r w:rsidR="00374FC5" w:rsidRPr="00707118">
        <w:t xml:space="preserve"> and insufficient physical activity cannot occur through single interventions. Experience </w:t>
      </w:r>
      <w:r w:rsidR="008400BE">
        <w:t xml:space="preserve">demonstrates </w:t>
      </w:r>
      <w:r w:rsidR="00374FC5" w:rsidRPr="00707118">
        <w:t>that prevention activities work best with a combination of universal and targeted approaches, and with multiple strategies and interventions</w:t>
      </w:r>
      <w:r w:rsidR="001A2563">
        <w:t xml:space="preserve"> addressing the many factors which influence behaviour</w:t>
      </w:r>
      <w:r w:rsidR="00374FC5" w:rsidRPr="00707118">
        <w:t>.</w:t>
      </w:r>
      <w:r w:rsidR="008E4A1B">
        <w:fldChar w:fldCharType="begin"/>
      </w:r>
      <w:r w:rsidR="008E4A1B">
        <w:instrText xml:space="preserve"> ADDIN EN.CITE &lt;EndNote&gt;&lt;Cite&gt;&lt;Author&gt;Australian Institute of Health and Welfare&lt;/Author&gt;&lt;Year&gt;2014&lt;/Year&gt;&lt;RecNum&gt;4&lt;/RecNum&gt;&lt;DisplayText&gt;&lt;style face="superscript"&gt;1&lt;/style&gt;&lt;/DisplayText&gt;&lt;record&gt;&lt;rec-number&gt;4&lt;/rec-number&gt;&lt;foreign-keys&gt;&lt;key app="EN" db-id="zxa00wf2opvf9oeeset50xz7ezpfwre2v20z"&gt;4&lt;/key&gt;&lt;/foreign-keys&gt;&lt;ref-type name="Web Page"&gt;12&lt;/ref-type&gt;&lt;contributors&gt;&lt;authors&gt;&lt;author&gt;Australian Institute of Health and Welfare,&lt;/author&gt;&lt;/authors&gt;&lt;/contributors&gt;&lt;titles&gt;&lt;title&gt;Australia&amp;apos;s health 2014. Australia&amp;apos;s health series no. 12. Cat. no. AUS 178&lt;/title&gt;&lt;/titles&gt;&lt;dates&gt;&lt;year&gt;2014&lt;/year&gt;&lt;/dates&gt;&lt;pub-location&gt;Canberra&lt;/pub-location&gt;&lt;publisher&gt;Australian Institute of Health and Welfare&lt;/publisher&gt;&lt;urls&gt;&lt;related-urls&gt;&lt;url&gt;http://www.aihw.gov.au/WorkArea/DownloadAsset.aspx?id=60129548150&lt;/url&gt;&lt;/related-urls&gt;&lt;/urls&gt;&lt;/record&gt;&lt;/Cite&gt;&lt;/EndNote&gt;</w:instrText>
      </w:r>
      <w:r w:rsidR="008E4A1B">
        <w:fldChar w:fldCharType="separate"/>
      </w:r>
      <w:r w:rsidR="008E4A1B" w:rsidRPr="008E4A1B">
        <w:rPr>
          <w:noProof/>
          <w:vertAlign w:val="superscript"/>
        </w:rPr>
        <w:t>1</w:t>
      </w:r>
      <w:r w:rsidR="008E4A1B">
        <w:fldChar w:fldCharType="end"/>
      </w:r>
      <w:r w:rsidR="00374FC5" w:rsidRPr="00707118">
        <w:t xml:space="preserve"> </w:t>
      </w:r>
      <w:r w:rsidR="0065754B">
        <w:t xml:space="preserve">The </w:t>
      </w:r>
      <w:r w:rsidR="00C8630D">
        <w:t>domains</w:t>
      </w:r>
      <w:r w:rsidR="00472301">
        <w:t xml:space="preserve"> </w:t>
      </w:r>
      <w:r w:rsidR="00C8630D">
        <w:t>for action which combine to make a comprehensive approach are detailed later in this section.</w:t>
      </w:r>
    </w:p>
    <w:p w:rsidR="00374FC5" w:rsidRDefault="00374FC5" w:rsidP="00823AA2"/>
    <w:p w:rsidR="00374FC5" w:rsidRDefault="00EC6C28" w:rsidP="00823AA2">
      <w:r>
        <w:t>Implementing a population-</w:t>
      </w:r>
      <w:r w:rsidR="00374FC5">
        <w:t xml:space="preserve">wide approach is integral to achieving </w:t>
      </w:r>
      <w:r w:rsidR="00F41FFD">
        <w:t>the g</w:t>
      </w:r>
      <w:r w:rsidR="00374FC5">
        <w:t xml:space="preserve">oal </w:t>
      </w:r>
      <w:r w:rsidR="00387E2F">
        <w:t xml:space="preserve">of </w:t>
      </w:r>
      <w:r w:rsidR="007D59EE">
        <w:t>lowering</w:t>
      </w:r>
      <w:r w:rsidR="00387E2F">
        <w:t xml:space="preserve"> the incidence of </w:t>
      </w:r>
      <w:r w:rsidR="007D59EE">
        <w:t xml:space="preserve">avoidable </w:t>
      </w:r>
      <w:r w:rsidR="00387E2F">
        <w:t>chron</w:t>
      </w:r>
      <w:r w:rsidR="00374FC5">
        <w:t xml:space="preserve">ic disease and injury in </w:t>
      </w:r>
      <w:r w:rsidR="00F364D0">
        <w:t>WA</w:t>
      </w:r>
      <w:r w:rsidR="00374FC5">
        <w:t xml:space="preserve">. </w:t>
      </w:r>
      <w:r w:rsidR="00374FC5">
        <w:rPr>
          <w:rFonts w:eastAsia="Arial"/>
        </w:rPr>
        <w:t xml:space="preserve">It is sound public health practice to place population-wide approaches at the centre of health promotion strategies for </w:t>
      </w:r>
      <w:r w:rsidR="006B15AF">
        <w:rPr>
          <w:rFonts w:eastAsia="Arial"/>
        </w:rPr>
        <w:t>preventing</w:t>
      </w:r>
      <w:r w:rsidR="00374FC5">
        <w:rPr>
          <w:rFonts w:eastAsia="Arial"/>
        </w:rPr>
        <w:t xml:space="preserve"> chronic disease and reducing injur</w:t>
      </w:r>
      <w:r w:rsidR="00374FC5">
        <w:rPr>
          <w:rFonts w:eastAsia="Arial"/>
          <w:spacing w:val="-18"/>
        </w:rPr>
        <w:t>y</w:t>
      </w:r>
      <w:r w:rsidR="00374FC5">
        <w:rPr>
          <w:rFonts w:eastAsia="Arial"/>
        </w:rPr>
        <w:t>.</w:t>
      </w:r>
      <w:r w:rsidR="0099210E">
        <w:rPr>
          <w:rFonts w:eastAsia="Arial"/>
          <w:spacing w:val="-13"/>
        </w:rPr>
        <w:t xml:space="preserve"> </w:t>
      </w:r>
      <w:r w:rsidR="00374FC5">
        <w:rPr>
          <w:rFonts w:eastAsia="Arial"/>
        </w:rPr>
        <w:t>A</w:t>
      </w:r>
      <w:r w:rsidR="00374FC5">
        <w:rPr>
          <w:rFonts w:eastAsia="Arial"/>
          <w:spacing w:val="-13"/>
        </w:rPr>
        <w:t xml:space="preserve"> </w:t>
      </w:r>
      <w:r w:rsidR="00374FC5">
        <w:rPr>
          <w:rFonts w:eastAsia="Arial"/>
        </w:rPr>
        <w:t xml:space="preserve">small shift in the average population levels of several risk factors can lead to a large </w:t>
      </w:r>
      <w:r w:rsidR="006B15AF">
        <w:rPr>
          <w:rFonts w:eastAsia="Arial"/>
        </w:rPr>
        <w:t xml:space="preserve">overall </w:t>
      </w:r>
      <w:r w:rsidR="00374FC5">
        <w:rPr>
          <w:rFonts w:eastAsia="Arial"/>
        </w:rPr>
        <w:t xml:space="preserve">reduction of the burden of chronic </w:t>
      </w:r>
      <w:r w:rsidR="00EC2B9D">
        <w:rPr>
          <w:rFonts w:eastAsia="Arial"/>
        </w:rPr>
        <w:t>disease.</w:t>
      </w:r>
      <w:r w:rsidR="008E4A1B">
        <w:rPr>
          <w:rFonts w:eastAsia="Arial"/>
        </w:rPr>
        <w:fldChar w:fldCharType="begin"/>
      </w:r>
      <w:r w:rsidR="00547316">
        <w:rPr>
          <w:rFonts w:eastAsia="Arial"/>
        </w:rPr>
        <w:instrText xml:space="preserve"> ADDIN EN.CITE &lt;EndNote&gt;&lt;Cite&gt;&lt;Author&gt;World Health Organization&lt;/Author&gt;&lt;Year&gt;2005&lt;/Year&gt;&lt;RecNum&gt;941&lt;/RecNum&gt;&lt;DisplayText&gt;&lt;style face="superscript"&gt;45&lt;/style&gt;&lt;/DisplayText&gt;&lt;record&gt;&lt;rec-number&gt;941&lt;/rec-number&gt;&lt;foreign-keys&gt;&lt;key app="EN" db-id="zxa00wf2opvf9oeeset50xz7ezpfwre2v20z"&gt;941&lt;/key&gt;&lt;/foreign-keys&gt;&lt;ref-type name="Report"&gt;27&lt;/ref-type&gt;&lt;contributors&gt;&lt;authors&gt;&lt;author&gt;World Health Organization,&lt;/author&gt;&lt;/authors&gt;&lt;/contributors&gt;&lt;titles&gt;&lt;title&gt;Preventing chronic diseases.  A vital investment.  WHO global report&lt;/title&gt;&lt;/titles&gt;&lt;dates&gt;&lt;year&gt;2005&lt;/year&gt;&lt;/dates&gt;&lt;pub-location&gt;Geneva&lt;/pub-location&gt;&lt;publisher&gt;World Health Organization&lt;/publisher&gt;&lt;urls&gt;&lt;related-urls&gt;&lt;url&gt;http://www.who.int/chp/chronic_disease_report/contents/en/index.html&lt;/url&gt;&lt;/related-urls&gt;&lt;/urls&gt;&lt;/record&gt;&lt;/Cite&gt;&lt;/EndNote&gt;</w:instrText>
      </w:r>
      <w:r w:rsidR="008E4A1B">
        <w:rPr>
          <w:rFonts w:eastAsia="Arial"/>
        </w:rPr>
        <w:fldChar w:fldCharType="separate"/>
      </w:r>
      <w:r w:rsidR="00547316" w:rsidRPr="00547316">
        <w:rPr>
          <w:rFonts w:eastAsia="Arial"/>
          <w:noProof/>
          <w:vertAlign w:val="superscript"/>
        </w:rPr>
        <w:t>45</w:t>
      </w:r>
      <w:r w:rsidR="008E4A1B">
        <w:rPr>
          <w:rFonts w:eastAsia="Arial"/>
        </w:rPr>
        <w:fldChar w:fldCharType="end"/>
      </w:r>
    </w:p>
    <w:p w:rsidR="00374FC5" w:rsidRDefault="00374FC5" w:rsidP="00823AA2"/>
    <w:p w:rsidR="007C24B7" w:rsidRDefault="008D24E8" w:rsidP="00823AA2">
      <w:r>
        <w:t>The</w:t>
      </w:r>
      <w:r w:rsidR="00E55A8D">
        <w:t xml:space="preserve"> </w:t>
      </w:r>
      <w:r w:rsidR="000B541D">
        <w:t>WA HPSF</w:t>
      </w:r>
      <w:r>
        <w:t xml:space="preserve"> promotes a</w:t>
      </w:r>
      <w:r w:rsidR="00374FC5">
        <w:t xml:space="preserve"> whole</w:t>
      </w:r>
      <w:r w:rsidR="00F364D0">
        <w:t>-</w:t>
      </w:r>
      <w:r w:rsidR="00374FC5">
        <w:t>of</w:t>
      </w:r>
      <w:r w:rsidR="00F364D0">
        <w:t>-</w:t>
      </w:r>
      <w:r w:rsidR="00374FC5">
        <w:t>population approach</w:t>
      </w:r>
      <w:r>
        <w:t xml:space="preserve"> that is</w:t>
      </w:r>
      <w:r w:rsidR="00374FC5">
        <w:t xml:space="preserve"> complemented by </w:t>
      </w:r>
      <w:r w:rsidR="00FC3834">
        <w:t>strategies directed to</w:t>
      </w:r>
      <w:r w:rsidR="007004D5">
        <w:t xml:space="preserve"> groups that have a</w:t>
      </w:r>
      <w:r w:rsidR="006A43A5" w:rsidRPr="00F63BAA">
        <w:t xml:space="preserve"> greater risk of developing chronic disease and</w:t>
      </w:r>
      <w:r w:rsidR="006D5882">
        <w:t xml:space="preserve"> experiencing</w:t>
      </w:r>
      <w:r w:rsidR="006A43A5" w:rsidRPr="00F63BAA">
        <w:t xml:space="preserve"> injur</w:t>
      </w:r>
      <w:r w:rsidR="006A43A5" w:rsidRPr="00F63BAA">
        <w:rPr>
          <w:spacing w:val="-18"/>
        </w:rPr>
        <w:t>y</w:t>
      </w:r>
      <w:r w:rsidR="006A43A5" w:rsidRPr="00F63BAA">
        <w:t>, due to their age or circumstances</w:t>
      </w:r>
      <w:r w:rsidR="00D83CB7">
        <w:t>.</w:t>
      </w:r>
    </w:p>
    <w:p w:rsidR="000E13B5" w:rsidRDefault="000E13B5" w:rsidP="006922DF">
      <w:pPr>
        <w:rPr>
          <w:rFonts w:eastAsia="Arial"/>
          <w:color w:val="1F497D" w:themeColor="text2"/>
          <w:sz w:val="28"/>
          <w:szCs w:val="28"/>
        </w:rPr>
      </w:pPr>
    </w:p>
    <w:p w:rsidR="00EF5E8F" w:rsidRPr="007E6016" w:rsidRDefault="000E35A5" w:rsidP="00711C02">
      <w:pPr>
        <w:jc w:val="both"/>
        <w:rPr>
          <w:color w:val="808080" w:themeColor="background1" w:themeShade="80"/>
        </w:rPr>
      </w:pPr>
      <w:r w:rsidRPr="007E6016">
        <w:rPr>
          <w:rFonts w:eastAsia="Arial"/>
          <w:color w:val="808080" w:themeColor="background1" w:themeShade="80"/>
          <w:sz w:val="28"/>
          <w:szCs w:val="28"/>
        </w:rPr>
        <w:t>Principle 2</w:t>
      </w:r>
      <w:r w:rsidR="005B6B69" w:rsidRPr="007E6016">
        <w:rPr>
          <w:rFonts w:eastAsia="Arial"/>
          <w:color w:val="808080" w:themeColor="background1" w:themeShade="80"/>
          <w:sz w:val="28"/>
          <w:szCs w:val="28"/>
        </w:rPr>
        <w:t xml:space="preserve">: </w:t>
      </w:r>
      <w:r w:rsidRPr="007E6016">
        <w:rPr>
          <w:rFonts w:eastAsia="Arial"/>
          <w:color w:val="808080" w:themeColor="background1" w:themeShade="80"/>
          <w:sz w:val="28"/>
          <w:szCs w:val="28"/>
        </w:rPr>
        <w:t xml:space="preserve"> </w:t>
      </w:r>
      <w:r w:rsidR="005B6B69" w:rsidRPr="007E6016">
        <w:rPr>
          <w:rFonts w:eastAsia="Arial"/>
          <w:color w:val="808080" w:themeColor="background1" w:themeShade="80"/>
          <w:sz w:val="28"/>
          <w:szCs w:val="28"/>
        </w:rPr>
        <w:t xml:space="preserve">Working in partnership </w:t>
      </w:r>
      <w:r w:rsidR="006922DF" w:rsidRPr="007E6016">
        <w:rPr>
          <w:rFonts w:eastAsia="Arial"/>
          <w:color w:val="808080" w:themeColor="background1" w:themeShade="80"/>
          <w:sz w:val="28"/>
          <w:szCs w:val="28"/>
        </w:rPr>
        <w:t>and building capacity</w:t>
      </w:r>
    </w:p>
    <w:p w:rsidR="00AB58B5" w:rsidRDefault="00AB58B5" w:rsidP="00AB58B5">
      <w:pPr>
        <w:rPr>
          <w:rFonts w:eastAsiaTheme="majorEastAsia"/>
        </w:rPr>
      </w:pPr>
    </w:p>
    <w:p w:rsidR="00554A41" w:rsidRDefault="00744942" w:rsidP="00554A41">
      <w:r w:rsidRPr="00707118">
        <w:t>Providing</w:t>
      </w:r>
      <w:r w:rsidR="00554A41">
        <w:t xml:space="preserve"> </w:t>
      </w:r>
      <w:r w:rsidR="00554A41" w:rsidRPr="00707118">
        <w:t xml:space="preserve">effective public health responses to </w:t>
      </w:r>
      <w:r w:rsidR="006F19FC">
        <w:t>chronic disease and injury prevention</w:t>
      </w:r>
      <w:r w:rsidR="00554A41" w:rsidRPr="00707118">
        <w:t xml:space="preserve"> requires strong partnerships within and between </w:t>
      </w:r>
      <w:r w:rsidR="009472C2">
        <w:t xml:space="preserve">Commonwealth, </w:t>
      </w:r>
      <w:r w:rsidR="001253B8">
        <w:t>State and Local G</w:t>
      </w:r>
      <w:r w:rsidR="00554A41" w:rsidRPr="00707118">
        <w:t>overnment</w:t>
      </w:r>
      <w:r w:rsidR="009472C2">
        <w:t xml:space="preserve">s, as well as </w:t>
      </w:r>
      <w:r w:rsidR="00554A41" w:rsidRPr="00707118">
        <w:t xml:space="preserve">the non-government </w:t>
      </w:r>
      <w:r w:rsidR="009472C2" w:rsidRPr="00707118">
        <w:t>sector</w:t>
      </w:r>
      <w:r w:rsidR="009472C2">
        <w:t xml:space="preserve"> and</w:t>
      </w:r>
      <w:r w:rsidR="00554A41">
        <w:t xml:space="preserve"> groups such as industry</w:t>
      </w:r>
      <w:r w:rsidR="00C62B63">
        <w:t xml:space="preserve"> and</w:t>
      </w:r>
      <w:r w:rsidR="00554A41">
        <w:t xml:space="preserve"> research organisations</w:t>
      </w:r>
      <w:r w:rsidR="00C62B63">
        <w:t xml:space="preserve">. </w:t>
      </w:r>
      <w:r w:rsidR="008A348D">
        <w:t xml:space="preserve">To maximise effectiveness, it </w:t>
      </w:r>
      <w:r w:rsidR="00C62B63">
        <w:t>is of critical importance to identify</w:t>
      </w:r>
      <w:r w:rsidR="00003ED4">
        <w:t xml:space="preserve"> shared </w:t>
      </w:r>
      <w:r w:rsidR="00691EBF">
        <w:t>goals and</w:t>
      </w:r>
      <w:r w:rsidR="00554A41" w:rsidRPr="00707118">
        <w:t xml:space="preserve"> </w:t>
      </w:r>
      <w:r w:rsidR="008A348D">
        <w:t>form p</w:t>
      </w:r>
      <w:r w:rsidR="00554A41" w:rsidRPr="00707118">
        <w:t xml:space="preserve">artnerships </w:t>
      </w:r>
      <w:r w:rsidR="008A348D">
        <w:t xml:space="preserve">to </w:t>
      </w:r>
      <w:r w:rsidR="003921D4">
        <w:t>amplify</w:t>
      </w:r>
      <w:r w:rsidR="001B336C">
        <w:t xml:space="preserve"> the impact of</w:t>
      </w:r>
      <w:r w:rsidR="003921D4">
        <w:t xml:space="preserve"> </w:t>
      </w:r>
      <w:r w:rsidR="00554A41" w:rsidRPr="00707118">
        <w:t>expertise, skills and resources</w:t>
      </w:r>
      <w:r w:rsidR="00554A41">
        <w:t>.</w:t>
      </w:r>
      <w:r w:rsidR="003921D4">
        <w:t xml:space="preserve"> The WA HPSF supports</w:t>
      </w:r>
      <w:r w:rsidR="00554A41" w:rsidRPr="00707118">
        <w:t xml:space="preserve"> </w:t>
      </w:r>
      <w:r w:rsidR="003921D4">
        <w:t xml:space="preserve">the </w:t>
      </w:r>
      <w:r w:rsidR="00554A41" w:rsidRPr="00707118">
        <w:t xml:space="preserve">strengthening </w:t>
      </w:r>
      <w:r w:rsidR="003921D4">
        <w:t xml:space="preserve">of </w:t>
      </w:r>
      <w:r w:rsidR="00554A41" w:rsidRPr="00707118">
        <w:t xml:space="preserve">existing partnerships and exploring </w:t>
      </w:r>
      <w:r w:rsidR="00554A41">
        <w:t>opportunities to develop</w:t>
      </w:r>
      <w:r w:rsidR="0013798A">
        <w:t xml:space="preserve"> </w:t>
      </w:r>
      <w:r w:rsidR="00554A41" w:rsidRPr="00707118">
        <w:t>new partnerships</w:t>
      </w:r>
      <w:r w:rsidR="0063385F">
        <w:t>, and p</w:t>
      </w:r>
      <w:r w:rsidR="0013798A">
        <w:t>rovides a common agenda</w:t>
      </w:r>
      <w:r w:rsidR="002C1D4D">
        <w:t xml:space="preserve"> to guide </w:t>
      </w:r>
      <w:r w:rsidR="0063385F">
        <w:t>planning</w:t>
      </w:r>
      <w:r w:rsidR="00CC64DF">
        <w:t xml:space="preserve"> and collaboration.</w:t>
      </w:r>
    </w:p>
    <w:p w:rsidR="00554A41" w:rsidRDefault="00554A41" w:rsidP="00554A41"/>
    <w:p w:rsidR="002040D0" w:rsidRDefault="002040D0" w:rsidP="002040D0">
      <w:r>
        <w:t>To ensure that interventions are effectively implemented and able to be sustained over time, a capacity</w:t>
      </w:r>
      <w:r w:rsidR="00AF74CD">
        <w:t>-</w:t>
      </w:r>
      <w:r>
        <w:t xml:space="preserve">building approach is adopted throughout </w:t>
      </w:r>
      <w:r w:rsidR="00E55A8D">
        <w:t xml:space="preserve">the </w:t>
      </w:r>
      <w:r w:rsidR="000B541D">
        <w:t>WA HPSF</w:t>
      </w:r>
      <w:r>
        <w:t>.</w:t>
      </w:r>
    </w:p>
    <w:p w:rsidR="0022010C" w:rsidRDefault="0022010C" w:rsidP="002040D0"/>
    <w:p w:rsidR="00A83FD3" w:rsidRDefault="000E13B5" w:rsidP="000E13B5">
      <w:pPr>
        <w:spacing w:before="56"/>
        <w:rPr>
          <w:rFonts w:eastAsia="Arial"/>
        </w:rPr>
      </w:pPr>
      <w:r>
        <w:rPr>
          <w:rFonts w:eastAsia="Arial"/>
        </w:rPr>
        <w:lastRenderedPageBreak/>
        <w:t>In the context of health promotion, capacity building is the process of developing</w:t>
      </w:r>
      <w:r w:rsidR="00095DFA">
        <w:rPr>
          <w:rFonts w:eastAsia="Arial"/>
        </w:rPr>
        <w:t xml:space="preserve"> </w:t>
      </w:r>
      <w:r w:rsidRPr="000B3BD5">
        <w:rPr>
          <w:rFonts w:eastAsia="Arial"/>
          <w:i/>
        </w:rPr>
        <w:t>sustainable skills, organisational structures, resources and commitment to health improvement in health and other sectors, to prolong and multiply health gains many times ove</w:t>
      </w:r>
      <w:r w:rsidRPr="000B3BD5">
        <w:rPr>
          <w:rFonts w:eastAsia="Arial"/>
          <w:i/>
          <w:spacing w:val="-13"/>
        </w:rPr>
        <w:t>r</w:t>
      </w:r>
      <w:r>
        <w:rPr>
          <w:rFonts w:eastAsia="Arial"/>
        </w:rPr>
        <w:t>.</w:t>
      </w:r>
      <w:r w:rsidR="008E4A1B">
        <w:rPr>
          <w:rFonts w:eastAsia="Arial"/>
        </w:rPr>
        <w:fldChar w:fldCharType="begin"/>
      </w:r>
      <w:r w:rsidR="00547316">
        <w:rPr>
          <w:rFonts w:eastAsia="Arial"/>
        </w:rPr>
        <w:instrText xml:space="preserve"> ADDIN EN.CITE &lt;EndNote&gt;&lt;Cite&gt;&lt;Author&gt;Hawe&lt;/Author&gt;&lt;Year&gt;1997&lt;/Year&gt;&lt;RecNum&gt;508&lt;/RecNum&gt;&lt;DisplayText&gt;&lt;style face="superscript"&gt;46&lt;/style&gt;&lt;/DisplayText&gt;&lt;record&gt;&lt;rec-number&gt;508&lt;/rec-number&gt;&lt;foreign-keys&gt;&lt;key app="EN" db-id="zxa00wf2opvf9oeeset50xz7ezpfwre2v20z"&gt;508&lt;/key&gt;&lt;/foreign-keys&gt;&lt;ref-type name="Journal Article"&gt;17&lt;/ref-type&gt;&lt;contributors&gt;&lt;authors&gt;&lt;author&gt;Hawe, Penelope&lt;/author&gt;&lt;author&gt;Noort, Michelle&lt;/author&gt;&lt;author&gt;King, Lesley&lt;/author&gt;&lt;author&gt;Jordens, Christopher&lt;/author&gt;&lt;/authors&gt;&lt;/contributors&gt;&lt;titles&gt;&lt;title&gt;Multiplying health gains: the critical role of capacity-building within health promotion programs&lt;/title&gt;&lt;secondary-title&gt;Health Policy&lt;/secondary-title&gt;&lt;/titles&gt;&lt;pages&gt;29-42&lt;/pages&gt;&lt;volume&gt;39&lt;/volume&gt;&lt;number&gt;1&lt;/number&gt;&lt;dates&gt;&lt;year&gt;1997&lt;/year&gt;&lt;/dates&gt;&lt;urls&gt;&lt;related-urls&gt;&lt;url&gt;http://dx.doi.org/10.1016/s0168-8510(96)00847-0&lt;/url&gt;&lt;/related-urls&gt;&lt;/urls&gt;&lt;/record&gt;&lt;/Cite&gt;&lt;/EndNote&gt;</w:instrText>
      </w:r>
      <w:r w:rsidR="008E4A1B">
        <w:rPr>
          <w:rFonts w:eastAsia="Arial"/>
        </w:rPr>
        <w:fldChar w:fldCharType="separate"/>
      </w:r>
      <w:r w:rsidR="00547316" w:rsidRPr="00547316">
        <w:rPr>
          <w:rFonts w:eastAsia="Arial"/>
          <w:noProof/>
          <w:vertAlign w:val="superscript"/>
        </w:rPr>
        <w:t>46</w:t>
      </w:r>
      <w:r w:rsidR="008E4A1B">
        <w:rPr>
          <w:rFonts w:eastAsia="Arial"/>
        </w:rPr>
        <w:fldChar w:fldCharType="end"/>
      </w:r>
    </w:p>
    <w:p w:rsidR="000D0CF7" w:rsidRDefault="000D0CF7" w:rsidP="000D0CF7">
      <w:pPr>
        <w:rPr>
          <w:rFonts w:eastAsia="Arial"/>
        </w:rPr>
      </w:pPr>
    </w:p>
    <w:p w:rsidR="000E13B5" w:rsidRDefault="000E13B5" w:rsidP="000D0CF7">
      <w:pPr>
        <w:rPr>
          <w:rFonts w:eastAsia="Arial"/>
        </w:rPr>
      </w:pPr>
      <w:r>
        <w:rPr>
          <w:rFonts w:eastAsia="Arial"/>
        </w:rPr>
        <w:t>At a practical level, this concept includes:</w:t>
      </w:r>
      <w:r w:rsidR="008E4A1B">
        <w:rPr>
          <w:rFonts w:eastAsia="Arial"/>
        </w:rPr>
        <w:fldChar w:fldCharType="begin"/>
      </w:r>
      <w:r w:rsidR="00547316">
        <w:rPr>
          <w:rFonts w:eastAsia="Arial"/>
        </w:rPr>
        <w:instrText xml:space="preserve"> ADDIN EN.CITE &lt;EndNote&gt;&lt;Cite&gt;&lt;Author&gt;Hawe&lt;/Author&gt;&lt;Year&gt;2000&lt;/Year&gt;&lt;RecNum&gt;507&lt;/RecNum&gt;&lt;DisplayText&gt;&lt;style face="superscript"&gt;47&lt;/style&gt;&lt;/DisplayText&gt;&lt;record&gt;&lt;rec-number&gt;507&lt;/rec-number&gt;&lt;foreign-keys&gt;&lt;key app="EN" db-id="zxa00wf2opvf9oeeset50xz7ezpfwre2v20z"&gt;507&lt;/key&gt;&lt;/foreign-keys&gt;&lt;ref-type name="Report"&gt;27&lt;/ref-type&gt;&lt;contributors&gt;&lt;authors&gt;&lt;author&gt;Hawe, P&lt;/author&gt;&lt;author&gt;King, L&lt;/author&gt;&lt;author&gt;Noort, M&lt;/author&gt;&lt;author&gt;Jordens, C&lt;/author&gt;&lt;author&gt;Lloyd, B&lt;/author&gt;&lt;/authors&gt;&lt;/contributors&gt;&lt;titles&gt;&lt;title&gt;Indicators to help with capacity building in health promotion&lt;/title&gt;&lt;/titles&gt;&lt;dates&gt;&lt;year&gt;2000&lt;/year&gt;&lt;/dates&gt;&lt;pub-location&gt;Sydney&lt;/pub-location&gt;&lt;publisher&gt;NSW Health&lt;/publisher&gt;&lt;urls&gt;&lt;related-urls&gt;&lt;url&gt;http://www.bvsde.paho.org/bvsacd/cd64/capbuild.pdf&lt;/url&gt;&lt;/related-urls&gt;&lt;/urls&gt;&lt;/record&gt;&lt;/Cite&gt;&lt;/EndNote&gt;</w:instrText>
      </w:r>
      <w:r w:rsidR="008E4A1B">
        <w:rPr>
          <w:rFonts w:eastAsia="Arial"/>
        </w:rPr>
        <w:fldChar w:fldCharType="separate"/>
      </w:r>
      <w:r w:rsidR="00547316" w:rsidRPr="00547316">
        <w:rPr>
          <w:rFonts w:eastAsia="Arial"/>
          <w:noProof/>
          <w:vertAlign w:val="superscript"/>
        </w:rPr>
        <w:t>47</w:t>
      </w:r>
      <w:r w:rsidR="008E4A1B">
        <w:rPr>
          <w:rFonts w:eastAsia="Arial"/>
        </w:rPr>
        <w:fldChar w:fldCharType="end"/>
      </w:r>
    </w:p>
    <w:p w:rsidR="000D14F8" w:rsidRPr="000E13B5" w:rsidRDefault="000D14F8" w:rsidP="000E13B5">
      <w:pPr>
        <w:spacing w:before="56"/>
        <w:rPr>
          <w:rFonts w:eastAsia="Arial"/>
        </w:rPr>
      </w:pPr>
    </w:p>
    <w:p w:rsidR="000E13B5" w:rsidRPr="00AC5567" w:rsidRDefault="00133372" w:rsidP="00CE2FEF">
      <w:pPr>
        <w:pStyle w:val="ListParagraph"/>
        <w:numPr>
          <w:ilvl w:val="0"/>
          <w:numId w:val="20"/>
        </w:numPr>
        <w:ind w:left="426" w:hanging="426"/>
        <w:rPr>
          <w:rFonts w:eastAsia="Arial"/>
          <w:i/>
        </w:rPr>
      </w:pPr>
      <w:r>
        <w:rPr>
          <w:rFonts w:eastAsia="Arial"/>
          <w:i/>
        </w:rPr>
        <w:t>b</w:t>
      </w:r>
      <w:r w:rsidR="000E13B5" w:rsidRPr="00AC5567">
        <w:rPr>
          <w:rFonts w:eastAsia="Arial"/>
          <w:i/>
        </w:rPr>
        <w:t>uilding infrastructure to de</w:t>
      </w:r>
      <w:r w:rsidR="00ED60C5" w:rsidRPr="00AC5567">
        <w:rPr>
          <w:rFonts w:eastAsia="Arial"/>
          <w:i/>
        </w:rPr>
        <w:t>liver health promotion programs</w:t>
      </w:r>
    </w:p>
    <w:p w:rsidR="000E13B5" w:rsidRPr="00AC5567" w:rsidRDefault="00133372" w:rsidP="00CE2FEF">
      <w:pPr>
        <w:pStyle w:val="ListParagraph"/>
        <w:numPr>
          <w:ilvl w:val="0"/>
          <w:numId w:val="20"/>
        </w:numPr>
        <w:ind w:left="426" w:hanging="426"/>
        <w:rPr>
          <w:rFonts w:eastAsia="Arial"/>
          <w:i/>
        </w:rPr>
      </w:pPr>
      <w:r>
        <w:rPr>
          <w:rFonts w:eastAsia="Arial"/>
          <w:i/>
        </w:rPr>
        <w:t>b</w:t>
      </w:r>
      <w:r w:rsidR="000E13B5" w:rsidRPr="00AC5567">
        <w:rPr>
          <w:rFonts w:eastAsia="Arial"/>
          <w:i/>
        </w:rPr>
        <w:t>uilding partnerships and organisational environments so that programs</w:t>
      </w:r>
      <w:r w:rsidR="00A83FD3">
        <w:rPr>
          <w:rFonts w:eastAsia="Arial"/>
          <w:i/>
        </w:rPr>
        <w:t xml:space="preserve"> </w:t>
      </w:r>
      <w:r w:rsidR="00C70D64">
        <w:rPr>
          <w:rFonts w:eastAsia="Arial"/>
          <w:i/>
        </w:rPr>
        <w:t>are sustained</w:t>
      </w:r>
      <w:r w:rsidR="00A83FD3">
        <w:rPr>
          <w:rFonts w:eastAsia="Arial"/>
          <w:i/>
        </w:rPr>
        <w:t>—</w:t>
      </w:r>
      <w:r w:rsidR="00ED60C5" w:rsidRPr="00AC5567">
        <w:rPr>
          <w:rFonts w:eastAsia="Arial"/>
          <w:i/>
        </w:rPr>
        <w:t>and health gains</w:t>
      </w:r>
      <w:r w:rsidR="000E13B5" w:rsidRPr="00AC5567">
        <w:rPr>
          <w:rFonts w:eastAsia="Arial"/>
          <w:i/>
        </w:rPr>
        <w:t xml:space="preserve"> are sustained</w:t>
      </w:r>
    </w:p>
    <w:p w:rsidR="000E13B5" w:rsidRPr="000E13B5" w:rsidRDefault="00133372" w:rsidP="00CE2FEF">
      <w:pPr>
        <w:pStyle w:val="ListParagraph"/>
        <w:numPr>
          <w:ilvl w:val="0"/>
          <w:numId w:val="20"/>
        </w:numPr>
        <w:ind w:left="426" w:hanging="426"/>
        <w:rPr>
          <w:rFonts w:eastAsia="Arial"/>
        </w:rPr>
      </w:pPr>
      <w:r>
        <w:rPr>
          <w:rFonts w:eastAsia="Arial"/>
          <w:i/>
        </w:rPr>
        <w:t>b</w:t>
      </w:r>
      <w:r w:rsidR="000E13B5" w:rsidRPr="00AC5567">
        <w:rPr>
          <w:rFonts w:eastAsia="Arial"/>
          <w:i/>
        </w:rPr>
        <w:t>uilding problem-solving capabilit</w:t>
      </w:r>
      <w:r w:rsidR="000E13B5" w:rsidRPr="00AC5567">
        <w:rPr>
          <w:rFonts w:eastAsia="Arial"/>
          <w:i/>
          <w:spacing w:val="-18"/>
        </w:rPr>
        <w:t>y</w:t>
      </w:r>
    </w:p>
    <w:p w:rsidR="006922DF" w:rsidRDefault="006922DF" w:rsidP="00823AA2"/>
    <w:p w:rsidR="0049148A" w:rsidRDefault="0049148A" w:rsidP="0049148A">
      <w:pPr>
        <w:spacing w:line="252" w:lineRule="auto"/>
        <w:rPr>
          <w:rFonts w:eastAsia="Arial"/>
          <w:color w:val="000000"/>
        </w:rPr>
      </w:pPr>
      <w:r>
        <w:rPr>
          <w:rFonts w:eastAsia="Arial"/>
          <w:color w:val="000000"/>
        </w:rPr>
        <w:t>Encouraging greater coordination of interventions</w:t>
      </w:r>
      <w:r w:rsidR="00CA37AE">
        <w:rPr>
          <w:rFonts w:eastAsia="Arial"/>
          <w:color w:val="000000"/>
        </w:rPr>
        <w:t xml:space="preserve"> to improve health</w:t>
      </w:r>
      <w:r>
        <w:rPr>
          <w:rFonts w:eastAsia="Arial"/>
          <w:color w:val="000000"/>
        </w:rPr>
        <w:t xml:space="preserve"> across different sectors and within various agencies ensures that prevention e</w:t>
      </w:r>
      <w:r>
        <w:rPr>
          <w:rFonts w:eastAsia="Arial"/>
          <w:color w:val="000000"/>
          <w:spacing w:val="-4"/>
        </w:rPr>
        <w:t>f</w:t>
      </w:r>
      <w:r>
        <w:rPr>
          <w:rFonts w:eastAsia="Arial"/>
          <w:color w:val="000000"/>
        </w:rPr>
        <w:t>forts are complementary</w:t>
      </w:r>
      <w:r w:rsidR="00AC2917">
        <w:rPr>
          <w:rFonts w:eastAsia="Arial"/>
          <w:color w:val="000000"/>
        </w:rPr>
        <w:t xml:space="preserve"> and integrated for target groups</w:t>
      </w:r>
      <w:r w:rsidR="00960487">
        <w:rPr>
          <w:rFonts w:eastAsia="Arial"/>
          <w:color w:val="000000"/>
        </w:rPr>
        <w:t>,</w:t>
      </w:r>
      <w:r>
        <w:rPr>
          <w:rFonts w:eastAsia="Arial"/>
          <w:color w:val="000000"/>
        </w:rPr>
        <w:t xml:space="preserve"> </w:t>
      </w:r>
      <w:r w:rsidR="00CA37AE">
        <w:rPr>
          <w:rFonts w:eastAsia="Arial"/>
          <w:color w:val="000000"/>
        </w:rPr>
        <w:t xml:space="preserve">that </w:t>
      </w:r>
      <w:r>
        <w:rPr>
          <w:rFonts w:eastAsia="Arial"/>
          <w:color w:val="000000"/>
        </w:rPr>
        <w:t>risk of duplication is reduced, and that strategic gaps are identified and appropriately addressed</w:t>
      </w:r>
      <w:r w:rsidR="006F0224">
        <w:rPr>
          <w:rFonts w:eastAsia="Arial"/>
          <w:color w:val="000000"/>
        </w:rPr>
        <w:t xml:space="preserve"> (Box 5)</w:t>
      </w:r>
      <w:r>
        <w:rPr>
          <w:rFonts w:eastAsia="Arial"/>
          <w:color w:val="000000"/>
        </w:rPr>
        <w:t>.</w:t>
      </w:r>
    </w:p>
    <w:p w:rsidR="00784B21" w:rsidRDefault="00784B21" w:rsidP="0049148A">
      <w:pPr>
        <w:spacing w:line="252" w:lineRule="auto"/>
        <w:rPr>
          <w:rFonts w:eastAsia="Arial"/>
          <w:color w:val="000000"/>
        </w:rPr>
      </w:pPr>
    </w:p>
    <w:p w:rsidR="00784B21" w:rsidRPr="009E0A7C" w:rsidRDefault="00784B21" w:rsidP="007E6016">
      <w:pPr>
        <w:pBdr>
          <w:top w:val="single" w:sz="4" w:space="1" w:color="auto"/>
          <w:left w:val="single" w:sz="4" w:space="4" w:color="auto"/>
          <w:bottom w:val="single" w:sz="4" w:space="0" w:color="auto"/>
          <w:right w:val="single" w:sz="4" w:space="4" w:color="auto"/>
        </w:pBdr>
        <w:shd w:val="clear" w:color="auto" w:fill="F2F2F2" w:themeFill="background1" w:themeFillShade="F2"/>
        <w:spacing w:before="31" w:line="242" w:lineRule="auto"/>
        <w:rPr>
          <w:rFonts w:eastAsia="Arial"/>
          <w:b/>
          <w:color w:val="808080" w:themeColor="background1" w:themeShade="80"/>
          <w:sz w:val="26"/>
          <w:szCs w:val="26"/>
        </w:rPr>
      </w:pPr>
      <w:r w:rsidRPr="009E0A7C">
        <w:rPr>
          <w:rFonts w:eastAsia="Arial"/>
          <w:b/>
          <w:color w:val="808080" w:themeColor="background1" w:themeShade="80"/>
          <w:sz w:val="26"/>
          <w:szCs w:val="26"/>
        </w:rPr>
        <w:t>Box 5:   The need for coordinated action</w:t>
      </w:r>
    </w:p>
    <w:p w:rsidR="009E0A7C" w:rsidRPr="007E6016" w:rsidRDefault="009E0A7C" w:rsidP="007E6016">
      <w:pPr>
        <w:pBdr>
          <w:top w:val="single" w:sz="4" w:space="1" w:color="auto"/>
          <w:left w:val="single" w:sz="4" w:space="4" w:color="auto"/>
          <w:bottom w:val="single" w:sz="4" w:space="0" w:color="auto"/>
          <w:right w:val="single" w:sz="4" w:space="4" w:color="auto"/>
        </w:pBdr>
        <w:shd w:val="clear" w:color="auto" w:fill="F2F2F2" w:themeFill="background1" w:themeFillShade="F2"/>
        <w:spacing w:before="31" w:line="242" w:lineRule="auto"/>
        <w:rPr>
          <w:rFonts w:eastAsia="Arial"/>
          <w:b/>
          <w:color w:val="808080" w:themeColor="background1" w:themeShade="80"/>
        </w:rPr>
      </w:pPr>
    </w:p>
    <w:p w:rsidR="00784B21" w:rsidRPr="007E6016" w:rsidRDefault="00784B21" w:rsidP="007E6016">
      <w:pPr>
        <w:pBdr>
          <w:top w:val="single" w:sz="4" w:space="1" w:color="auto"/>
          <w:left w:val="single" w:sz="4" w:space="4" w:color="auto"/>
          <w:bottom w:val="single" w:sz="4" w:space="0" w:color="auto"/>
          <w:right w:val="single" w:sz="4" w:space="4" w:color="auto"/>
        </w:pBdr>
        <w:shd w:val="clear" w:color="auto" w:fill="F2F2F2" w:themeFill="background1" w:themeFillShade="F2"/>
        <w:spacing w:before="31" w:line="242" w:lineRule="auto"/>
        <w:rPr>
          <w:rFonts w:eastAsia="Arial"/>
          <w:color w:val="808080" w:themeColor="background1" w:themeShade="80"/>
          <w:sz w:val="14"/>
          <w:szCs w:val="14"/>
        </w:rPr>
      </w:pPr>
      <w:r w:rsidRPr="007E6016">
        <w:rPr>
          <w:rFonts w:eastAsia="Arial"/>
          <w:color w:val="808080" w:themeColor="background1" w:themeShade="80"/>
        </w:rPr>
        <w:t>“</w:t>
      </w:r>
      <w:r w:rsidRPr="007E6016">
        <w:rPr>
          <w:rFonts w:eastAsia="Arial"/>
          <w:i/>
          <w:color w:val="808080" w:themeColor="background1" w:themeShade="80"/>
        </w:rPr>
        <w:t>The prerequisites and prospects for health cannot be ensured by the health sector alone. More importantl</w:t>
      </w:r>
      <w:r w:rsidRPr="007E6016">
        <w:rPr>
          <w:rFonts w:eastAsia="Arial"/>
          <w:i/>
          <w:color w:val="808080" w:themeColor="background1" w:themeShade="80"/>
          <w:spacing w:val="-18"/>
        </w:rPr>
        <w:t>y</w:t>
      </w:r>
      <w:r w:rsidRPr="007E6016">
        <w:rPr>
          <w:rFonts w:eastAsia="Arial"/>
          <w:i/>
          <w:color w:val="808080" w:themeColor="background1" w:themeShade="80"/>
        </w:rPr>
        <w:t>, health promotion demands coordinated action by all concerned: by governments, by health and other social and economic sectors, by non-governmental and voluntary organisations, by local authorities, by industry and by the media. People in all walks of life are involved as individuals, families and communities. Professional and social groups and health personnel have a major responsibility to mediate between differing interests in society for the pursuit of health</w:t>
      </w:r>
      <w:r w:rsidRPr="007E6016">
        <w:rPr>
          <w:rFonts w:eastAsia="Arial"/>
          <w:color w:val="808080" w:themeColor="background1" w:themeShade="80"/>
        </w:rPr>
        <w:t>.”</w:t>
      </w:r>
      <w:r w:rsidRPr="007E6016">
        <w:rPr>
          <w:rFonts w:eastAsia="Arial"/>
          <w:i/>
          <w:color w:val="808080" w:themeColor="background1" w:themeShade="80"/>
        </w:rPr>
        <w:t xml:space="preserve"> </w:t>
      </w:r>
      <w:r w:rsidRPr="007E6016">
        <w:rPr>
          <w:rFonts w:eastAsia="Arial"/>
          <w:color w:val="808080" w:themeColor="background1" w:themeShade="80"/>
        </w:rPr>
        <w:t>The Ottawa Charte</w:t>
      </w:r>
      <w:r w:rsidRPr="007E6016">
        <w:rPr>
          <w:rFonts w:eastAsia="Arial"/>
          <w:color w:val="808080" w:themeColor="background1" w:themeShade="80"/>
          <w:spacing w:val="-13"/>
        </w:rPr>
        <w:t>r</w:t>
      </w:r>
      <w:r w:rsidR="00FD31CE" w:rsidRPr="007E6016">
        <w:rPr>
          <w:rFonts w:eastAsia="Arial"/>
          <w:color w:val="808080" w:themeColor="background1" w:themeShade="80"/>
        </w:rPr>
        <w:t xml:space="preserve">, </w:t>
      </w:r>
      <w:r w:rsidRPr="007E6016">
        <w:rPr>
          <w:rFonts w:eastAsia="Arial"/>
          <w:color w:val="808080" w:themeColor="background1" w:themeShade="80"/>
          <w:spacing w:val="-4"/>
        </w:rPr>
        <w:t>W</w:t>
      </w:r>
      <w:r w:rsidRPr="007E6016">
        <w:rPr>
          <w:rFonts w:eastAsia="Arial"/>
          <w:color w:val="808080" w:themeColor="background1" w:themeShade="80"/>
        </w:rPr>
        <w:t>orld Health Organization.</w:t>
      </w:r>
      <w:r w:rsidR="008E4A1B" w:rsidRPr="007E6016">
        <w:rPr>
          <w:rFonts w:eastAsia="Arial"/>
          <w:color w:val="808080" w:themeColor="background1" w:themeShade="80"/>
        </w:rPr>
        <w:fldChar w:fldCharType="begin"/>
      </w:r>
      <w:r w:rsidR="00547316">
        <w:rPr>
          <w:rFonts w:eastAsia="Arial"/>
          <w:color w:val="808080" w:themeColor="background1" w:themeShade="80"/>
        </w:rPr>
        <w:instrText xml:space="preserve"> ADDIN EN.CITE &lt;EndNote&gt;&lt;Cite&gt;&lt;Author&gt;World Health Organization&lt;/Author&gt;&lt;Year&gt;1986&lt;/Year&gt;&lt;RecNum&gt;934&lt;/RecNum&gt;&lt;DisplayText&gt;&lt;style face="superscript"&gt;48&lt;/style&gt;&lt;/DisplayText&gt;&lt;record&gt;&lt;rec-number&gt;934&lt;/rec-number&gt;&lt;foreign-keys&gt;&lt;key app="EN" db-id="zxa00wf2opvf9oeeset50xz7ezpfwre2v20z"&gt;934&lt;/key&gt;&lt;/foreign-keys&gt;&lt;ref-type name="Report"&gt;27&lt;/ref-type&gt;&lt;contributors&gt;&lt;authors&gt;&lt;author&gt;World Health Organization,&lt;/author&gt;&lt;/authors&gt;&lt;/contributors&gt;&lt;titles&gt;&lt;title&gt;Ottawa charter for health promotion.  First international conference on health promotion. Ottawa, 21 November 1986 - WHO/HPR/HEP/95.1&lt;/title&gt;&lt;/titles&gt;&lt;dates&gt;&lt;year&gt;1986&lt;/year&gt;&lt;/dates&gt;&lt;pub-location&gt;Geneva&lt;/pub-location&gt;&lt;publisher&gt;World Health Organization&lt;/publisher&gt;&lt;urls&gt;&lt;related-urls&gt;&lt;url&gt;http://www.who.int/healthpromotion/conferences/previous/ottawa/en/&lt;/url&gt;&lt;/related-urls&gt;&lt;/urls&gt;&lt;access-date&gt;June 2010&lt;/access-date&gt;&lt;/record&gt;&lt;/Cite&gt;&lt;/EndNote&gt;</w:instrText>
      </w:r>
      <w:r w:rsidR="008E4A1B" w:rsidRPr="007E6016">
        <w:rPr>
          <w:rFonts w:eastAsia="Arial"/>
          <w:color w:val="808080" w:themeColor="background1" w:themeShade="80"/>
        </w:rPr>
        <w:fldChar w:fldCharType="separate"/>
      </w:r>
      <w:r w:rsidR="00547316" w:rsidRPr="00547316">
        <w:rPr>
          <w:rFonts w:eastAsia="Arial"/>
          <w:noProof/>
          <w:color w:val="808080" w:themeColor="background1" w:themeShade="80"/>
          <w:vertAlign w:val="superscript"/>
        </w:rPr>
        <w:t>48</w:t>
      </w:r>
      <w:r w:rsidR="008E4A1B" w:rsidRPr="007E6016">
        <w:rPr>
          <w:rFonts w:eastAsia="Arial"/>
          <w:color w:val="808080" w:themeColor="background1" w:themeShade="80"/>
        </w:rPr>
        <w:fldChar w:fldCharType="end"/>
      </w:r>
    </w:p>
    <w:p w:rsidR="00784B21" w:rsidRDefault="00784B21" w:rsidP="00784B21"/>
    <w:p w:rsidR="000E13B5" w:rsidRDefault="0049148A" w:rsidP="0049148A">
      <w:r>
        <w:t>An important measure of the success of</w:t>
      </w:r>
      <w:r w:rsidR="002040D0">
        <w:t xml:space="preserve"> </w:t>
      </w:r>
      <w:r w:rsidR="00E55A8D">
        <w:t xml:space="preserve">the </w:t>
      </w:r>
      <w:r w:rsidR="000B541D">
        <w:t>WA HPSF</w:t>
      </w:r>
      <w:r>
        <w:t xml:space="preserve"> </w:t>
      </w:r>
      <w:r w:rsidR="00744942" w:rsidRPr="00707118">
        <w:t>will be its ability to act as a catalyst for inter</w:t>
      </w:r>
      <w:r w:rsidR="005E2626">
        <w:t>-</w:t>
      </w:r>
      <w:r w:rsidR="00744942" w:rsidRPr="00707118">
        <w:t xml:space="preserve">sectoral cooperation and </w:t>
      </w:r>
      <w:r w:rsidR="002040D0">
        <w:t xml:space="preserve">facilitate </w:t>
      </w:r>
      <w:r w:rsidR="000E13B5">
        <w:t xml:space="preserve">coordinated approaches to improve health outcomes for </w:t>
      </w:r>
      <w:r w:rsidR="00DB0DBE">
        <w:t>Western Australians</w:t>
      </w:r>
      <w:r w:rsidR="000E13B5">
        <w:t xml:space="preserve">. </w:t>
      </w:r>
    </w:p>
    <w:p w:rsidR="00744942" w:rsidRPr="00707118" w:rsidRDefault="00744942" w:rsidP="00823AA2"/>
    <w:p w:rsidR="00744942" w:rsidRPr="007E6016" w:rsidRDefault="000E35A5" w:rsidP="005760BE">
      <w:pPr>
        <w:rPr>
          <w:rFonts w:eastAsia="Arial"/>
          <w:color w:val="808080" w:themeColor="background1" w:themeShade="80"/>
          <w:sz w:val="28"/>
          <w:szCs w:val="28"/>
        </w:rPr>
      </w:pPr>
      <w:r w:rsidRPr="007E6016">
        <w:rPr>
          <w:rFonts w:eastAsia="Arial"/>
          <w:color w:val="808080" w:themeColor="background1" w:themeShade="80"/>
          <w:sz w:val="28"/>
          <w:szCs w:val="28"/>
        </w:rPr>
        <w:t>Principle 3</w:t>
      </w:r>
      <w:r w:rsidR="005B6B69" w:rsidRPr="007E6016">
        <w:rPr>
          <w:rFonts w:eastAsia="Arial"/>
          <w:color w:val="808080" w:themeColor="background1" w:themeShade="80"/>
          <w:sz w:val="28"/>
          <w:szCs w:val="28"/>
        </w:rPr>
        <w:t xml:space="preserve">:  </w:t>
      </w:r>
      <w:r w:rsidRPr="007E6016">
        <w:rPr>
          <w:rFonts w:eastAsia="Arial"/>
          <w:color w:val="808080" w:themeColor="background1" w:themeShade="80"/>
          <w:sz w:val="28"/>
          <w:szCs w:val="28"/>
        </w:rPr>
        <w:t xml:space="preserve"> </w:t>
      </w:r>
      <w:r w:rsidR="00EF5E8F" w:rsidRPr="007E6016">
        <w:rPr>
          <w:rFonts w:eastAsia="Arial"/>
          <w:color w:val="808080" w:themeColor="background1" w:themeShade="80"/>
          <w:sz w:val="28"/>
          <w:szCs w:val="28"/>
        </w:rPr>
        <w:t>A life</w:t>
      </w:r>
      <w:r w:rsidR="005B6B69" w:rsidRPr="007E6016">
        <w:rPr>
          <w:rFonts w:eastAsia="Arial"/>
          <w:color w:val="808080" w:themeColor="background1" w:themeShade="80"/>
          <w:sz w:val="28"/>
          <w:szCs w:val="28"/>
        </w:rPr>
        <w:t>-</w:t>
      </w:r>
      <w:r w:rsidR="00EF5E8F" w:rsidRPr="007E6016">
        <w:rPr>
          <w:rFonts w:eastAsia="Arial"/>
          <w:color w:val="808080" w:themeColor="background1" w:themeShade="80"/>
          <w:sz w:val="28"/>
          <w:szCs w:val="28"/>
        </w:rPr>
        <w:t>course approach</w:t>
      </w:r>
      <w:r w:rsidR="0099210E" w:rsidRPr="007E6016">
        <w:rPr>
          <w:rFonts w:eastAsia="Arial"/>
          <w:color w:val="808080" w:themeColor="background1" w:themeShade="80"/>
          <w:sz w:val="28"/>
          <w:szCs w:val="28"/>
        </w:rPr>
        <w:t xml:space="preserve"> </w:t>
      </w:r>
    </w:p>
    <w:p w:rsidR="00C23E57" w:rsidRDefault="00C23E57" w:rsidP="00823AA2"/>
    <w:p w:rsidR="00C23E57" w:rsidRDefault="00D56321" w:rsidP="00823AA2">
      <w:r>
        <w:t>A life</w:t>
      </w:r>
      <w:r w:rsidR="009C4BB2">
        <w:t>-</w:t>
      </w:r>
      <w:r>
        <w:t>course approach is an important element of the WA HPSF</w:t>
      </w:r>
      <w:r w:rsidR="00C05FB0">
        <w:t xml:space="preserve"> (Box 6)</w:t>
      </w:r>
      <w:r>
        <w:t>.</w:t>
      </w:r>
      <w:r w:rsidRPr="00707118">
        <w:t xml:space="preserve"> </w:t>
      </w:r>
      <w:r w:rsidR="00744942" w:rsidRPr="00707118">
        <w:t xml:space="preserve">Health promotion and </w:t>
      </w:r>
      <w:r w:rsidR="00C23E57">
        <w:t xml:space="preserve">prevention efforts </w:t>
      </w:r>
      <w:r w:rsidR="00744942" w:rsidRPr="00707118">
        <w:t xml:space="preserve">must start early in life, and </w:t>
      </w:r>
      <w:r w:rsidR="003F717A">
        <w:t xml:space="preserve">address key ages and stages across the </w:t>
      </w:r>
      <w:r w:rsidR="00744942" w:rsidRPr="00707118">
        <w:t>life course.</w:t>
      </w:r>
      <w:r w:rsidR="008E4A1B">
        <w:fldChar w:fldCharType="begin"/>
      </w:r>
      <w:r w:rsidR="00547316">
        <w:instrText xml:space="preserve"> ADDIN EN.CITE &lt;EndNote&gt;&lt;Cite&gt;&lt;Author&gt;National Health Priority Action Council&lt;/Author&gt;&lt;Year&gt;2006&lt;/Year&gt;&lt;RecNum&gt;672&lt;/RecNum&gt;&lt;DisplayText&gt;&lt;style face="superscript"&gt;49&lt;/style&gt;&lt;/DisplayText&gt;&lt;record&gt;&lt;rec-number&gt;672&lt;/rec-number&gt;&lt;foreign-keys&gt;&lt;key app="EN" db-id="zxa00wf2opvf9oeeset50xz7ezpfwre2v20z"&gt;672&lt;/key&gt;&lt;/foreign-keys&gt;&lt;ref-type name="Report"&gt;27&lt;/ref-type&gt;&lt;contributors&gt;&lt;authors&gt;&lt;author&gt;National Health Priority Action Council,&lt;/author&gt;&lt;author&gt;Australian Health Ministers&amp;apos; Conference,&lt;/author&gt;&lt;/authors&gt;&lt;/contributors&gt;&lt;titles&gt;&lt;title&gt;National Chronic Disease Strategy&lt;/title&gt;&lt;/titles&gt;&lt;dates&gt;&lt;year&gt;2006&lt;/year&gt;&lt;/dates&gt;&lt;pub-location&gt;Canberra&lt;/pub-location&gt;&lt;publisher&gt;Department of Health and Ageing, Australian Government&lt;/publisher&gt;&lt;urls&gt;&lt;related-urls&gt;&lt;url&gt;http://content.webarchive.nla.gov.au/gov/wayback/20141215061219/http://www.health.gov.au/internet/main/publishing.nsf/Content/66EC52273873D375CA257BF0001F3FED/$File/stratal3.pdf&lt;/url&gt;&lt;/related-urls&gt;&lt;/urls&gt;&lt;/record&gt;&lt;/Cite&gt;&lt;/EndNote&gt;</w:instrText>
      </w:r>
      <w:r w:rsidR="008E4A1B">
        <w:fldChar w:fldCharType="separate"/>
      </w:r>
      <w:r w:rsidR="00547316" w:rsidRPr="00547316">
        <w:rPr>
          <w:noProof/>
          <w:vertAlign w:val="superscript"/>
        </w:rPr>
        <w:t>49</w:t>
      </w:r>
      <w:r w:rsidR="008E4A1B">
        <w:fldChar w:fldCharType="end"/>
      </w:r>
      <w:r w:rsidR="00744942" w:rsidRPr="00707118">
        <w:t xml:space="preserve"> The foundations for lifelong health and wellbein</w:t>
      </w:r>
      <w:r w:rsidR="002040D0">
        <w:t xml:space="preserve">g are established in childhood, and </w:t>
      </w:r>
      <w:r w:rsidR="00744942" w:rsidRPr="00707118">
        <w:t>early experiences have a considerable influence on physical and psychological health, behaviour and life achievements.</w:t>
      </w:r>
      <w:r w:rsidR="008E4A1B">
        <w:fldChar w:fldCharType="begin"/>
      </w:r>
      <w:r w:rsidR="00547316">
        <w:instrText xml:space="preserve"> ADDIN EN.CITE &lt;EndNote&gt;&lt;Cite&gt;&lt;Author&gt;Australian Institute of Health and Welfare&lt;/Author&gt;&lt;Year&gt;2011&lt;/Year&gt;&lt;RecNum&gt;207&lt;/RecNum&gt;&lt;DisplayText&gt;&lt;style face="superscript"&gt;50&lt;/style&gt;&lt;/DisplayText&gt;&lt;record&gt;&lt;rec-number&gt;207&lt;/rec-number&gt;&lt;foreign-keys&gt;&lt;key app="EN" db-id="zxa00wf2opvf9oeeset50xz7ezpfwre2v20z"&gt;207&lt;/key&gt;&lt;/foreign-keys&gt;&lt;ref-type name="Report"&gt;27&lt;/ref-type&gt;&lt;contributors&gt;&lt;authors&gt;&lt;author&gt;Australian Institute of Health and Welfare,&lt;/author&gt;&lt;/authors&gt;&lt;/contributors&gt;&lt;titles&gt;&lt;title&gt;Headline indicators for children&amp;apos;s health, development and wellbeing, 2011.  Cat. no. PHE 144&lt;/title&gt;&lt;/titles&gt;&lt;dates&gt;&lt;year&gt;2011&lt;/year&gt;&lt;/dates&gt;&lt;pub-location&gt;Canberra&lt;/pub-location&gt;&lt;publisher&gt;Australian Institute of Health and Welfare&lt;/publisher&gt;&lt;urls&gt;&lt;related-urls&gt;&lt;url&gt;http://www.aihw.gov.au/publication-detail/?id=10737419587&lt;/url&gt;&lt;/related-urls&gt;&lt;/urls&gt;&lt;/record&gt;&lt;/Cite&gt;&lt;/EndNote&gt;</w:instrText>
      </w:r>
      <w:r w:rsidR="008E4A1B">
        <w:fldChar w:fldCharType="separate"/>
      </w:r>
      <w:r w:rsidR="00547316" w:rsidRPr="00547316">
        <w:rPr>
          <w:noProof/>
          <w:vertAlign w:val="superscript"/>
        </w:rPr>
        <w:t>50</w:t>
      </w:r>
      <w:r w:rsidR="008E4A1B">
        <w:fldChar w:fldCharType="end"/>
      </w:r>
    </w:p>
    <w:p w:rsidR="00C23E57" w:rsidRDefault="00C23E57" w:rsidP="00823AA2"/>
    <w:p w:rsidR="00C05FB0" w:rsidRDefault="00744942" w:rsidP="00823AA2">
      <w:r w:rsidRPr="00707118">
        <w:t>High quality prevent</w:t>
      </w:r>
      <w:r w:rsidR="005E2626">
        <w:t>i</w:t>
      </w:r>
      <w:r w:rsidRPr="00707118">
        <w:t xml:space="preserve">ve programs can substantially change the impact of poor early childhood experiences, and there is substantial evidence that by acting early, governments </w:t>
      </w:r>
      <w:r w:rsidR="00554A41">
        <w:t xml:space="preserve">and other agencies can </w:t>
      </w:r>
      <w:r w:rsidR="00CA0F1F">
        <w:t>help to reduce</w:t>
      </w:r>
      <w:r w:rsidRPr="00707118">
        <w:t xml:space="preserve"> the impact of poor quality environments and </w:t>
      </w:r>
      <w:r w:rsidR="00554A41">
        <w:t xml:space="preserve">disrupt </w:t>
      </w:r>
      <w:r w:rsidR="00384CA9">
        <w:t>the cycle of disadvantage from one generation to the next.</w:t>
      </w:r>
      <w:r w:rsidR="008E4A1B">
        <w:fldChar w:fldCharType="begin"/>
      </w:r>
      <w:r w:rsidR="00547316">
        <w:instrText xml:space="preserve"> ADDIN EN.CITE &lt;EndNote&gt;&lt;Cite&gt;&lt;Author&gt;National Preventative Health Taskforce&lt;/Author&gt;&lt;Year&gt;2009&lt;/Year&gt;&lt;RecNum&gt;679&lt;/RecNum&gt;&lt;DisplayText&gt;&lt;style face="superscript"&gt;51&lt;/style&gt;&lt;/DisplayText&gt;&lt;record&gt;&lt;rec-number&gt;679&lt;/rec-number&gt;&lt;foreign-keys&gt;&lt;key app="EN" db-id="zxa00wf2opvf9oeeset50xz7ezpfwre2v20z"&gt;679&lt;/key&gt;&lt;/foreign-keys&gt;&lt;ref-type name="Report"&gt;27&lt;/ref-type&gt;&lt;contributors&gt;&lt;authors&gt;&lt;author&gt;National Preventative Health Taskforce,&lt;/author&gt;&lt;/authors&gt;&lt;/contributors&gt;&lt;titles&gt;&lt;title&gt;Australia:  the healthiest country by 2020.  National Preventative Health Strategy - the roadmap for action&lt;/title&gt;&lt;/titles&gt;&lt;dates&gt;&lt;year&gt;2009&lt;/year&gt;&lt;/dates&gt;&lt;pub-location&gt;Canberra&lt;/pub-location&gt;&lt;publisher&gt;Commonwealth of Australia&lt;/publisher&gt;&lt;urls&gt;&lt;related-urls&gt;&lt;url&gt;http://www.health.gov.au/internet/preventativehealth/publishing.nsf/content/a06c2fcf439ecda1ca2574dd0081e40c/$file/discussion-28oct.pdf&lt;/url&gt;&lt;/related-urls&gt;&lt;/urls&gt;&lt;access-date&gt;June 2010&lt;/access-date&gt;&lt;/record&gt;&lt;/Cite&gt;&lt;/EndNote&gt;</w:instrText>
      </w:r>
      <w:r w:rsidR="008E4A1B">
        <w:fldChar w:fldCharType="separate"/>
      </w:r>
      <w:r w:rsidR="00547316" w:rsidRPr="00547316">
        <w:rPr>
          <w:noProof/>
          <w:vertAlign w:val="superscript"/>
        </w:rPr>
        <w:t>51</w:t>
      </w:r>
      <w:r w:rsidR="008E4A1B">
        <w:fldChar w:fldCharType="end"/>
      </w:r>
    </w:p>
    <w:p w:rsidR="00C05FB0" w:rsidRDefault="00C05FB0">
      <w:pPr>
        <w:widowControl/>
        <w:spacing w:after="200" w:line="276" w:lineRule="auto"/>
      </w:pPr>
      <w:r>
        <w:br w:type="page"/>
      </w:r>
    </w:p>
    <w:p w:rsidR="00744942" w:rsidRDefault="00744942" w:rsidP="00823AA2"/>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before="28"/>
        <w:ind w:left="142"/>
        <w:rPr>
          <w:rFonts w:eastAsia="Arial"/>
          <w:b/>
          <w:color w:val="808080" w:themeColor="background1" w:themeShade="80"/>
          <w:sz w:val="26"/>
          <w:szCs w:val="26"/>
        </w:rPr>
      </w:pPr>
      <w:r w:rsidRPr="00AC4229">
        <w:rPr>
          <w:rFonts w:eastAsia="Arial"/>
          <w:b/>
          <w:bCs/>
          <w:color w:val="808080" w:themeColor="background1" w:themeShade="80"/>
          <w:sz w:val="26"/>
          <w:szCs w:val="26"/>
        </w:rPr>
        <w:t>Box 6:</w:t>
      </w:r>
      <w:r w:rsidRPr="00AC4229">
        <w:rPr>
          <w:rFonts w:eastAsia="Arial"/>
          <w:b/>
          <w:bCs/>
          <w:color w:val="808080" w:themeColor="background1" w:themeShade="80"/>
          <w:spacing w:val="-10"/>
          <w:sz w:val="26"/>
          <w:szCs w:val="26"/>
        </w:rPr>
        <w:t xml:space="preserve">   </w:t>
      </w:r>
      <w:r w:rsidRPr="00AC4229">
        <w:rPr>
          <w:rFonts w:eastAsia="Arial"/>
          <w:b/>
          <w:bCs/>
          <w:color w:val="808080" w:themeColor="background1" w:themeShade="80"/>
          <w:sz w:val="26"/>
          <w:szCs w:val="26"/>
        </w:rPr>
        <w:t>A</w:t>
      </w:r>
      <w:r w:rsidRPr="00AC4229">
        <w:rPr>
          <w:rFonts w:eastAsia="Arial"/>
          <w:b/>
          <w:bCs/>
          <w:color w:val="808080" w:themeColor="background1" w:themeShade="80"/>
          <w:spacing w:val="-10"/>
          <w:sz w:val="26"/>
          <w:szCs w:val="26"/>
        </w:rPr>
        <w:t xml:space="preserve"> </w:t>
      </w:r>
      <w:r w:rsidRPr="00AC4229">
        <w:rPr>
          <w:rFonts w:eastAsia="Arial"/>
          <w:b/>
          <w:bCs/>
          <w:color w:val="808080" w:themeColor="background1" w:themeShade="80"/>
          <w:sz w:val="26"/>
          <w:szCs w:val="26"/>
        </w:rPr>
        <w:t>life-course approach to preventing chronic disease and injury</w:t>
      </w: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before="56"/>
        <w:ind w:left="142"/>
        <w:rPr>
          <w:rFonts w:eastAsia="Arial"/>
          <w:color w:val="808080" w:themeColor="background1" w:themeShade="80"/>
        </w:rPr>
      </w:pP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before="56"/>
        <w:ind w:left="142"/>
        <w:rPr>
          <w:rFonts w:eastAsia="Arial"/>
          <w:color w:val="808080" w:themeColor="background1" w:themeShade="80"/>
        </w:rPr>
      </w:pPr>
      <w:r w:rsidRPr="00AC4229">
        <w:rPr>
          <w:rFonts w:eastAsia="Arial"/>
          <w:color w:val="808080" w:themeColor="background1" w:themeShade="80"/>
        </w:rPr>
        <w:t>A</w:t>
      </w:r>
      <w:r w:rsidRPr="00AC4229">
        <w:rPr>
          <w:rFonts w:eastAsia="Arial"/>
          <w:color w:val="808080" w:themeColor="background1" w:themeShade="80"/>
          <w:spacing w:val="-13"/>
        </w:rPr>
        <w:t xml:space="preserve"> </w:t>
      </w:r>
      <w:r w:rsidRPr="00AC4229">
        <w:rPr>
          <w:rFonts w:eastAsia="Arial"/>
          <w:color w:val="808080" w:themeColor="background1" w:themeShade="80"/>
        </w:rPr>
        <w:t xml:space="preserve">life-course approach to promoting health and wellbeing and preventing chronic disease and injury acknowledges that at every stage of life, there is the potential to prevent the development of disease or </w:t>
      </w:r>
      <w:r w:rsidR="00EF6BD1" w:rsidRPr="00AC4229">
        <w:rPr>
          <w:rFonts w:eastAsia="Arial"/>
          <w:color w:val="808080" w:themeColor="background1" w:themeShade="80"/>
        </w:rPr>
        <w:t xml:space="preserve">reduce the </w:t>
      </w:r>
      <w:r w:rsidRPr="00AC4229">
        <w:rPr>
          <w:rFonts w:eastAsia="Arial"/>
          <w:color w:val="808080" w:themeColor="background1" w:themeShade="80"/>
        </w:rPr>
        <w:t>risk of injur</w:t>
      </w:r>
      <w:r w:rsidRPr="00AC4229">
        <w:rPr>
          <w:rFonts w:eastAsia="Arial"/>
          <w:color w:val="808080" w:themeColor="background1" w:themeShade="80"/>
          <w:spacing w:val="-18"/>
        </w:rPr>
        <w:t>y</w:t>
      </w:r>
      <w:r w:rsidRPr="00AC4229">
        <w:rPr>
          <w:rFonts w:eastAsia="Arial"/>
          <w:color w:val="808080" w:themeColor="background1" w:themeShade="80"/>
        </w:rPr>
        <w:t>, and improve health and wellbeing.</w:t>
      </w:r>
      <w:r w:rsidR="008E4A1B" w:rsidRPr="00AC4229">
        <w:rPr>
          <w:rFonts w:eastAsia="Arial"/>
          <w:color w:val="808080" w:themeColor="background1" w:themeShade="80"/>
        </w:rPr>
        <w:fldChar w:fldCharType="begin"/>
      </w:r>
      <w:r w:rsidR="00547316">
        <w:rPr>
          <w:rFonts w:eastAsia="Arial"/>
          <w:color w:val="808080" w:themeColor="background1" w:themeShade="80"/>
        </w:rPr>
        <w:instrText xml:space="preserve"> ADDIN EN.CITE &lt;EndNote&gt;&lt;Cite&gt;&lt;Author&gt;National Public Health Partnership&lt;/Author&gt;&lt;Year&gt;2001&lt;/Year&gt;&lt;RecNum&gt;681&lt;/RecNum&gt;&lt;DisplayText&gt;&lt;style face="superscript"&gt;52&lt;/style&gt;&lt;/DisplayText&gt;&lt;record&gt;&lt;rec-number&gt;681&lt;/rec-number&gt;&lt;foreign-keys&gt;&lt;key app="EN" db-id="zxa00wf2opvf9oeeset50xz7ezpfwre2v20z"&gt;681&lt;/key&gt;&lt;/foreign-keys&gt;&lt;ref-type name="Report"&gt;27&lt;/ref-type&gt;&lt;contributors&gt;&lt;authors&gt;&lt;author&gt;National Public Health Partnership,&lt;/author&gt;&lt;/authors&gt;&lt;/contributors&gt;&lt;titles&gt;&lt;title&gt;Preventing chronic disease: a strategic framework background paper&lt;/title&gt;&lt;/titles&gt;&lt;dates&gt;&lt;year&gt;2001&lt;/year&gt;&lt;/dates&gt;&lt;pub-location&gt;Melbourne&lt;/pub-location&gt;&lt;publisher&gt;National Public Health Partnership&lt;/publisher&gt;&lt;urls&gt;&lt;related-urls&gt;&lt;url&gt;http://www.health.vic.gov.au/archive/archive2014/nphp/publications/strategies/chrondis-bgpaper.pdf&lt;/url&gt;&lt;/related-urls&gt;&lt;/urls&gt;&lt;/record&gt;&lt;/Cite&gt;&lt;/EndNote&gt;</w:instrText>
      </w:r>
      <w:r w:rsidR="008E4A1B" w:rsidRPr="00AC4229">
        <w:rPr>
          <w:rFonts w:eastAsia="Arial"/>
          <w:color w:val="808080" w:themeColor="background1" w:themeShade="80"/>
        </w:rPr>
        <w:fldChar w:fldCharType="separate"/>
      </w:r>
      <w:r w:rsidR="00547316" w:rsidRPr="00547316">
        <w:rPr>
          <w:rFonts w:eastAsia="Arial"/>
          <w:noProof/>
          <w:color w:val="808080" w:themeColor="background1" w:themeShade="80"/>
          <w:vertAlign w:val="superscript"/>
        </w:rPr>
        <w:t>52</w:t>
      </w:r>
      <w:r w:rsidR="008E4A1B" w:rsidRPr="00AC4229">
        <w:rPr>
          <w:rFonts w:eastAsia="Arial"/>
          <w:color w:val="808080" w:themeColor="background1" w:themeShade="80"/>
        </w:rPr>
        <w:fldChar w:fldCharType="end"/>
      </w: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before="56"/>
        <w:ind w:left="142"/>
        <w:rPr>
          <w:color w:val="808080" w:themeColor="background1" w:themeShade="80"/>
          <w:sz w:val="17"/>
          <w:szCs w:val="17"/>
        </w:rPr>
      </w:pP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line="243" w:lineRule="auto"/>
        <w:ind w:left="142"/>
        <w:rPr>
          <w:rFonts w:eastAsia="Arial"/>
          <w:color w:val="808080" w:themeColor="background1" w:themeShade="80"/>
          <w:sz w:val="14"/>
          <w:szCs w:val="14"/>
        </w:rPr>
      </w:pPr>
      <w:r w:rsidRPr="00AC4229">
        <w:rPr>
          <w:rFonts w:eastAsia="Arial"/>
          <w:color w:val="808080" w:themeColor="background1" w:themeShade="80"/>
        </w:rPr>
        <w:t xml:space="preserve">The risk of developing chronic disease begins even before birth. Maternal health and nutrition, and exposures to risk factors such as alcohol and tobacco </w:t>
      </w:r>
      <w:r w:rsidR="00AC4229" w:rsidRPr="00AC4229">
        <w:rPr>
          <w:rFonts w:eastAsia="Arial"/>
          <w:color w:val="808080" w:themeColor="background1" w:themeShade="80"/>
        </w:rPr>
        <w:t>use,</w:t>
      </w:r>
      <w:r w:rsidR="00AC4229">
        <w:rPr>
          <w:rFonts w:eastAsia="Arial"/>
          <w:color w:val="808080" w:themeColor="background1" w:themeShade="80"/>
        </w:rPr>
        <w:t xml:space="preserve"> can have an</w:t>
      </w:r>
      <w:r w:rsidRPr="00AC4229">
        <w:rPr>
          <w:rFonts w:eastAsia="Arial"/>
          <w:color w:val="808080" w:themeColor="background1" w:themeShade="80"/>
        </w:rPr>
        <w:t xml:space="preserve"> impact on infant and child health. Breastfeeding in infancy and good nutrition in childhood help to enhance healthy development and protect against obesit</w:t>
      </w:r>
      <w:r w:rsidRPr="00AC4229">
        <w:rPr>
          <w:rFonts w:eastAsia="Arial"/>
          <w:color w:val="808080" w:themeColor="background1" w:themeShade="80"/>
          <w:spacing w:val="-18"/>
        </w:rPr>
        <w:t>y</w:t>
      </w:r>
      <w:r w:rsidRPr="00AC4229">
        <w:rPr>
          <w:rFonts w:eastAsia="Arial"/>
          <w:color w:val="808080" w:themeColor="background1" w:themeShade="80"/>
        </w:rPr>
        <w:t xml:space="preserve"> and the early onset of chronic diseases. Home, school, neighbourhood and cultural environments shape eating behaviours and patterns of physical activity during childhood, and set the stage for attitudes towards tobacco, alcohol and other drug use during adolescence.</w:t>
      </w:r>
      <w:r w:rsidR="008E4A1B" w:rsidRPr="00AC4229">
        <w:rPr>
          <w:rFonts w:eastAsia="Arial"/>
          <w:color w:val="808080" w:themeColor="background1" w:themeShade="80"/>
        </w:rPr>
        <w:fldChar w:fldCharType="begin"/>
      </w:r>
      <w:r w:rsidR="00547316">
        <w:rPr>
          <w:rFonts w:eastAsia="Arial"/>
          <w:color w:val="808080" w:themeColor="background1" w:themeShade="80"/>
        </w:rPr>
        <w:instrText xml:space="preserve"> ADDIN EN.CITE &lt;EndNote&gt;&lt;Cite&gt;&lt;Author&gt;National Public Health Partnership&lt;/Author&gt;&lt;Year&gt;2001&lt;/Year&gt;&lt;RecNum&gt;681&lt;/RecNum&gt;&lt;DisplayText&gt;&lt;style face="superscript"&gt;52&lt;/style&gt;&lt;/DisplayText&gt;&lt;record&gt;&lt;rec-number&gt;681&lt;/rec-number&gt;&lt;foreign-keys&gt;&lt;key app="EN" db-id="zxa00wf2opvf9oeeset50xz7ezpfwre2v20z"&gt;681&lt;/key&gt;&lt;/foreign-keys&gt;&lt;ref-type name="Report"&gt;27&lt;/ref-type&gt;&lt;contributors&gt;&lt;authors&gt;&lt;author&gt;National Public Health Partnership,&lt;/author&gt;&lt;/authors&gt;&lt;/contributors&gt;&lt;titles&gt;&lt;title&gt;Preventing chronic disease: a strategic framework background paper&lt;/title&gt;&lt;/titles&gt;&lt;dates&gt;&lt;year&gt;2001&lt;/year&gt;&lt;/dates&gt;&lt;pub-location&gt;Melbourne&lt;/pub-location&gt;&lt;publisher&gt;National Public Health Partnership&lt;/publisher&gt;&lt;urls&gt;&lt;related-urls&gt;&lt;url&gt;http://www.health.vic.gov.au/archive/archive2014/nphp/publications/strategies/chrondis-bgpaper.pdf&lt;/url&gt;&lt;/related-urls&gt;&lt;/urls&gt;&lt;/record&gt;&lt;/Cite&gt;&lt;/EndNote&gt;</w:instrText>
      </w:r>
      <w:r w:rsidR="008E4A1B" w:rsidRPr="00AC4229">
        <w:rPr>
          <w:rFonts w:eastAsia="Arial"/>
          <w:color w:val="808080" w:themeColor="background1" w:themeShade="80"/>
        </w:rPr>
        <w:fldChar w:fldCharType="separate"/>
      </w:r>
      <w:r w:rsidR="00547316" w:rsidRPr="00547316">
        <w:rPr>
          <w:rFonts w:eastAsia="Arial"/>
          <w:noProof/>
          <w:color w:val="808080" w:themeColor="background1" w:themeShade="80"/>
          <w:vertAlign w:val="superscript"/>
        </w:rPr>
        <w:t>52</w:t>
      </w:r>
      <w:r w:rsidR="008E4A1B" w:rsidRPr="00AC4229">
        <w:rPr>
          <w:rFonts w:eastAsia="Arial"/>
          <w:color w:val="808080" w:themeColor="background1" w:themeShade="80"/>
        </w:rPr>
        <w:fldChar w:fldCharType="end"/>
      </w: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line="170" w:lineRule="exact"/>
        <w:ind w:left="142"/>
        <w:rPr>
          <w:color w:val="808080" w:themeColor="background1" w:themeShade="80"/>
          <w:sz w:val="17"/>
          <w:szCs w:val="17"/>
        </w:rPr>
      </w:pP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line="243" w:lineRule="auto"/>
        <w:ind w:left="142"/>
        <w:rPr>
          <w:rFonts w:eastAsia="Arial"/>
          <w:color w:val="808080" w:themeColor="background1" w:themeShade="80"/>
          <w:sz w:val="14"/>
          <w:szCs w:val="14"/>
        </w:rPr>
      </w:pPr>
      <w:r w:rsidRPr="00AC4229">
        <w:rPr>
          <w:rFonts w:eastAsia="Arial"/>
          <w:color w:val="808080" w:themeColor="background1" w:themeShade="80"/>
        </w:rPr>
        <w:t>In adulthood, pregnancy and parenthood mark a key time for re-evaluating lifestyle behaviours.</w:t>
      </w:r>
      <w:r w:rsidRPr="00AC4229">
        <w:rPr>
          <w:rFonts w:eastAsia="Arial"/>
          <w:color w:val="808080" w:themeColor="background1" w:themeShade="80"/>
          <w:spacing w:val="-13"/>
        </w:rPr>
        <w:t xml:space="preserve"> </w:t>
      </w:r>
      <w:r w:rsidRPr="00AC4229">
        <w:rPr>
          <w:rFonts w:eastAsia="Arial"/>
          <w:color w:val="808080" w:themeColor="background1" w:themeShade="80"/>
        </w:rPr>
        <w:t>Adults with unhealthy lifestyle behaviours are at greatest immediate risk of developing chronic diseases and su</w:t>
      </w:r>
      <w:r w:rsidRPr="00AC4229">
        <w:rPr>
          <w:rFonts w:eastAsia="Arial"/>
          <w:color w:val="808080" w:themeColor="background1" w:themeShade="80"/>
          <w:spacing w:val="-4"/>
        </w:rPr>
        <w:t>f</w:t>
      </w:r>
      <w:r w:rsidRPr="00AC4229">
        <w:rPr>
          <w:rFonts w:eastAsia="Arial"/>
          <w:color w:val="808080" w:themeColor="background1" w:themeShade="80"/>
        </w:rPr>
        <w:t>fering injur</w:t>
      </w:r>
      <w:r w:rsidRPr="00AC4229">
        <w:rPr>
          <w:rFonts w:eastAsia="Arial"/>
          <w:color w:val="808080" w:themeColor="background1" w:themeShade="80"/>
          <w:spacing w:val="-18"/>
        </w:rPr>
        <w:t>y</w:t>
      </w:r>
      <w:r w:rsidRPr="00AC4229">
        <w:rPr>
          <w:rFonts w:eastAsia="Arial"/>
          <w:color w:val="808080" w:themeColor="background1" w:themeShade="80"/>
        </w:rPr>
        <w:t>, and significant health gains can be made by bringing about changes in unhealthy practices. Other key opportunities arise for promoting healthy lifestyles as adults develop symptoms of, or are diagnosed with chronic diseases, and become aware of increasing rates of illnesses and deaths among family and friends.</w:t>
      </w:r>
      <w:r w:rsidR="008E4A1B" w:rsidRPr="00AC4229">
        <w:rPr>
          <w:rFonts w:eastAsia="Arial"/>
          <w:color w:val="808080" w:themeColor="background1" w:themeShade="80"/>
        </w:rPr>
        <w:fldChar w:fldCharType="begin"/>
      </w:r>
      <w:r w:rsidR="00547316">
        <w:rPr>
          <w:rFonts w:eastAsia="Arial"/>
          <w:color w:val="808080" w:themeColor="background1" w:themeShade="80"/>
        </w:rPr>
        <w:instrText xml:space="preserve"> ADDIN EN.CITE &lt;EndNote&gt;&lt;Cite&gt;&lt;Author&gt;Cohen&lt;/Author&gt;&lt;Year&gt;2011&lt;/Year&gt;&lt;RecNum&gt;331&lt;/RecNum&gt;&lt;DisplayText&gt;&lt;style face="superscript"&gt;53&lt;/style&gt;&lt;/DisplayText&gt;&lt;record&gt;&lt;rec-number&gt;331&lt;/rec-number&gt;&lt;foreign-keys&gt;&lt;key app="EN" db-id="zxa00wf2opvf9oeeset50xz7ezpfwre2v20z"&gt;331&lt;/key&gt;&lt;/foreign-keys&gt;&lt;ref-type name="Journal Article"&gt;17&lt;/ref-type&gt;&lt;contributors&gt;&lt;authors&gt;&lt;author&gt;Cohen, Deborah J.&lt;/author&gt;&lt;author&gt;Clark, Elizabeth C.&lt;/author&gt;&lt;author&gt;Lawson, Peter J.&lt;/author&gt;&lt;author&gt;Casucci, Brad A.&lt;/author&gt;&lt;author&gt;Flocke, Susan A.&lt;/author&gt;&lt;/authors&gt;&lt;/contributors&gt;&lt;titles&gt;&lt;title&gt;Identifying teachable moments for health behavior counseling in primary care&lt;/title&gt;&lt;secondary-title&gt;Pat Ed Couns&lt;/secondary-title&gt;&lt;/titles&gt;&lt;periodical&gt;&lt;full-title&gt;Pat Ed Couns&lt;/full-title&gt;&lt;/periodical&gt;&lt;pages&gt;e8-e15&lt;/pages&gt;&lt;volume&gt;85&lt;/volume&gt;&lt;number&gt;2&lt;/number&gt;&lt;dates&gt;&lt;year&gt;2011&lt;/year&gt;&lt;/dates&gt;&lt;publisher&gt;Elsevier BV&lt;/publisher&gt;&lt;urls&gt;&lt;related-urls&gt;&lt;url&gt;http://dx.doi.org/10.1016/j.pec.2010.11.009&lt;/url&gt;&lt;/related-urls&gt;&lt;/urls&gt;&lt;electronic-resource-num&gt;10.1016/j.pec.2010.11.009&lt;/electronic-resource-num&gt;&lt;/record&gt;&lt;/Cite&gt;&lt;/EndNote&gt;</w:instrText>
      </w:r>
      <w:r w:rsidR="008E4A1B" w:rsidRPr="00AC4229">
        <w:rPr>
          <w:rFonts w:eastAsia="Arial"/>
          <w:color w:val="808080" w:themeColor="background1" w:themeShade="80"/>
        </w:rPr>
        <w:fldChar w:fldCharType="separate"/>
      </w:r>
      <w:r w:rsidR="00547316" w:rsidRPr="00547316">
        <w:rPr>
          <w:rFonts w:eastAsia="Arial"/>
          <w:noProof/>
          <w:color w:val="808080" w:themeColor="background1" w:themeShade="80"/>
          <w:vertAlign w:val="superscript"/>
        </w:rPr>
        <w:t>53</w:t>
      </w:r>
      <w:r w:rsidR="008E4A1B" w:rsidRPr="00AC4229">
        <w:rPr>
          <w:rFonts w:eastAsia="Arial"/>
          <w:color w:val="808080" w:themeColor="background1" w:themeShade="80"/>
        </w:rPr>
        <w:fldChar w:fldCharType="end"/>
      </w: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line="242" w:lineRule="auto"/>
        <w:ind w:left="142"/>
        <w:rPr>
          <w:color w:val="808080" w:themeColor="background1" w:themeShade="80"/>
          <w:sz w:val="17"/>
          <w:szCs w:val="17"/>
        </w:rPr>
      </w:pP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line="242" w:lineRule="auto"/>
        <w:ind w:left="142"/>
        <w:rPr>
          <w:rFonts w:eastAsia="Arial"/>
          <w:color w:val="808080" w:themeColor="background1" w:themeShade="80"/>
          <w:sz w:val="14"/>
          <w:szCs w:val="14"/>
        </w:rPr>
      </w:pPr>
      <w:r w:rsidRPr="00AC4229">
        <w:rPr>
          <w:rFonts w:eastAsia="Arial"/>
          <w:color w:val="808080" w:themeColor="background1" w:themeShade="80"/>
        </w:rPr>
        <w:t>The risk of developing a chronic disease increases with age.</w:t>
      </w:r>
      <w:r w:rsidR="008E4A1B" w:rsidRPr="00AC4229">
        <w:rPr>
          <w:rFonts w:eastAsia="Arial"/>
          <w:color w:val="808080" w:themeColor="background1" w:themeShade="80"/>
        </w:rPr>
        <w:fldChar w:fldCharType="begin"/>
      </w:r>
      <w:r w:rsidR="008E4A1B" w:rsidRPr="00AC4229">
        <w:rPr>
          <w:rFonts w:eastAsia="Arial"/>
          <w:color w:val="808080" w:themeColor="background1" w:themeShade="80"/>
        </w:rPr>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rsidRPr="00AC4229">
        <w:rPr>
          <w:rFonts w:eastAsia="Arial"/>
          <w:color w:val="808080" w:themeColor="background1" w:themeShade="80"/>
        </w:rPr>
        <w:fldChar w:fldCharType="separate"/>
      </w:r>
      <w:r w:rsidR="008E4A1B" w:rsidRPr="00AC4229">
        <w:rPr>
          <w:rFonts w:eastAsia="Arial"/>
          <w:noProof/>
          <w:color w:val="808080" w:themeColor="background1" w:themeShade="80"/>
          <w:vertAlign w:val="superscript"/>
        </w:rPr>
        <w:t>3</w:t>
      </w:r>
      <w:r w:rsidR="008E4A1B" w:rsidRPr="00AC4229">
        <w:rPr>
          <w:rFonts w:eastAsia="Arial"/>
          <w:color w:val="808080" w:themeColor="background1" w:themeShade="80"/>
        </w:rPr>
        <w:fldChar w:fldCharType="end"/>
      </w:r>
      <w:r w:rsidRPr="00AC4229">
        <w:rPr>
          <w:rFonts w:eastAsia="Arial"/>
          <w:color w:val="808080" w:themeColor="background1" w:themeShade="80"/>
          <w:spacing w:val="15"/>
          <w:position w:val="8"/>
          <w:sz w:val="14"/>
          <w:szCs w:val="14"/>
        </w:rPr>
        <w:t xml:space="preserve"> </w:t>
      </w:r>
      <w:r w:rsidRPr="00AC4229">
        <w:rPr>
          <w:rFonts w:eastAsia="Arial"/>
          <w:color w:val="808080" w:themeColor="background1" w:themeShade="80"/>
        </w:rPr>
        <w:t>Adopting healthier behaviours can slow disease progression, improve health outcomes, and prevent the onset of additional health problems.</w:t>
      </w:r>
      <w:r w:rsidRPr="00AC4229">
        <w:rPr>
          <w:rFonts w:eastAsia="Arial"/>
          <w:color w:val="808080" w:themeColor="background1" w:themeShade="80"/>
          <w:spacing w:val="28"/>
          <w:position w:val="8"/>
          <w:sz w:val="14"/>
          <w:szCs w:val="14"/>
        </w:rPr>
        <w:t xml:space="preserve"> </w:t>
      </w:r>
      <w:r w:rsidRPr="00AC4229">
        <w:rPr>
          <w:rFonts w:eastAsia="Arial"/>
          <w:color w:val="808080" w:themeColor="background1" w:themeShade="80"/>
        </w:rPr>
        <w:t>Moving into older age provides opportunities for promoting active and healthy ageing.</w:t>
      </w:r>
      <w:r w:rsidR="008E4A1B" w:rsidRPr="00AC4229">
        <w:rPr>
          <w:rFonts w:eastAsia="Arial"/>
          <w:color w:val="808080" w:themeColor="background1" w:themeShade="80"/>
        </w:rPr>
        <w:fldChar w:fldCharType="begin"/>
      </w:r>
      <w:r w:rsidR="00547316">
        <w:rPr>
          <w:rFonts w:eastAsia="Arial"/>
          <w:color w:val="808080" w:themeColor="background1" w:themeShade="80"/>
        </w:rPr>
        <w:instrText xml:space="preserve"> ADDIN EN.CITE &lt;EndNote&gt;&lt;Cite&gt;&lt;Author&gt;National Public Health Partnership&lt;/Author&gt;&lt;Year&gt;2001&lt;/Year&gt;&lt;RecNum&gt;681&lt;/RecNum&gt;&lt;DisplayText&gt;&lt;style face="superscript"&gt;52&lt;/style&gt;&lt;/DisplayText&gt;&lt;record&gt;&lt;rec-number&gt;681&lt;/rec-number&gt;&lt;foreign-keys&gt;&lt;key app="EN" db-id="zxa00wf2opvf9oeeset50xz7ezpfwre2v20z"&gt;681&lt;/key&gt;&lt;/foreign-keys&gt;&lt;ref-type name="Report"&gt;27&lt;/ref-type&gt;&lt;contributors&gt;&lt;authors&gt;&lt;author&gt;National Public Health Partnership,&lt;/author&gt;&lt;/authors&gt;&lt;/contributors&gt;&lt;titles&gt;&lt;title&gt;Preventing chronic disease: a strategic framework background paper&lt;/title&gt;&lt;/titles&gt;&lt;dates&gt;&lt;year&gt;2001&lt;/year&gt;&lt;/dates&gt;&lt;pub-location&gt;Melbourne&lt;/pub-location&gt;&lt;publisher&gt;National Public Health Partnership&lt;/publisher&gt;&lt;urls&gt;&lt;related-urls&gt;&lt;url&gt;http://www.health.vic.gov.au/archive/archive2014/nphp/publications/strategies/chrondis-bgpaper.pdf&lt;/url&gt;&lt;/related-urls&gt;&lt;/urls&gt;&lt;/record&gt;&lt;/Cite&gt;&lt;/EndNote&gt;</w:instrText>
      </w:r>
      <w:r w:rsidR="008E4A1B" w:rsidRPr="00AC4229">
        <w:rPr>
          <w:rFonts w:eastAsia="Arial"/>
          <w:color w:val="808080" w:themeColor="background1" w:themeShade="80"/>
        </w:rPr>
        <w:fldChar w:fldCharType="separate"/>
      </w:r>
      <w:r w:rsidR="00547316" w:rsidRPr="00547316">
        <w:rPr>
          <w:rFonts w:eastAsia="Arial"/>
          <w:noProof/>
          <w:color w:val="808080" w:themeColor="background1" w:themeShade="80"/>
          <w:vertAlign w:val="superscript"/>
        </w:rPr>
        <w:t>52</w:t>
      </w:r>
      <w:r w:rsidR="008E4A1B" w:rsidRPr="00AC4229">
        <w:rPr>
          <w:rFonts w:eastAsia="Arial"/>
          <w:color w:val="808080" w:themeColor="background1" w:themeShade="80"/>
        </w:rPr>
        <w:fldChar w:fldCharType="end"/>
      </w: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spacing w:line="170" w:lineRule="exact"/>
        <w:ind w:left="142"/>
        <w:rPr>
          <w:color w:val="808080" w:themeColor="background1" w:themeShade="80"/>
          <w:sz w:val="17"/>
          <w:szCs w:val="17"/>
        </w:rPr>
      </w:pPr>
    </w:p>
    <w:p w:rsidR="00095DFA" w:rsidRPr="00AC4229" w:rsidRDefault="00095DFA" w:rsidP="00AC4229">
      <w:pPr>
        <w:pBdr>
          <w:top w:val="single" w:sz="4" w:space="1" w:color="auto"/>
          <w:left w:val="single" w:sz="4" w:space="4" w:color="auto"/>
          <w:bottom w:val="single" w:sz="4" w:space="1" w:color="auto"/>
          <w:right w:val="single" w:sz="4" w:space="4" w:color="auto"/>
        </w:pBdr>
        <w:shd w:val="clear" w:color="auto" w:fill="F2F2F2" w:themeFill="background1" w:themeFillShade="F2"/>
        <w:ind w:left="142"/>
        <w:rPr>
          <w:rFonts w:eastAsia="Arial"/>
          <w:color w:val="808080" w:themeColor="background1" w:themeShade="80"/>
        </w:rPr>
      </w:pPr>
      <w:r w:rsidRPr="00AC4229">
        <w:rPr>
          <w:rFonts w:eastAsia="Arial"/>
          <w:color w:val="808080" w:themeColor="background1" w:themeShade="80"/>
        </w:rPr>
        <w:t>Adopting a healthier lifestyle at any age can improve health and wellbeing and increase vitalit</w:t>
      </w:r>
      <w:r w:rsidRPr="00AC4229">
        <w:rPr>
          <w:rFonts w:eastAsia="Arial"/>
          <w:color w:val="808080" w:themeColor="background1" w:themeShade="80"/>
          <w:spacing w:val="-18"/>
        </w:rPr>
        <w:t>y</w:t>
      </w:r>
      <w:r w:rsidRPr="00AC4229">
        <w:rPr>
          <w:rFonts w:eastAsia="Arial"/>
          <w:color w:val="808080" w:themeColor="background1" w:themeShade="80"/>
        </w:rPr>
        <w:t>.</w:t>
      </w:r>
    </w:p>
    <w:p w:rsidR="00581B65" w:rsidRDefault="00581B65" w:rsidP="00E30623">
      <w:pPr>
        <w:rPr>
          <w:rFonts w:eastAsia="Arial"/>
          <w:color w:val="1F497D" w:themeColor="text2"/>
          <w:sz w:val="28"/>
          <w:szCs w:val="28"/>
        </w:rPr>
      </w:pPr>
    </w:p>
    <w:p w:rsidR="00744942" w:rsidRPr="00E30623" w:rsidRDefault="00BA5AC7" w:rsidP="00E30623">
      <w:pPr>
        <w:rPr>
          <w:rFonts w:eastAsia="Arial"/>
          <w:color w:val="1F497D" w:themeColor="text2"/>
          <w:sz w:val="28"/>
          <w:szCs w:val="28"/>
        </w:rPr>
      </w:pPr>
      <w:r w:rsidRPr="00AC4229">
        <w:rPr>
          <w:rFonts w:eastAsia="Arial"/>
          <w:color w:val="808080" w:themeColor="background1" w:themeShade="80"/>
          <w:sz w:val="28"/>
          <w:szCs w:val="28"/>
        </w:rPr>
        <w:t>Principle 4</w:t>
      </w:r>
      <w:r w:rsidR="005B6B69" w:rsidRPr="00AC4229">
        <w:rPr>
          <w:rFonts w:eastAsia="Arial"/>
          <w:color w:val="808080" w:themeColor="background1" w:themeShade="80"/>
          <w:sz w:val="28"/>
          <w:szCs w:val="28"/>
        </w:rPr>
        <w:t xml:space="preserve">: </w:t>
      </w:r>
      <w:r w:rsidRPr="00AC4229">
        <w:rPr>
          <w:rFonts w:eastAsia="Arial"/>
          <w:color w:val="808080" w:themeColor="background1" w:themeShade="80"/>
          <w:sz w:val="28"/>
          <w:szCs w:val="28"/>
        </w:rPr>
        <w:t xml:space="preserve"> </w:t>
      </w:r>
      <w:r w:rsidR="00EF5E8F" w:rsidRPr="00AC4229">
        <w:rPr>
          <w:rFonts w:eastAsia="Arial"/>
          <w:color w:val="808080" w:themeColor="background1" w:themeShade="80"/>
          <w:sz w:val="28"/>
          <w:szCs w:val="28"/>
        </w:rPr>
        <w:t xml:space="preserve">Equity and inclusivity </w:t>
      </w:r>
    </w:p>
    <w:p w:rsidR="00EF5E8F" w:rsidRDefault="00EF5E8F" w:rsidP="00823AA2"/>
    <w:p w:rsidR="00B5711B" w:rsidRDefault="00744942" w:rsidP="00C52100">
      <w:r w:rsidRPr="00707118">
        <w:t>Health inequities arise from the conditions in which people are born, grow, live, work and age</w:t>
      </w:r>
      <w:r w:rsidR="00F364D0">
        <w:t>—</w:t>
      </w:r>
      <w:r w:rsidRPr="00707118">
        <w:t xml:space="preserve">often referred to as the determinants of health. </w:t>
      </w:r>
      <w:r w:rsidR="00C52100">
        <w:t xml:space="preserve">Some of these are individual factors such as </w:t>
      </w:r>
      <w:r w:rsidR="00CA3089">
        <w:t xml:space="preserve">a person’s genetic </w:t>
      </w:r>
      <w:r w:rsidR="00FA6AD9">
        <w:t>makeup</w:t>
      </w:r>
      <w:r w:rsidR="00CA3089">
        <w:t xml:space="preserve">, or whether they </w:t>
      </w:r>
      <w:r w:rsidR="003B47D6">
        <w:t>s</w:t>
      </w:r>
      <w:r w:rsidR="00C52100">
        <w:t>mok</w:t>
      </w:r>
      <w:r w:rsidR="003B47D6">
        <w:t>e</w:t>
      </w:r>
      <w:r w:rsidR="00C52100">
        <w:t xml:space="preserve"> or </w:t>
      </w:r>
      <w:r w:rsidR="003B47D6">
        <w:t>drink alcohol at levels likely to cause harm.</w:t>
      </w:r>
      <w:r w:rsidR="00C52100">
        <w:t xml:space="preserve"> Other factors influence health at a broader level across society such the availability of health services, access to education, employment, early childhood experiences and the environment we live in</w:t>
      </w:r>
    </w:p>
    <w:p w:rsidR="00C52100" w:rsidRDefault="00CD7DA0" w:rsidP="00C52100">
      <w:r>
        <w:t xml:space="preserve"> </w:t>
      </w:r>
      <w:r w:rsidR="00C52100">
        <w:t>(Figure 1).</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p>
    <w:p w:rsidR="00675C44" w:rsidRDefault="00675C44" w:rsidP="00C52100"/>
    <w:p w:rsidR="00675C44" w:rsidRDefault="00675C44" w:rsidP="00675C44">
      <w:r>
        <w:t>Some groups in the population experience poorer health than the rest of the population. In general, people living in the lowest socioeconomic circumstances suffer significantly poorer health than other groups.</w:t>
      </w:r>
      <w:r w:rsidR="008E4A1B">
        <w:fldChar w:fldCharType="begin"/>
      </w:r>
      <w:r w:rsidR="00547316">
        <w:instrText xml:space="preserve"> ADDIN EN.CITE &lt;EndNote&gt;&lt;Cite&gt;&lt;Author&gt;World Health Organization&lt;/Author&gt;&lt;Year&gt;2010&lt;/Year&gt;&lt;RecNum&gt;914&lt;/RecNum&gt;&lt;DisplayText&gt;&lt;style face="superscript"&gt;54&lt;/style&gt;&lt;/DisplayText&gt;&lt;record&gt;&lt;rec-number&gt;914&lt;/rec-number&gt;&lt;foreign-keys&gt;&lt;key app="EN" db-id="zxa00wf2opvf9oeeset50xz7ezpfwre2v20z"&gt;914&lt;/key&gt;&lt;/foreign-keys&gt;&lt;ref-type name="Report"&gt;27&lt;/ref-type&gt;&lt;contributors&gt;&lt;authors&gt;&lt;author&gt;World Health Organization,&lt;/author&gt;&lt;/authors&gt;&lt;/contributors&gt;&lt;titles&gt;&lt;title&gt;Commission on social determinants: final report&lt;/title&gt;&lt;/titles&gt;&lt;dates&gt;&lt;year&gt;2010&lt;/year&gt;&lt;/dates&gt;&lt;pub-location&gt;Geneva&lt;/pub-location&gt;&lt;publisher&gt;World Health Organization&lt;/publisher&gt;&lt;urls&gt;&lt;related-urls&gt;&lt;url&gt;http://www.who.int/social_determinants/thecommission/finalreport/en/&lt;/url&gt;&lt;/related-urls&gt;&lt;/urls&gt;&lt;/record&gt;&lt;/Cite&gt;&lt;/EndNote&gt;</w:instrText>
      </w:r>
      <w:r w:rsidR="008E4A1B">
        <w:fldChar w:fldCharType="separate"/>
      </w:r>
      <w:r w:rsidR="00547316" w:rsidRPr="00547316">
        <w:rPr>
          <w:noProof/>
          <w:vertAlign w:val="superscript"/>
        </w:rPr>
        <w:t>54</w:t>
      </w:r>
      <w:r w:rsidR="008E4A1B">
        <w:fldChar w:fldCharType="end"/>
      </w:r>
      <w:r>
        <w:t xml:space="preserve"> Aboriginal people,</w:t>
      </w:r>
      <w:r w:rsidR="00FB059F" w:rsidRPr="00FB059F">
        <w:t xml:space="preserve"> </w:t>
      </w:r>
      <w:r w:rsidR="008E4A1B">
        <w:fldChar w:fldCharType="begin"/>
      </w:r>
      <w:r w:rsidR="00C21325">
        <w:instrText xml:space="preserve"> ADDIN EN.CITE &lt;EndNote&gt;&lt;Cite&gt;&lt;Author&gt;Australian Institute of Health and Welfare&lt;/Author&gt;&lt;Year&gt;2011&lt;/Year&gt;&lt;RecNum&gt;200&lt;/RecNum&gt;&lt;DisplayText&gt;&lt;style face="superscript"&gt;5&lt;/style&gt;&lt;/DisplayText&gt;&lt;record&gt;&lt;rec-number&gt;200&lt;/rec-number&gt;&lt;foreign-keys&gt;&lt;key app="EN" db-id="zxa00wf2opvf9oeeset50xz7ezpfwre2v20z"&gt;200&lt;/key&gt;&lt;/foreign-keys&gt;&lt;ref-type name="Report"&gt;27&lt;/ref-type&gt;&lt;contributors&gt;&lt;authors&gt;&lt;author&gt;Australian Institute of Health and Welfare,&lt;/author&gt;&lt;/authors&gt;&lt;/contributors&gt;&lt;titles&gt;&lt;title&gt;Contribution of chronic disease to the gap in adult mortality between Aboriginal and Torres Strait Islander and other Australians. Cat. no. IHW 48&lt;/title&gt;&lt;/titles&gt;&lt;dates&gt;&lt;year&gt;2011&lt;/year&gt;&lt;/dates&gt;&lt;pub-location&gt;Canberra&lt;/pub-location&gt;&lt;publisher&gt;Australian Institute of Health and Welfare&lt;/publisher&gt;&lt;urls&gt;&lt;related-urls&gt;&lt;url&gt;http://www.aihw.gov.au/indigenous-observatory-chronic-disease/&lt;/url&gt;&lt;/related-urls&gt;&lt;/urls&gt;&lt;/record&gt;&lt;/Cite&gt;&lt;/EndNote&gt;</w:instrText>
      </w:r>
      <w:r w:rsidR="008E4A1B">
        <w:fldChar w:fldCharType="separate"/>
      </w:r>
      <w:r w:rsidR="00C21325" w:rsidRPr="00C21325">
        <w:rPr>
          <w:noProof/>
          <w:vertAlign w:val="superscript"/>
        </w:rPr>
        <w:t>5</w:t>
      </w:r>
      <w:r w:rsidR="008E4A1B">
        <w:fldChar w:fldCharType="end"/>
      </w:r>
      <w:r>
        <w:t xml:space="preserve"> those</w:t>
      </w:r>
      <w:r w:rsidRPr="00E83A11">
        <w:t xml:space="preserve"> living in rural and remote areas</w:t>
      </w:r>
      <w:r>
        <w:t>,</w:t>
      </w:r>
      <w:r w:rsidR="008E4A1B">
        <w:fldChar w:fldCharType="begin"/>
      </w:r>
      <w:r w:rsidR="008E4A1B">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fldChar w:fldCharType="separate"/>
      </w:r>
      <w:r w:rsidR="008E4A1B" w:rsidRPr="008E4A1B">
        <w:rPr>
          <w:noProof/>
          <w:vertAlign w:val="superscript"/>
        </w:rPr>
        <w:t>3</w:t>
      </w:r>
      <w:r w:rsidR="008E4A1B">
        <w:fldChar w:fldCharType="end"/>
      </w:r>
      <w:r>
        <w:t xml:space="preserve"> people with disabilities </w:t>
      </w:r>
      <w:r w:rsidR="0027618A">
        <w:t>and</w:t>
      </w:r>
      <w:r>
        <w:t xml:space="preserve"> mental illness,</w:t>
      </w:r>
      <w:r w:rsidR="008E4A1B">
        <w:fldChar w:fldCharType="begin"/>
      </w:r>
      <w:r w:rsidR="00547316">
        <w:instrText xml:space="preserve"> ADDIN EN.CITE &lt;EndNote&gt;&lt;Cite&gt;&lt;Author&gt;Australian Institute of Health and Welfare&lt;/Author&gt;&lt;Year&gt;2010&lt;/Year&gt;&lt;RecNum&gt;197&lt;/RecNum&gt;&lt;DisplayText&gt;&lt;style face="superscript"&gt;55&lt;/style&gt;&lt;/DisplayText&gt;&lt;record&gt;&lt;rec-number&gt;197&lt;/rec-number&gt;&lt;foreign-keys&gt;&lt;key app="EN" db-id="zxa00wf2opvf9oeeset50xz7ezpfwre2v20z"&gt;197&lt;/key&gt;&lt;/foreign-keys&gt;&lt;ref-type name="Report"&gt;27&lt;/ref-type&gt;&lt;contributors&gt;&lt;authors&gt;&lt;author&gt;Australian Institute of Health and Welfare,&lt;/author&gt;&lt;/authors&gt;&lt;/contributors&gt;&lt;titles&gt;&lt;title&gt;Health of Australians with disability: health status and risk factors&lt;/title&gt;&lt;/titles&gt;&lt;dates&gt;&lt;year&gt;2010&lt;/year&gt;&lt;/dates&gt;&lt;pub-location&gt;Canberra&lt;/pub-location&gt;&lt;publisher&gt;Australian Institute of Health and Welfare&lt;/publisher&gt;&lt;urls&gt;&lt;related-urls&gt;&lt;url&gt;http://www.aihw.gov.au/publications/aus/bulletin83/11608.pdf&lt;/url&gt;&lt;/related-urls&gt;&lt;/urls&gt;&lt;/record&gt;&lt;/Cite&gt;&lt;/EndNote&gt;</w:instrText>
      </w:r>
      <w:r w:rsidR="008E4A1B">
        <w:fldChar w:fldCharType="separate"/>
      </w:r>
      <w:r w:rsidR="00547316" w:rsidRPr="00547316">
        <w:rPr>
          <w:noProof/>
          <w:vertAlign w:val="superscript"/>
        </w:rPr>
        <w:t>55</w:t>
      </w:r>
      <w:r w:rsidR="008E4A1B">
        <w:fldChar w:fldCharType="end"/>
      </w:r>
      <w:r>
        <w:t xml:space="preserve"> and some C</w:t>
      </w:r>
      <w:r w:rsidR="00372742">
        <w:t>a</w:t>
      </w:r>
      <w:r>
        <w:t>LD communities</w:t>
      </w:r>
      <w:r w:rsidR="00260667">
        <w:t xml:space="preserve"> also</w:t>
      </w:r>
      <w:r>
        <w:t xml:space="preserve"> experience significantly poorer health than the general community.</w:t>
      </w:r>
      <w:r w:rsidR="008E4A1B">
        <w:fldChar w:fldCharType="begin"/>
      </w:r>
      <w:r w:rsidR="00C21325">
        <w:instrText xml:space="preserve"> ADDIN EN.CITE &lt;EndNote&gt;&lt;Cite&gt;&lt;Author&gt;Australian Bureau of Statistics&lt;/Author&gt;&lt;Year&gt;2015&lt;/Year&gt;&lt;RecNum&gt;36&lt;/RecNum&gt;&lt;DisplayText&gt;&lt;style face="superscript"&gt;8&lt;/style&gt;&lt;/DisplayText&gt;&lt;record&gt;&lt;rec-number&gt;36&lt;/rec-number&gt;&lt;foreign-keys&gt;&lt;key app="EN" db-id="zxa00wf2opvf9oeeset50xz7ezpfwre2v20z"&gt;36&lt;/key&gt;&lt;/foreign-keys&gt;&lt;ref-type name="Generic"&gt;13&lt;/ref-type&gt;&lt;contributors&gt;&lt;authors&gt;&lt;author&gt;Australian Bureau of Statistics,&lt;/author&gt;&lt;/authors&gt;&lt;/contributors&gt;&lt;titles&gt;&lt;title&gt;4364.0.55.001 - National Health Survey: first results, 2014-2015 - Australia&lt;/title&gt;&lt;/titles&gt;&lt;dates&gt;&lt;year&gt;2015&lt;/year&gt;&lt;/dates&gt;&lt;pub-location&gt;Canberra&lt;/pub-location&gt;&lt;publisher&gt;Australian Bureau of Statistics&lt;/publisher&gt;&lt;urls&gt;&lt;related-urls&gt;&lt;url&gt;http://www.abs.gov.au/AUSSTATS/abs@.nsf/DetailsPage/4364.0.55.0012014-15?OpenDocument&lt;/url&gt;&lt;/related-urls&gt;&lt;/urls&gt;&lt;/record&gt;&lt;/Cite&gt;&lt;/EndNote&gt;</w:instrText>
      </w:r>
      <w:r w:rsidR="008E4A1B">
        <w:fldChar w:fldCharType="separate"/>
      </w:r>
      <w:r w:rsidR="00C21325" w:rsidRPr="00C21325">
        <w:rPr>
          <w:noProof/>
          <w:vertAlign w:val="superscript"/>
        </w:rPr>
        <w:t>8</w:t>
      </w:r>
      <w:r w:rsidR="008E4A1B">
        <w:fldChar w:fldCharType="end"/>
      </w:r>
    </w:p>
    <w:p w:rsidR="00C52100" w:rsidRDefault="00C52100" w:rsidP="00C52100">
      <w:pPr>
        <w:pStyle w:val="ListParagraph"/>
      </w:pPr>
    </w:p>
    <w:p w:rsidR="00C52100" w:rsidRDefault="00C52100" w:rsidP="00C52100">
      <w:pPr>
        <w:widowControl/>
        <w:spacing w:after="200" w:line="276" w:lineRule="auto"/>
        <w:rPr>
          <w:color w:val="332E29"/>
          <w:sz w:val="22"/>
          <w:szCs w:val="22"/>
          <w:shd w:val="clear" w:color="auto" w:fill="FFFFFF"/>
        </w:rPr>
      </w:pPr>
      <w:r>
        <w:rPr>
          <w:noProof/>
          <w:lang w:val="en-AU" w:eastAsia="en-AU"/>
        </w:rPr>
        <w:drawing>
          <wp:inline distT="0" distB="0" distL="0" distR="0" wp14:anchorId="532C5E58" wp14:editId="682C2B16">
            <wp:extent cx="6377049" cy="427511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ronic-disease-risk-factors-conceptual-framework-diagram.png"/>
                    <pic:cNvPicPr/>
                  </pic:nvPicPr>
                  <pic:blipFill>
                    <a:blip r:embed="rId24">
                      <a:extLst>
                        <a:ext uri="{28A0092B-C50C-407E-A947-70E740481C1C}">
                          <a14:useLocalDpi xmlns:a14="http://schemas.microsoft.com/office/drawing/2010/main" val="0"/>
                        </a:ext>
                      </a:extLst>
                    </a:blip>
                    <a:stretch>
                      <a:fillRect/>
                    </a:stretch>
                  </pic:blipFill>
                  <pic:spPr>
                    <a:xfrm>
                      <a:off x="0" y="0"/>
                      <a:ext cx="6384289" cy="4279970"/>
                    </a:xfrm>
                    <a:prstGeom prst="rect">
                      <a:avLst/>
                    </a:prstGeom>
                  </pic:spPr>
                </pic:pic>
              </a:graphicData>
            </a:graphic>
          </wp:inline>
        </w:drawing>
      </w:r>
    </w:p>
    <w:p w:rsidR="00C52100" w:rsidRDefault="00C52100" w:rsidP="00C52100">
      <w:pPr>
        <w:rPr>
          <w:b/>
        </w:rPr>
      </w:pPr>
      <w:r w:rsidRPr="00AC4229">
        <w:rPr>
          <w:b/>
          <w:color w:val="808080" w:themeColor="background1" w:themeShade="80"/>
        </w:rPr>
        <w:t xml:space="preserve">Figure 1: </w:t>
      </w:r>
      <w:r w:rsidR="001E06A5">
        <w:rPr>
          <w:b/>
          <w:color w:val="808080" w:themeColor="background1" w:themeShade="80"/>
        </w:rPr>
        <w:t xml:space="preserve"> </w:t>
      </w:r>
      <w:r w:rsidRPr="00AC4229">
        <w:rPr>
          <w:b/>
          <w:color w:val="808080" w:themeColor="background1" w:themeShade="80"/>
        </w:rPr>
        <w:t>A conceptual framework for the determinants of health</w:t>
      </w:r>
    </w:p>
    <w:p w:rsidR="00C05FB0" w:rsidRPr="00C05FB0" w:rsidRDefault="00C05FB0" w:rsidP="00C52100">
      <w:pPr>
        <w:rPr>
          <w:b/>
          <w:color w:val="FF0000"/>
        </w:rPr>
      </w:pPr>
      <w:r w:rsidRPr="00C05FB0">
        <w:rPr>
          <w:b/>
          <w:color w:val="FF0000"/>
        </w:rPr>
        <w:t xml:space="preserve">(quality of Figure </w:t>
      </w:r>
      <w:r w:rsidR="009B5E3D">
        <w:rPr>
          <w:b/>
          <w:color w:val="FF0000"/>
        </w:rPr>
        <w:t>will</w:t>
      </w:r>
      <w:r w:rsidRPr="00C05FB0">
        <w:rPr>
          <w:b/>
          <w:color w:val="FF0000"/>
        </w:rPr>
        <w:t xml:space="preserve"> be improved)</w:t>
      </w:r>
    </w:p>
    <w:p w:rsidR="00C52100" w:rsidRDefault="00C52100" w:rsidP="00C52100">
      <w:pPr>
        <w:widowControl/>
        <w:spacing w:after="200" w:line="276" w:lineRule="auto"/>
        <w:rPr>
          <w:sz w:val="22"/>
          <w:szCs w:val="22"/>
        </w:rPr>
      </w:pPr>
      <w:r w:rsidRPr="00CF267C">
        <w:rPr>
          <w:color w:val="332E29"/>
          <w:sz w:val="22"/>
          <w:szCs w:val="22"/>
          <w:shd w:val="clear" w:color="auto" w:fill="FFFFFF"/>
        </w:rPr>
        <w:t>Source: Australian Institute of Health and Welfare</w:t>
      </w:r>
      <w:r w:rsidR="008E4A1B">
        <w:rPr>
          <w:color w:val="332E29"/>
          <w:sz w:val="22"/>
          <w:szCs w:val="22"/>
          <w:shd w:val="clear" w:color="auto" w:fill="FFFFFF"/>
        </w:rPr>
        <w:fldChar w:fldCharType="begin"/>
      </w:r>
      <w:r w:rsidR="008E4A1B">
        <w:rPr>
          <w:color w:val="332E29"/>
          <w:sz w:val="22"/>
          <w:szCs w:val="22"/>
          <w:shd w:val="clear" w:color="auto" w:fill="FFFFFF"/>
        </w:rPr>
        <w:instrText xml:space="preserve"> ADDIN EN.CITE &lt;EndNote&gt;&lt;Cite&gt;&lt;Author&gt;Australian Institute of Health and Welfare&lt;/Author&gt;&lt;Year&gt;2012&lt;/Year&gt;&lt;RecNum&gt;209&lt;/RecNum&gt;&lt;DisplayText&gt;&lt;style face="superscript"&gt;3&lt;/style&gt;&lt;/DisplayText&gt;&lt;record&gt;&lt;rec-number&gt;209&lt;/rec-number&gt;&lt;foreign-keys&gt;&lt;key app="EN" db-id="zxa00wf2opvf9oeeset50xz7ezpfwre2v20z"&gt;209&lt;/key&gt;&lt;/foreign-keys&gt;&lt;ref-type name="Report"&gt;27&lt;/ref-type&gt;&lt;contributors&gt;&lt;authors&gt;&lt;author&gt;Australian Institute of Health and Welfare,&lt;/author&gt;&lt;/authors&gt;&lt;/contributors&gt;&lt;titles&gt;&lt;title&gt;Risk factors contributing to chronic disease&lt;/title&gt;&lt;/titles&gt;&lt;dates&gt;&lt;year&gt;2012&lt;/year&gt;&lt;/dates&gt;&lt;pub-location&gt;Canberra&lt;/pub-location&gt;&lt;publisher&gt;Australian Institute of Health and Welfare&lt;/publisher&gt;&lt;urls&gt;&lt;related-urls&gt;&lt;url&gt;http://www.aihw.gov.au/publication-detail/?id=10737421466&lt;/url&gt;&lt;/related-urls&gt;&lt;/urls&gt;&lt;/record&gt;&lt;/Cite&gt;&lt;/EndNote&gt;</w:instrText>
      </w:r>
      <w:r w:rsidR="008E4A1B">
        <w:rPr>
          <w:color w:val="332E29"/>
          <w:sz w:val="22"/>
          <w:szCs w:val="22"/>
          <w:shd w:val="clear" w:color="auto" w:fill="FFFFFF"/>
        </w:rPr>
        <w:fldChar w:fldCharType="separate"/>
      </w:r>
      <w:r w:rsidR="008E4A1B" w:rsidRPr="008E4A1B">
        <w:rPr>
          <w:noProof/>
          <w:color w:val="332E29"/>
          <w:sz w:val="22"/>
          <w:szCs w:val="22"/>
          <w:shd w:val="clear" w:color="auto" w:fill="FFFFFF"/>
          <w:vertAlign w:val="superscript"/>
        </w:rPr>
        <w:t>3</w:t>
      </w:r>
      <w:r w:rsidR="008E4A1B">
        <w:rPr>
          <w:color w:val="332E29"/>
          <w:sz w:val="22"/>
          <w:szCs w:val="22"/>
          <w:shd w:val="clear" w:color="auto" w:fill="FFFFFF"/>
        </w:rPr>
        <w:fldChar w:fldCharType="end"/>
      </w:r>
    </w:p>
    <w:p w:rsidR="00717BA6" w:rsidRDefault="00717BA6" w:rsidP="00717BA6">
      <w:pPr>
        <w:spacing w:before="4" w:line="170" w:lineRule="exact"/>
        <w:rPr>
          <w:sz w:val="17"/>
          <w:szCs w:val="17"/>
        </w:rPr>
      </w:pPr>
    </w:p>
    <w:p w:rsidR="00717BA6" w:rsidRDefault="00717BA6" w:rsidP="00717BA6">
      <w:pPr>
        <w:rPr>
          <w:rFonts w:eastAsia="Arial"/>
        </w:rPr>
      </w:pPr>
      <w:r>
        <w:rPr>
          <w:rFonts w:eastAsia="Arial"/>
        </w:rPr>
        <w:t xml:space="preserve">Interventions intended for </w:t>
      </w:r>
      <w:r w:rsidR="008C0904">
        <w:rPr>
          <w:rFonts w:eastAsia="Arial"/>
        </w:rPr>
        <w:t xml:space="preserve">these groups </w:t>
      </w:r>
      <w:r>
        <w:rPr>
          <w:rFonts w:eastAsia="Arial"/>
        </w:rPr>
        <w:t>should carefully consider the</w:t>
      </w:r>
      <w:r w:rsidR="009D4932">
        <w:rPr>
          <w:rFonts w:eastAsia="Arial"/>
        </w:rPr>
        <w:t xml:space="preserve"> full</w:t>
      </w:r>
      <w:r>
        <w:rPr>
          <w:rFonts w:eastAsia="Arial"/>
        </w:rPr>
        <w:t xml:space="preserve"> complexity </w:t>
      </w:r>
      <w:r w:rsidR="008A752E">
        <w:rPr>
          <w:rFonts w:eastAsia="Arial"/>
        </w:rPr>
        <w:t xml:space="preserve">of </w:t>
      </w:r>
      <w:r w:rsidR="009D4932">
        <w:rPr>
          <w:rFonts w:eastAsia="Arial"/>
        </w:rPr>
        <w:t xml:space="preserve">the environments in which they live </w:t>
      </w:r>
      <w:r>
        <w:rPr>
          <w:rFonts w:eastAsia="Arial"/>
        </w:rPr>
        <w:t xml:space="preserve">and the barriers </w:t>
      </w:r>
      <w:r w:rsidR="00702850">
        <w:rPr>
          <w:rFonts w:eastAsia="Arial"/>
        </w:rPr>
        <w:t>they can</w:t>
      </w:r>
      <w:r>
        <w:rPr>
          <w:rFonts w:eastAsia="Arial"/>
        </w:rPr>
        <w:t xml:space="preserve"> pose to </w:t>
      </w:r>
      <w:r w:rsidRPr="009F2D27">
        <w:rPr>
          <w:rFonts w:eastAsia="Arial"/>
          <w:lang w:val="en-AU"/>
        </w:rPr>
        <w:t>behavioural</w:t>
      </w:r>
      <w:r>
        <w:rPr>
          <w:rFonts w:eastAsia="Arial"/>
        </w:rPr>
        <w:t xml:space="preserve"> change.</w:t>
      </w:r>
      <w:r>
        <w:rPr>
          <w:rFonts w:eastAsia="Arial"/>
          <w:spacing w:val="-4"/>
        </w:rPr>
        <w:t xml:space="preserve"> </w:t>
      </w:r>
      <w:r>
        <w:rPr>
          <w:rFonts w:eastAsia="Arial"/>
        </w:rPr>
        <w:t xml:space="preserve">These interventions should also consider, and seek to address the impact of lower health literacy </w:t>
      </w:r>
      <w:r w:rsidR="00EB2D3E">
        <w:rPr>
          <w:rFonts w:eastAsia="Arial"/>
        </w:rPr>
        <w:t xml:space="preserve">where </w:t>
      </w:r>
      <w:r w:rsidR="0047589A">
        <w:rPr>
          <w:rFonts w:eastAsia="Arial"/>
        </w:rPr>
        <w:t>relevant</w:t>
      </w:r>
      <w:r>
        <w:rPr>
          <w:rFonts w:eastAsia="Arial"/>
        </w:rPr>
        <w:t>.</w:t>
      </w:r>
      <w:r w:rsidR="008E4A1B">
        <w:rPr>
          <w:rFonts w:eastAsia="Arial"/>
        </w:rPr>
        <w:fldChar w:fldCharType="begin"/>
      </w:r>
      <w:r w:rsidR="008E4A1B">
        <w:rPr>
          <w:rFonts w:eastAsia="Arial"/>
        </w:rPr>
        <w:instrText xml:space="preserve"> ADDIN EN.CITE &lt;EndNote&gt;&lt;Cite&gt;&lt;Author&gt;Australian Institute of Health and Welfare&lt;/Author&gt;&lt;Year&gt;2014&lt;/Year&gt;&lt;RecNum&gt;4&lt;/RecNum&gt;&lt;DisplayText&gt;&lt;style face="superscript"&gt;1&lt;/style&gt;&lt;/DisplayText&gt;&lt;record&gt;&lt;rec-number&gt;4&lt;/rec-number&gt;&lt;foreign-keys&gt;&lt;key app="EN" db-id="zxa00wf2opvf9oeeset50xz7ezpfwre2v20z"&gt;4&lt;/key&gt;&lt;/foreign-keys&gt;&lt;ref-type name="Web Page"&gt;12&lt;/ref-type&gt;&lt;contributors&gt;&lt;authors&gt;&lt;author&gt;Australian Institute of Health and Welfare,&lt;/author&gt;&lt;/authors&gt;&lt;/contributors&gt;&lt;titles&gt;&lt;title&gt;Australia&amp;apos;s health 2014. Australia&amp;apos;s health series no. 12. Cat. no. AUS 178&lt;/title&gt;&lt;/titles&gt;&lt;dates&gt;&lt;year&gt;2014&lt;/year&gt;&lt;/dates&gt;&lt;pub-location&gt;Canberra&lt;/pub-location&gt;&lt;publisher&gt;Australian Institute of Health and Welfare&lt;/publisher&gt;&lt;urls&gt;&lt;related-urls&gt;&lt;url&gt;http://www.aihw.gov.au/WorkArea/DownloadAsset.aspx?id=60129548150&lt;/url&gt;&lt;/related-urls&gt;&lt;/urls&gt;&lt;/record&gt;&lt;/Cite&gt;&lt;/EndNote&gt;</w:instrText>
      </w:r>
      <w:r w:rsidR="008E4A1B">
        <w:rPr>
          <w:rFonts w:eastAsia="Arial"/>
        </w:rPr>
        <w:fldChar w:fldCharType="separate"/>
      </w:r>
      <w:r w:rsidR="008E4A1B" w:rsidRPr="008E4A1B">
        <w:rPr>
          <w:rFonts w:eastAsia="Arial"/>
          <w:noProof/>
          <w:vertAlign w:val="superscript"/>
        </w:rPr>
        <w:t>1</w:t>
      </w:r>
      <w:r w:rsidR="008E4A1B">
        <w:rPr>
          <w:rFonts w:eastAsia="Arial"/>
        </w:rPr>
        <w:fldChar w:fldCharType="end"/>
      </w:r>
    </w:p>
    <w:p w:rsidR="00717BA6" w:rsidRDefault="00717BA6" w:rsidP="00717BA6"/>
    <w:p w:rsidR="002A6E9B" w:rsidRDefault="00BC5CEF" w:rsidP="002A6E9B">
      <w:r>
        <w:t>S</w:t>
      </w:r>
      <w:r w:rsidR="00744942" w:rsidRPr="00707118">
        <w:t>trategies which address the environmental, economic and social influences on health are pivotal to reducing health inequit</w:t>
      </w:r>
      <w:r w:rsidR="0063781C">
        <w:t>ies (Box 7)</w:t>
      </w:r>
      <w:r w:rsidR="00744942" w:rsidRPr="00707118">
        <w:t xml:space="preserve"> and improving health status. Governments and their partners have the potential to take collaborative and coordinated action </w:t>
      </w:r>
      <w:r w:rsidR="00654CD3">
        <w:t xml:space="preserve">to alter </w:t>
      </w:r>
      <w:r w:rsidR="00744942" w:rsidRPr="00707118">
        <w:t xml:space="preserve">determinants </w:t>
      </w:r>
      <w:r w:rsidR="00744942">
        <w:t xml:space="preserve">in areas </w:t>
      </w:r>
      <w:r w:rsidR="00744942" w:rsidRPr="00707118">
        <w:t xml:space="preserve">such as </w:t>
      </w:r>
      <w:r w:rsidR="005719A6">
        <w:t xml:space="preserve">early childhood experiences, </w:t>
      </w:r>
      <w:r w:rsidR="00654CD3">
        <w:t xml:space="preserve">access to </w:t>
      </w:r>
      <w:r w:rsidR="00744942" w:rsidRPr="00707118">
        <w:t>health, housing, education and employment.</w:t>
      </w:r>
      <w:r w:rsidR="008E4A1B">
        <w:fldChar w:fldCharType="begin"/>
      </w:r>
      <w:r w:rsidR="00547316">
        <w:instrText xml:space="preserve"> ADDIN EN.CITE &lt;EndNote&gt;&lt;Cite&gt;&lt;Author&gt;VicHealth&lt;/Author&gt;&lt;Year&gt;2015&lt;/Year&gt;&lt;RecNum&gt;983&lt;/RecNum&gt;&lt;DisplayText&gt;&lt;style face="superscript"&gt;56&lt;/style&gt;&lt;/DisplayText&gt;&lt;record&gt;&lt;rec-number&gt;983&lt;/rec-number&gt;&lt;foreign-keys&gt;&lt;key app="EN" db-id="zxa00wf2opvf9oeeset50xz7ezpfwre2v20z"&gt;983&lt;/key&gt;&lt;/foreign-keys&gt;&lt;ref-type name="Report"&gt;27&lt;/ref-type&gt;&lt;contributors&gt;&lt;authors&gt;&lt;author&gt;VicHealth,&lt;/author&gt;&lt;/authors&gt;&lt;/contributors&gt;&lt;titles&gt;&lt;title&gt;Fair foundations - The VicHealth Framework for Health Equity&lt;/title&gt;&lt;/titles&gt;&lt;dates&gt;&lt;year&gt;2015&lt;/year&gt;&lt;/dates&gt;&lt;pub-location&gt;Melbourne&lt;/pub-location&gt;&lt;publisher&gt;VicHealth&lt;/publisher&gt;&lt;urls&gt;&lt;related-urls&gt;&lt;url&gt;http://www.vichealth.vic.gov.au/media-and-resources/publications/the-vichealth-framework-for-health-equity&lt;/url&gt;&lt;/related-urls&gt;&lt;/urls&gt;&lt;/record&gt;&lt;/Cite&gt;&lt;/EndNote&gt;</w:instrText>
      </w:r>
      <w:r w:rsidR="008E4A1B">
        <w:fldChar w:fldCharType="separate"/>
      </w:r>
      <w:r w:rsidR="00547316" w:rsidRPr="00547316">
        <w:rPr>
          <w:noProof/>
          <w:vertAlign w:val="superscript"/>
        </w:rPr>
        <w:t>56</w:t>
      </w:r>
      <w:r w:rsidR="008E4A1B">
        <w:fldChar w:fldCharType="end"/>
      </w:r>
      <w:r w:rsidR="00744942" w:rsidRPr="00707118">
        <w:t xml:space="preserve"> </w:t>
      </w:r>
      <w:r w:rsidR="006D2299">
        <w:t>The WA HPSF r</w:t>
      </w:r>
      <w:r w:rsidR="006D2299" w:rsidRPr="00707118">
        <w:t xml:space="preserve">ecognises the importance </w:t>
      </w:r>
      <w:r w:rsidR="006D2299">
        <w:t xml:space="preserve">of the </w:t>
      </w:r>
      <w:r w:rsidR="006D2299" w:rsidRPr="00707118">
        <w:t>social, cultural and physical environment</w:t>
      </w:r>
      <w:r w:rsidR="006D2299">
        <w:t>s</w:t>
      </w:r>
      <w:r w:rsidR="006D2299" w:rsidRPr="00707118">
        <w:t xml:space="preserve"> on health behaviours, as well as the effect of individual circumstances on shaping personal priorities and decision-making abo</w:t>
      </w:r>
      <w:r w:rsidR="00581B65">
        <w:t>ut health and other behaviours.</w:t>
      </w:r>
    </w:p>
    <w:p w:rsidR="002A6E9B" w:rsidRDefault="002A6E9B" w:rsidP="002A6E9B"/>
    <w:p w:rsidR="005719A6" w:rsidRDefault="005719A6" w:rsidP="002A6E9B">
      <w:r w:rsidRPr="0041532A">
        <w:rPr>
          <w:spacing w:val="-4"/>
        </w:rPr>
        <w:t>W</w:t>
      </w:r>
      <w:r w:rsidRPr="00F63BAA">
        <w:t xml:space="preserve">ell-designed mainstream programs, developed with a </w:t>
      </w:r>
      <w:r w:rsidR="009C4B9F">
        <w:t xml:space="preserve">focus on equity, </w:t>
      </w:r>
      <w:r w:rsidR="005D41D7">
        <w:t xml:space="preserve">inclusiveness and cultural </w:t>
      </w:r>
      <w:r w:rsidR="00935E76">
        <w:t xml:space="preserve">security </w:t>
      </w:r>
      <w:r w:rsidRPr="00F63BAA">
        <w:t>have the capacity to be e</w:t>
      </w:r>
      <w:r w:rsidRPr="0041532A">
        <w:rPr>
          <w:spacing w:val="-4"/>
        </w:rPr>
        <w:t>f</w:t>
      </w:r>
      <w:r w:rsidRPr="00F63BAA">
        <w:t xml:space="preserve">fective in </w:t>
      </w:r>
      <w:r w:rsidR="005D41D7">
        <w:t>specific</w:t>
      </w:r>
      <w:r>
        <w:t xml:space="preserve"> </w:t>
      </w:r>
      <w:r w:rsidRPr="00F63BAA">
        <w:t>population groups as well a</w:t>
      </w:r>
      <w:r>
        <w:t>s the wider population.</w:t>
      </w:r>
      <w:r w:rsidR="00321303">
        <w:t xml:space="preserve"> </w:t>
      </w:r>
      <w:r>
        <w:t xml:space="preserve">However, </w:t>
      </w:r>
      <w:r w:rsidRPr="00F63BAA">
        <w:t>in some cases it ma</w:t>
      </w:r>
      <w:r>
        <w:t>y be necessary to develop additional</w:t>
      </w:r>
      <w:r w:rsidRPr="00F63BAA">
        <w:t xml:space="preserve"> interventions to meet </w:t>
      </w:r>
      <w:r w:rsidR="005D41D7">
        <w:t>particular</w:t>
      </w:r>
      <w:r w:rsidR="000421BB">
        <w:t xml:space="preserve"> </w:t>
      </w:r>
      <w:r w:rsidRPr="00F63BAA">
        <w:t>needs</w:t>
      </w:r>
      <w:r w:rsidR="000421BB">
        <w:t>.</w:t>
      </w:r>
    </w:p>
    <w:p w:rsidR="00BD136F" w:rsidRDefault="00BD136F" w:rsidP="002A6E9B"/>
    <w:p w:rsidR="00BD136F" w:rsidRDefault="00BD136F" w:rsidP="00BD136F">
      <w:r>
        <w:lastRenderedPageBreak/>
        <w:t xml:space="preserve">Policy makers and practitioners must carefully examine </w:t>
      </w:r>
      <w:r w:rsidRPr="0072177E">
        <w:t xml:space="preserve">the potential impact of </w:t>
      </w:r>
      <w:r>
        <w:t xml:space="preserve">health promotion </w:t>
      </w:r>
      <w:r w:rsidRPr="0072177E">
        <w:t xml:space="preserve">interventions to ensure that </w:t>
      </w:r>
      <w:r>
        <w:t xml:space="preserve">these programs do </w:t>
      </w:r>
      <w:r w:rsidRPr="0072177E">
        <w:t xml:space="preserve">not </w:t>
      </w:r>
      <w:r>
        <w:t>widen ex</w:t>
      </w:r>
      <w:r w:rsidRPr="0072177E">
        <w:t>isting inequalities</w:t>
      </w:r>
      <w:r>
        <w:t xml:space="preserve"> (Box 7).</w:t>
      </w:r>
      <w:r w:rsidRPr="0072177E">
        <w:t xml:space="preserve"> </w:t>
      </w:r>
      <w:r>
        <w:t xml:space="preserve">Interventions should </w:t>
      </w:r>
      <w:r w:rsidRPr="0072177E">
        <w:t>prioriti</w:t>
      </w:r>
      <w:r>
        <w:t>s</w:t>
      </w:r>
      <w:r w:rsidRPr="0072177E">
        <w:t xml:space="preserve">e the </w:t>
      </w:r>
      <w:r>
        <w:t>inclusion of population groups with a higher risk of chronic disease and injury, and identify whether there is a need to provide further targeted approaches.</w:t>
      </w:r>
    </w:p>
    <w:p w:rsidR="002A6E9B" w:rsidRDefault="002A6E9B" w:rsidP="002A6E9B"/>
    <w:p w:rsidR="002A6E9B" w:rsidRPr="003B51BD" w:rsidRDefault="002A6E9B" w:rsidP="00854E7D">
      <w:pPr>
        <w:pBdr>
          <w:top w:val="single" w:sz="4" w:space="1" w:color="auto"/>
          <w:left w:val="single" w:sz="4" w:space="4" w:color="auto"/>
          <w:bottom w:val="single" w:sz="4" w:space="1" w:color="auto"/>
          <w:right w:val="single" w:sz="4" w:space="4" w:color="auto"/>
        </w:pBdr>
        <w:shd w:val="clear" w:color="auto" w:fill="F2F2F2" w:themeFill="background1" w:themeFillShade="F2"/>
        <w:rPr>
          <w:b/>
          <w:color w:val="808080" w:themeColor="background1" w:themeShade="80"/>
          <w:sz w:val="26"/>
          <w:szCs w:val="26"/>
        </w:rPr>
      </w:pPr>
      <w:r w:rsidRPr="003B51BD">
        <w:rPr>
          <w:b/>
          <w:color w:val="808080" w:themeColor="background1" w:themeShade="80"/>
          <w:sz w:val="26"/>
          <w:szCs w:val="26"/>
        </w:rPr>
        <w:t>Box 7:  What are health inequities?</w:t>
      </w:r>
    </w:p>
    <w:p w:rsidR="002A6E9B" w:rsidRPr="00854E7D" w:rsidRDefault="002A6E9B" w:rsidP="00854E7D">
      <w:pPr>
        <w:pBdr>
          <w:top w:val="single" w:sz="4" w:space="1" w:color="auto"/>
          <w:left w:val="single" w:sz="4" w:space="4" w:color="auto"/>
          <w:bottom w:val="single" w:sz="4" w:space="1" w:color="auto"/>
          <w:right w:val="single" w:sz="4" w:space="4" w:color="auto"/>
        </w:pBdr>
        <w:shd w:val="clear" w:color="auto" w:fill="F2F2F2" w:themeFill="background1" w:themeFillShade="F2"/>
        <w:rPr>
          <w:b/>
          <w:color w:val="808080" w:themeColor="background1" w:themeShade="80"/>
        </w:rPr>
      </w:pPr>
    </w:p>
    <w:p w:rsidR="002A6E9B" w:rsidRPr="00854E7D" w:rsidRDefault="002A6E9B" w:rsidP="00854E7D">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rPr>
      </w:pPr>
      <w:r w:rsidRPr="00854E7D">
        <w:rPr>
          <w:color w:val="808080" w:themeColor="background1" w:themeShade="80"/>
        </w:rPr>
        <w:t>Health inequities are avoidable inequalities in health between groups of people within a society. These arise within and between societies. Social and economic conditions and their effects on people’s lives determine their risk of illness and the actions taken to prevent them becoming ill or treat illness when it occurs.</w:t>
      </w:r>
      <w:r w:rsidR="008E4A1B" w:rsidRPr="00854E7D">
        <w:rPr>
          <w:color w:val="808080" w:themeColor="background1" w:themeShade="80"/>
        </w:rPr>
        <w:fldChar w:fldCharType="begin"/>
      </w:r>
      <w:r w:rsidR="00547316">
        <w:rPr>
          <w:color w:val="808080" w:themeColor="background1" w:themeShade="80"/>
        </w:rPr>
        <w:instrText xml:space="preserve"> ADDIN EN.CITE &lt;EndNote&gt;&lt;Cite&gt;&lt;Author&gt;World Health Organization&lt;/Author&gt;&lt;Year&gt;2010&lt;/Year&gt;&lt;RecNum&gt;914&lt;/RecNum&gt;&lt;DisplayText&gt;&lt;style face="superscript"&gt;54&lt;/style&gt;&lt;/DisplayText&gt;&lt;record&gt;&lt;rec-number&gt;914&lt;/rec-number&gt;&lt;foreign-keys&gt;&lt;key app="EN" db-id="zxa00wf2opvf9oeeset50xz7ezpfwre2v20z"&gt;914&lt;/key&gt;&lt;/foreign-keys&gt;&lt;ref-type name="Report"&gt;27&lt;/ref-type&gt;&lt;contributors&gt;&lt;authors&gt;&lt;author&gt;World Health Organization,&lt;/author&gt;&lt;/authors&gt;&lt;/contributors&gt;&lt;titles&gt;&lt;title&gt;Commission on social determinants: final report&lt;/title&gt;&lt;/titles&gt;&lt;dates&gt;&lt;year&gt;2010&lt;/year&gt;&lt;/dates&gt;&lt;pub-location&gt;Geneva&lt;/pub-location&gt;&lt;publisher&gt;World Health Organization&lt;/publisher&gt;&lt;urls&gt;&lt;related-urls&gt;&lt;url&gt;http://www.who.int/social_determinants/thecommission/finalreport/en/&lt;/url&gt;&lt;/related-urls&gt;&lt;/urls&gt;&lt;/record&gt;&lt;/Cite&gt;&lt;/EndNote&gt;</w:instrText>
      </w:r>
      <w:r w:rsidR="008E4A1B" w:rsidRPr="00854E7D">
        <w:rPr>
          <w:color w:val="808080" w:themeColor="background1" w:themeShade="80"/>
        </w:rPr>
        <w:fldChar w:fldCharType="separate"/>
      </w:r>
      <w:r w:rsidR="00547316" w:rsidRPr="00547316">
        <w:rPr>
          <w:noProof/>
          <w:color w:val="808080" w:themeColor="background1" w:themeShade="80"/>
          <w:vertAlign w:val="superscript"/>
        </w:rPr>
        <w:t>54</w:t>
      </w:r>
      <w:r w:rsidR="008E4A1B" w:rsidRPr="00854E7D">
        <w:rPr>
          <w:color w:val="808080" w:themeColor="background1" w:themeShade="80"/>
        </w:rPr>
        <w:fldChar w:fldCharType="end"/>
      </w:r>
    </w:p>
    <w:p w:rsidR="002A6E9B" w:rsidRDefault="002A6E9B" w:rsidP="002A6E9B"/>
    <w:p w:rsidR="0041532A" w:rsidRPr="00997570" w:rsidRDefault="0041532A" w:rsidP="00997570">
      <w:pPr>
        <w:rPr>
          <w:spacing w:val="-4"/>
        </w:rPr>
      </w:pPr>
    </w:p>
    <w:p w:rsidR="005D48FA" w:rsidRPr="008144F2" w:rsidRDefault="00D10B5E" w:rsidP="00F4510A">
      <w:pPr>
        <w:pStyle w:val="Heading2"/>
        <w:rPr>
          <w:rFonts w:eastAsia="Arial"/>
        </w:rPr>
      </w:pPr>
      <w:bookmarkStart w:id="16" w:name="_Toc462049316"/>
      <w:r>
        <w:rPr>
          <w:rFonts w:eastAsia="Arial"/>
        </w:rPr>
        <w:t>3.</w:t>
      </w:r>
      <w:r w:rsidR="009550B6">
        <w:rPr>
          <w:rFonts w:eastAsia="Arial"/>
        </w:rPr>
        <w:t>5</w:t>
      </w:r>
      <w:r>
        <w:rPr>
          <w:rFonts w:eastAsia="Arial"/>
        </w:rPr>
        <w:t xml:space="preserve">  </w:t>
      </w:r>
      <w:r w:rsidR="006E5354">
        <w:rPr>
          <w:rFonts w:eastAsia="Arial"/>
        </w:rPr>
        <w:t>Domains for action</w:t>
      </w:r>
      <w:bookmarkEnd w:id="16"/>
      <w:r w:rsidR="008144F2">
        <w:rPr>
          <w:rFonts w:eastAsia="Arial"/>
        </w:rPr>
        <w:t xml:space="preserve"> </w:t>
      </w:r>
    </w:p>
    <w:p w:rsidR="00921002" w:rsidRDefault="00921002" w:rsidP="00C94DD4">
      <w:pPr>
        <w:rPr>
          <w:rFonts w:eastAsia="Arial"/>
        </w:rPr>
      </w:pPr>
    </w:p>
    <w:p w:rsidR="005D48FA" w:rsidRDefault="008144F2" w:rsidP="00C94DD4">
      <w:pPr>
        <w:rPr>
          <w:rFonts w:eastAsia="Arial"/>
        </w:rPr>
      </w:pPr>
      <w:r>
        <w:rPr>
          <w:rFonts w:eastAsia="Arial"/>
        </w:rPr>
        <w:t xml:space="preserve">A comprehensive </w:t>
      </w:r>
      <w:r w:rsidR="005D48FA">
        <w:rPr>
          <w:rFonts w:eastAsia="Arial"/>
        </w:rPr>
        <w:t>approach to health promotion requires a combination of interventions which challenge the fundamental causes of chronic disease and injur</w:t>
      </w:r>
      <w:r w:rsidR="005D48FA">
        <w:rPr>
          <w:rFonts w:eastAsia="Arial"/>
          <w:spacing w:val="-18"/>
        </w:rPr>
        <w:t>y</w:t>
      </w:r>
      <w:r w:rsidR="005D48FA">
        <w:rPr>
          <w:rFonts w:eastAsia="Arial"/>
        </w:rPr>
        <w:t>.</w:t>
      </w:r>
      <w:r w:rsidR="005D48FA">
        <w:rPr>
          <w:rFonts w:eastAsia="Arial"/>
          <w:spacing w:val="-4"/>
        </w:rPr>
        <w:t xml:space="preserve"> </w:t>
      </w:r>
      <w:r w:rsidR="005D48FA">
        <w:rPr>
          <w:rFonts w:eastAsia="Arial"/>
        </w:rPr>
        <w:t xml:space="preserve">These </w:t>
      </w:r>
      <w:r w:rsidR="00836ACA">
        <w:rPr>
          <w:rFonts w:eastAsia="Arial"/>
        </w:rPr>
        <w:t xml:space="preserve">action areas </w:t>
      </w:r>
      <w:r w:rsidR="00C94DD4">
        <w:rPr>
          <w:rFonts w:eastAsia="Arial"/>
        </w:rPr>
        <w:t xml:space="preserve">for </w:t>
      </w:r>
      <w:r w:rsidR="007A229B">
        <w:rPr>
          <w:rFonts w:eastAsia="Arial"/>
        </w:rPr>
        <w:t>change</w:t>
      </w:r>
      <w:r w:rsidR="005D48FA">
        <w:rPr>
          <w:rFonts w:eastAsia="Arial"/>
        </w:rPr>
        <w:t xml:space="preserve"> </w:t>
      </w:r>
      <w:r w:rsidR="00836ACA">
        <w:rPr>
          <w:rFonts w:eastAsia="Arial"/>
        </w:rPr>
        <w:t>m</w:t>
      </w:r>
      <w:r w:rsidR="005D48FA">
        <w:rPr>
          <w:rFonts w:eastAsia="Arial"/>
        </w:rPr>
        <w:t>a</w:t>
      </w:r>
      <w:r w:rsidR="00836ACA">
        <w:rPr>
          <w:rFonts w:eastAsia="Arial"/>
        </w:rPr>
        <w:t>y</w:t>
      </w:r>
      <w:r w:rsidR="005D48FA">
        <w:rPr>
          <w:rFonts w:eastAsia="Arial"/>
        </w:rPr>
        <w:t xml:space="preserve"> be </w:t>
      </w:r>
      <w:r w:rsidR="00213A32">
        <w:rPr>
          <w:rFonts w:eastAsia="Arial"/>
          <w:lang w:val="en-AU"/>
        </w:rPr>
        <w:t>grouped</w:t>
      </w:r>
      <w:r w:rsidR="005D48FA">
        <w:rPr>
          <w:rFonts w:eastAsia="Arial"/>
        </w:rPr>
        <w:t xml:space="preserve"> into eight </w:t>
      </w:r>
      <w:r w:rsidR="00213A32">
        <w:rPr>
          <w:rFonts w:eastAsia="Arial"/>
        </w:rPr>
        <w:t>domains</w:t>
      </w:r>
      <w:r w:rsidR="005D48FA">
        <w:rPr>
          <w:rFonts w:eastAsia="Arial"/>
        </w:rPr>
        <w:t>:</w:t>
      </w:r>
    </w:p>
    <w:p w:rsidR="00EE6A22" w:rsidRDefault="00EE6A22" w:rsidP="00C94DD4">
      <w:pPr>
        <w:rPr>
          <w:rFonts w:eastAsia="Arial"/>
        </w:rPr>
      </w:pP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healthy policies</w:t>
      </w: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legislation and regulation</w:t>
      </w: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economic interventions</w:t>
      </w: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supportive environments</w:t>
      </w: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public awareness and engagement</w:t>
      </w: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community development</w:t>
      </w: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targeted interventions</w:t>
      </w:r>
    </w:p>
    <w:p w:rsidR="005D48FA" w:rsidRPr="00C94DD4" w:rsidRDefault="005D48FA" w:rsidP="0085383A">
      <w:pPr>
        <w:pStyle w:val="ListParagraph"/>
        <w:numPr>
          <w:ilvl w:val="0"/>
          <w:numId w:val="21"/>
        </w:numPr>
        <w:spacing w:before="60"/>
        <w:ind w:left="567" w:right="-20" w:hanging="567"/>
        <w:rPr>
          <w:rFonts w:eastAsia="Arial"/>
        </w:rPr>
      </w:pPr>
      <w:r w:rsidRPr="00C94DD4">
        <w:rPr>
          <w:rFonts w:eastAsia="Arial"/>
          <w:color w:val="000000"/>
        </w:rPr>
        <w:t>strategic coordination, building par</w:t>
      </w:r>
      <w:r w:rsidR="00836ACA">
        <w:rPr>
          <w:rFonts w:eastAsia="Arial"/>
          <w:color w:val="000000"/>
        </w:rPr>
        <w:t xml:space="preserve">tnerships and </w:t>
      </w:r>
      <w:r w:rsidR="00CD1E38">
        <w:rPr>
          <w:rFonts w:eastAsia="Arial"/>
          <w:color w:val="000000"/>
        </w:rPr>
        <w:t>workforce development</w:t>
      </w:r>
    </w:p>
    <w:p w:rsidR="005D48FA" w:rsidRDefault="005D48FA" w:rsidP="005D48FA">
      <w:pPr>
        <w:spacing w:before="4" w:line="170" w:lineRule="exact"/>
        <w:rPr>
          <w:sz w:val="17"/>
          <w:szCs w:val="17"/>
        </w:rPr>
      </w:pPr>
    </w:p>
    <w:p w:rsidR="00187ED4" w:rsidRDefault="00590575" w:rsidP="00187ED4">
      <w:pPr>
        <w:shd w:val="clear" w:color="auto" w:fill="FFFFFF" w:themeFill="background1"/>
        <w:spacing w:before="30" w:line="243" w:lineRule="auto"/>
        <w:rPr>
          <w:rFonts w:eastAsia="Arial"/>
        </w:rPr>
      </w:pPr>
      <w:r>
        <w:rPr>
          <w:rFonts w:eastAsia="Arial"/>
        </w:rPr>
        <w:t xml:space="preserve">Operating </w:t>
      </w:r>
      <w:r w:rsidR="00E7730C">
        <w:rPr>
          <w:rFonts w:eastAsia="Arial"/>
        </w:rPr>
        <w:t xml:space="preserve">an intervention </w:t>
      </w:r>
      <w:r>
        <w:rPr>
          <w:rFonts w:eastAsia="Arial"/>
        </w:rPr>
        <w:t>in a</w:t>
      </w:r>
      <w:r w:rsidR="00923C77">
        <w:rPr>
          <w:rFonts w:eastAsia="Arial"/>
        </w:rPr>
        <w:t xml:space="preserve"> domain in isolation </w:t>
      </w:r>
      <w:r>
        <w:rPr>
          <w:rFonts w:eastAsia="Arial"/>
        </w:rPr>
        <w:t xml:space="preserve">from the others </w:t>
      </w:r>
      <w:r w:rsidR="00923C77">
        <w:rPr>
          <w:rFonts w:eastAsia="Arial"/>
        </w:rPr>
        <w:t xml:space="preserve">will reduce its potential for impact, </w:t>
      </w:r>
      <w:r w:rsidR="007741DD">
        <w:rPr>
          <w:rFonts w:eastAsia="Arial"/>
        </w:rPr>
        <w:t xml:space="preserve">but </w:t>
      </w:r>
      <w:r w:rsidR="00E7730C">
        <w:rPr>
          <w:rFonts w:eastAsia="Arial"/>
        </w:rPr>
        <w:t>an intervention which crosses domains, or a number of compleme</w:t>
      </w:r>
      <w:r w:rsidR="002E6C38">
        <w:rPr>
          <w:rFonts w:eastAsia="Arial"/>
        </w:rPr>
        <w:t>n</w:t>
      </w:r>
      <w:r w:rsidR="00E7730C">
        <w:rPr>
          <w:rFonts w:eastAsia="Arial"/>
        </w:rPr>
        <w:t xml:space="preserve">tary interventions operating simultaneously in </w:t>
      </w:r>
      <w:r w:rsidR="002E6C38">
        <w:rPr>
          <w:rFonts w:eastAsia="Arial"/>
        </w:rPr>
        <w:t xml:space="preserve">a number </w:t>
      </w:r>
      <w:r w:rsidR="00E7730C">
        <w:rPr>
          <w:rFonts w:eastAsia="Arial"/>
        </w:rPr>
        <w:t xml:space="preserve">domains, </w:t>
      </w:r>
      <w:r w:rsidR="005D48FA">
        <w:rPr>
          <w:rFonts w:eastAsia="Arial"/>
        </w:rPr>
        <w:t xml:space="preserve">have the potential to </w:t>
      </w:r>
      <w:r w:rsidR="005719A6">
        <w:rPr>
          <w:rFonts w:eastAsia="Arial"/>
        </w:rPr>
        <w:t xml:space="preserve">drive substantial </w:t>
      </w:r>
      <w:r w:rsidR="005D48FA">
        <w:rPr>
          <w:rFonts w:eastAsia="Arial"/>
        </w:rPr>
        <w:t>change.</w:t>
      </w:r>
      <w:r w:rsidR="005D48FA">
        <w:rPr>
          <w:rFonts w:eastAsia="Arial"/>
          <w:spacing w:val="-4"/>
        </w:rPr>
        <w:t xml:space="preserve"> </w:t>
      </w:r>
      <w:r w:rsidR="00187ED4">
        <w:rPr>
          <w:rFonts w:eastAsia="Arial"/>
        </w:rPr>
        <w:t>For example, initiatives to improve the built environment as a way of encouraging more physical activity will probably involve work across several domains, including the development of appropriate policy; engagement with planning, zoning or building regulatory authorities; and consultation with community groups.</w:t>
      </w:r>
    </w:p>
    <w:p w:rsidR="00187ED4" w:rsidRDefault="00187ED4" w:rsidP="00187ED4">
      <w:pPr>
        <w:shd w:val="clear" w:color="auto" w:fill="FFFFFF" w:themeFill="background1"/>
        <w:spacing w:line="170" w:lineRule="exact"/>
        <w:rPr>
          <w:sz w:val="17"/>
          <w:szCs w:val="17"/>
        </w:rPr>
      </w:pPr>
    </w:p>
    <w:p w:rsidR="00187ED4" w:rsidRDefault="00187ED4" w:rsidP="00187ED4">
      <w:pPr>
        <w:shd w:val="clear" w:color="auto" w:fill="FFFFFF" w:themeFill="background1"/>
        <w:spacing w:line="243" w:lineRule="auto"/>
        <w:rPr>
          <w:rFonts w:eastAsia="Arial"/>
        </w:rPr>
      </w:pPr>
      <w:r>
        <w:rPr>
          <w:rFonts w:eastAsia="Arial"/>
        </w:rPr>
        <w:t>Development of appropriate healthy polic</w:t>
      </w:r>
      <w:r>
        <w:rPr>
          <w:rFonts w:eastAsia="Arial"/>
          <w:spacing w:val="-18"/>
        </w:rPr>
        <w:t>y</w:t>
      </w:r>
      <w:r>
        <w:rPr>
          <w:rFonts w:eastAsia="Arial"/>
        </w:rPr>
        <w:t>, based on consultation and endorsement of relevant groups or authorities will often be needed before specific initiatives can be successfully introduced.</w:t>
      </w:r>
    </w:p>
    <w:p w:rsidR="00187ED4" w:rsidRDefault="00187ED4" w:rsidP="00187ED4">
      <w:pPr>
        <w:shd w:val="clear" w:color="auto" w:fill="FFFFFF" w:themeFill="background1"/>
        <w:spacing w:line="170" w:lineRule="exact"/>
        <w:rPr>
          <w:sz w:val="17"/>
          <w:szCs w:val="17"/>
        </w:rPr>
      </w:pPr>
    </w:p>
    <w:p w:rsidR="00187ED4" w:rsidRDefault="00187ED4" w:rsidP="00187ED4">
      <w:pPr>
        <w:shd w:val="clear" w:color="auto" w:fill="FFFFFF" w:themeFill="background1"/>
        <w:spacing w:line="243" w:lineRule="auto"/>
        <w:rPr>
          <w:rFonts w:eastAsia="Arial"/>
        </w:rPr>
      </w:pPr>
      <w:r>
        <w:rPr>
          <w:rFonts w:eastAsia="Arial"/>
        </w:rPr>
        <w:t>Interventions must also be coordinated to ensure consistency of approach.</w:t>
      </w:r>
      <w:r>
        <w:rPr>
          <w:rFonts w:eastAsia="Arial"/>
          <w:spacing w:val="-13"/>
        </w:rPr>
        <w:t xml:space="preserve"> </w:t>
      </w:r>
      <w:r>
        <w:rPr>
          <w:rFonts w:eastAsia="Arial"/>
        </w:rPr>
        <w:t>As an example, workplace programs to support more nutritious eating behaviours are likely to be undermined if the onsite canteen o</w:t>
      </w:r>
      <w:r>
        <w:rPr>
          <w:rFonts w:eastAsia="Arial"/>
          <w:spacing w:val="-4"/>
        </w:rPr>
        <w:t>f</w:t>
      </w:r>
      <w:r>
        <w:rPr>
          <w:rFonts w:eastAsia="Arial"/>
        </w:rPr>
        <w:t>fers low cost, unhealthy food choices.</w:t>
      </w:r>
      <w:r>
        <w:rPr>
          <w:rFonts w:eastAsia="Arial"/>
          <w:spacing w:val="-13"/>
        </w:rPr>
        <w:t xml:space="preserve"> </w:t>
      </w:r>
    </w:p>
    <w:p w:rsidR="00921002" w:rsidRDefault="00921002" w:rsidP="005D48FA">
      <w:pPr>
        <w:widowControl/>
        <w:spacing w:after="200" w:line="276" w:lineRule="auto"/>
        <w:rPr>
          <w:rFonts w:eastAsia="Arial"/>
        </w:rPr>
      </w:pPr>
    </w:p>
    <w:p w:rsidR="00226870" w:rsidRDefault="00226870">
      <w:pPr>
        <w:widowControl/>
        <w:spacing w:after="200" w:line="276" w:lineRule="auto"/>
        <w:rPr>
          <w:rFonts w:eastAsia="Arial"/>
          <w:color w:val="1F497D" w:themeColor="text2"/>
          <w:sz w:val="28"/>
          <w:szCs w:val="28"/>
        </w:rPr>
      </w:pPr>
      <w:r>
        <w:rPr>
          <w:rFonts w:eastAsia="Arial"/>
          <w:color w:val="1F497D" w:themeColor="text2"/>
          <w:sz w:val="28"/>
          <w:szCs w:val="28"/>
        </w:rPr>
        <w:br w:type="page"/>
      </w:r>
    </w:p>
    <w:p w:rsidR="00E43591" w:rsidRPr="00540459" w:rsidRDefault="00E43591" w:rsidP="00487F58">
      <w:pPr>
        <w:rPr>
          <w:rFonts w:eastAsia="Arial"/>
          <w:b/>
          <w:color w:val="808080" w:themeColor="background1" w:themeShade="80"/>
          <w:sz w:val="28"/>
          <w:szCs w:val="28"/>
        </w:rPr>
      </w:pPr>
      <w:r w:rsidRPr="00540459">
        <w:rPr>
          <w:rFonts w:eastAsia="Arial"/>
          <w:color w:val="808080" w:themeColor="background1" w:themeShade="80"/>
          <w:sz w:val="28"/>
          <w:szCs w:val="28"/>
        </w:rPr>
        <w:lastRenderedPageBreak/>
        <w:t>Healthy policies</w:t>
      </w:r>
    </w:p>
    <w:p w:rsidR="00E43591" w:rsidRDefault="00E43591" w:rsidP="00E43591">
      <w:pPr>
        <w:rPr>
          <w:rFonts w:eastAsia="Arial"/>
          <w:sz w:val="20"/>
          <w:szCs w:val="20"/>
        </w:rPr>
      </w:pPr>
    </w:p>
    <w:p w:rsidR="00E43591" w:rsidRPr="00092871" w:rsidRDefault="002640CD" w:rsidP="00E43591">
      <w:pPr>
        <w:spacing w:before="48" w:line="242" w:lineRule="auto"/>
        <w:rPr>
          <w:rFonts w:eastAsia="Arial"/>
        </w:rPr>
      </w:pPr>
      <w:r>
        <w:rPr>
          <w:rFonts w:eastAsia="Arial"/>
        </w:rPr>
        <w:t>The Department of Health</w:t>
      </w:r>
      <w:r w:rsidR="00E43591" w:rsidRPr="00092871">
        <w:rPr>
          <w:rFonts w:eastAsia="Arial"/>
        </w:rPr>
        <w:t xml:space="preserve"> has a significant role to play in developing policies to improve the health of all </w:t>
      </w:r>
      <w:r w:rsidR="00E43591" w:rsidRPr="002B0D0A">
        <w:rPr>
          <w:rFonts w:eastAsia="Arial"/>
        </w:rPr>
        <w:t>Western Australians</w:t>
      </w:r>
      <w:r w:rsidR="00E43591" w:rsidRPr="00092871">
        <w:rPr>
          <w:rFonts w:eastAsia="Arial"/>
        </w:rPr>
        <w:t>. Howeve</w:t>
      </w:r>
      <w:r w:rsidR="00E43591" w:rsidRPr="002B0D0A">
        <w:rPr>
          <w:rFonts w:eastAsia="Arial"/>
        </w:rPr>
        <w:t>r</w:t>
      </w:r>
      <w:r w:rsidR="00E43591" w:rsidRPr="00092871">
        <w:rPr>
          <w:rFonts w:eastAsia="Arial"/>
        </w:rPr>
        <w:t>, as many of the most important influences on the population</w:t>
      </w:r>
      <w:r w:rsidR="00E43591" w:rsidRPr="002B0D0A">
        <w:rPr>
          <w:rFonts w:eastAsia="Arial"/>
        </w:rPr>
        <w:t>’</w:t>
      </w:r>
      <w:r w:rsidR="00E43591" w:rsidRPr="00092871">
        <w:rPr>
          <w:rFonts w:eastAsia="Arial"/>
        </w:rPr>
        <w:t>s health do not fall within the direct control of the health secto</w:t>
      </w:r>
      <w:r w:rsidR="00E43591" w:rsidRPr="002B0D0A">
        <w:rPr>
          <w:rFonts w:eastAsia="Arial"/>
        </w:rPr>
        <w:t>r</w:t>
      </w:r>
      <w:r w:rsidR="00E43591" w:rsidRPr="00092871">
        <w:rPr>
          <w:rFonts w:eastAsia="Arial"/>
        </w:rPr>
        <w:t xml:space="preserve">, it is vital to ensure that health and wellbeing are fundamental considerations in public policy </w:t>
      </w:r>
      <w:r w:rsidR="00E43591" w:rsidRPr="002B0D0A">
        <w:rPr>
          <w:rFonts w:eastAsia="Arial"/>
        </w:rPr>
        <w:t xml:space="preserve">development across </w:t>
      </w:r>
      <w:r w:rsidR="00025375">
        <w:rPr>
          <w:rFonts w:eastAsia="Arial"/>
        </w:rPr>
        <w:t>all levels of Government</w:t>
      </w:r>
      <w:r w:rsidR="008B6995" w:rsidRPr="002B0D0A">
        <w:rPr>
          <w:rFonts w:eastAsia="Arial"/>
        </w:rPr>
        <w:t>. I</w:t>
      </w:r>
      <w:r w:rsidR="00E43591" w:rsidRPr="002B0D0A">
        <w:rPr>
          <w:rFonts w:eastAsia="Arial"/>
        </w:rPr>
        <w:t>ndustry, non-government organisations, the education sector, professional organisations and the wider community</w:t>
      </w:r>
      <w:r w:rsidR="008B6995" w:rsidRPr="002B0D0A">
        <w:rPr>
          <w:rFonts w:eastAsia="Arial"/>
        </w:rPr>
        <w:t xml:space="preserve"> also have </w:t>
      </w:r>
      <w:r w:rsidR="002B0D0A" w:rsidRPr="002B0D0A">
        <w:rPr>
          <w:rFonts w:eastAsia="Arial"/>
        </w:rPr>
        <w:t xml:space="preserve">an </w:t>
      </w:r>
      <w:r w:rsidR="00092871" w:rsidRPr="002B0D0A">
        <w:rPr>
          <w:rFonts w:eastAsia="Arial"/>
        </w:rPr>
        <w:t xml:space="preserve">important role to play in </w:t>
      </w:r>
      <w:r w:rsidR="00A37461">
        <w:rPr>
          <w:rFonts w:eastAsia="Arial"/>
        </w:rPr>
        <w:t>ensuring</w:t>
      </w:r>
      <w:r w:rsidR="00092871" w:rsidRPr="002B0D0A">
        <w:rPr>
          <w:rFonts w:eastAsia="Arial"/>
        </w:rPr>
        <w:t xml:space="preserve"> </w:t>
      </w:r>
      <w:r w:rsidR="00EE2186" w:rsidRPr="002B0D0A">
        <w:rPr>
          <w:rFonts w:eastAsia="Arial"/>
        </w:rPr>
        <w:t>healthy policies.</w:t>
      </w:r>
    </w:p>
    <w:p w:rsidR="00E43591" w:rsidRPr="00487F58" w:rsidRDefault="00E43591" w:rsidP="00E43591">
      <w:pPr>
        <w:spacing w:line="170" w:lineRule="exact"/>
      </w:pPr>
    </w:p>
    <w:p w:rsidR="00E43591" w:rsidRDefault="00E43591" w:rsidP="00E43591">
      <w:pPr>
        <w:rPr>
          <w:rFonts w:eastAsia="Arial"/>
        </w:rPr>
      </w:pPr>
      <w:r w:rsidRPr="00487F58">
        <w:rPr>
          <w:rFonts w:eastAsia="Arial"/>
        </w:rPr>
        <w:t xml:space="preserve">Encouraging and supporting </w:t>
      </w:r>
      <w:r w:rsidR="00EE2186">
        <w:rPr>
          <w:rFonts w:eastAsia="Arial"/>
        </w:rPr>
        <w:t>the</w:t>
      </w:r>
      <w:r w:rsidRPr="00487F58">
        <w:rPr>
          <w:rFonts w:eastAsia="Arial"/>
        </w:rPr>
        <w:t xml:space="preserve"> adopt</w:t>
      </w:r>
      <w:r w:rsidR="00EE2186">
        <w:rPr>
          <w:rFonts w:eastAsia="Arial"/>
        </w:rPr>
        <w:t>ion of</w:t>
      </w:r>
      <w:r w:rsidRPr="00487F58">
        <w:rPr>
          <w:rFonts w:eastAsia="Arial"/>
        </w:rPr>
        <w:t xml:space="preserve"> healthy policies and practices helps to extend the reach of health messages, provides a supportive environment for behavioural change, and positively influences cultural norms regarding health behaviours. </w:t>
      </w:r>
    </w:p>
    <w:p w:rsidR="001262B1" w:rsidRPr="00487F58" w:rsidRDefault="001262B1" w:rsidP="00E43591">
      <w:pPr>
        <w:rPr>
          <w:rFonts w:eastAsia="Arial"/>
        </w:rPr>
      </w:pPr>
    </w:p>
    <w:p w:rsidR="00E43591" w:rsidRPr="00487F58" w:rsidRDefault="00E43591" w:rsidP="00487F58">
      <w:pPr>
        <w:rPr>
          <w:rFonts w:eastAsia="Arial"/>
          <w:color w:val="1F497D" w:themeColor="text2"/>
          <w:sz w:val="28"/>
          <w:szCs w:val="28"/>
        </w:rPr>
      </w:pPr>
      <w:r w:rsidRPr="00854E7D">
        <w:rPr>
          <w:rFonts w:eastAsia="Arial"/>
          <w:color w:val="808080" w:themeColor="background1" w:themeShade="80"/>
          <w:sz w:val="28"/>
          <w:szCs w:val="28"/>
        </w:rPr>
        <w:t>Legislation and regulation</w:t>
      </w:r>
    </w:p>
    <w:p w:rsidR="00E43591" w:rsidRDefault="00E43591" w:rsidP="00E43591"/>
    <w:p w:rsidR="00E43591" w:rsidRPr="00487F58" w:rsidRDefault="00E43591" w:rsidP="00E43591">
      <w:pPr>
        <w:spacing w:before="48"/>
        <w:ind w:right="-20"/>
        <w:rPr>
          <w:rFonts w:eastAsia="Arial"/>
        </w:rPr>
      </w:pPr>
      <w:r w:rsidRPr="00487F58">
        <w:rPr>
          <w:rFonts w:eastAsia="Arial"/>
        </w:rPr>
        <w:t>Laws and regulations provide the cornerstone for safeguarding and improving public health.</w:t>
      </w:r>
      <w:r w:rsidR="008E4A1B">
        <w:rPr>
          <w:rFonts w:eastAsia="Arial"/>
        </w:rPr>
        <w:fldChar w:fldCharType="begin"/>
      </w:r>
      <w:r w:rsidR="00547316">
        <w:rPr>
          <w:rFonts w:eastAsia="Arial"/>
        </w:rPr>
        <w:instrText xml:space="preserve"> ADDIN EN.CITE &lt;EndNote&gt;&lt;Cite&gt;&lt;Author&gt;World Health Organization&lt;/Author&gt;&lt;Year&gt;2005&lt;/Year&gt;&lt;RecNum&gt;941&lt;/RecNum&gt;&lt;DisplayText&gt;&lt;style face="superscript"&gt;45&lt;/style&gt;&lt;/DisplayText&gt;&lt;record&gt;&lt;rec-number&gt;941&lt;/rec-number&gt;&lt;foreign-keys&gt;&lt;key app="EN" db-id="zxa00wf2opvf9oeeset50xz7ezpfwre2v20z"&gt;941&lt;/key&gt;&lt;/foreign-keys&gt;&lt;ref-type name="Report"&gt;27&lt;/ref-type&gt;&lt;contributors&gt;&lt;authors&gt;&lt;author&gt;World Health Organization,&lt;/author&gt;&lt;/authors&gt;&lt;/contributors&gt;&lt;titles&gt;&lt;title&gt;Preventing chronic diseases.  A vital investment.  WHO global report&lt;/title&gt;&lt;/titles&gt;&lt;dates&gt;&lt;year&gt;2005&lt;/year&gt;&lt;/dates&gt;&lt;pub-location&gt;Geneva&lt;/pub-location&gt;&lt;publisher&gt;World Health Organization&lt;/publisher&gt;&lt;urls&gt;&lt;related-urls&gt;&lt;url&gt;http://www.who.int/chp/chronic_disease_report/contents/en/index.html&lt;/url&gt;&lt;/related-urls&gt;&lt;/urls&gt;&lt;/record&gt;&lt;/Cite&gt;&lt;/EndNote&gt;</w:instrText>
      </w:r>
      <w:r w:rsidR="008E4A1B">
        <w:rPr>
          <w:rFonts w:eastAsia="Arial"/>
        </w:rPr>
        <w:fldChar w:fldCharType="separate"/>
      </w:r>
      <w:r w:rsidR="00547316" w:rsidRPr="00547316">
        <w:rPr>
          <w:rFonts w:eastAsia="Arial"/>
          <w:noProof/>
          <w:vertAlign w:val="superscript"/>
        </w:rPr>
        <w:t>45</w:t>
      </w:r>
      <w:r w:rsidR="008E4A1B">
        <w:rPr>
          <w:rFonts w:eastAsia="Arial"/>
        </w:rPr>
        <w:fldChar w:fldCharType="end"/>
      </w:r>
      <w:r w:rsidRPr="00487F58">
        <w:rPr>
          <w:rFonts w:eastAsia="Arial"/>
          <w:position w:val="8"/>
        </w:rPr>
        <w:t xml:space="preserve"> </w:t>
      </w:r>
      <w:r w:rsidRPr="00487F58">
        <w:rPr>
          <w:rFonts w:eastAsia="Arial"/>
        </w:rPr>
        <w:t>Laws can be used to restrict the sales, promotion and use of harmful or potentially harmful substances (</w:t>
      </w:r>
      <w:r w:rsidR="00C24C80">
        <w:rPr>
          <w:rFonts w:eastAsia="Arial"/>
        </w:rPr>
        <w:t>as in the cases of</w:t>
      </w:r>
      <w:r w:rsidRPr="00487F58">
        <w:rPr>
          <w:rFonts w:eastAsia="Arial"/>
        </w:rPr>
        <w:t xml:space="preserve"> tobacco and alcohol), or to protect public safety (for example laws on seatbelts in cars and drink-driving).</w:t>
      </w:r>
      <w:r w:rsidRPr="00487F58">
        <w:rPr>
          <w:rFonts w:eastAsia="Arial"/>
          <w:spacing w:val="-4"/>
        </w:rPr>
        <w:t xml:space="preserve"> </w:t>
      </w:r>
      <w:r w:rsidRPr="00487F58">
        <w:rPr>
          <w:rFonts w:eastAsia="Arial"/>
        </w:rPr>
        <w:t>The production, processing, transport, sales and labelling of food are all subject to regulations intended to protect public health and safet</w:t>
      </w:r>
      <w:r w:rsidRPr="00487F58">
        <w:rPr>
          <w:rFonts w:eastAsia="Arial"/>
          <w:spacing w:val="-18"/>
        </w:rPr>
        <w:t>y</w:t>
      </w:r>
      <w:r w:rsidRPr="00487F58">
        <w:rPr>
          <w:rFonts w:eastAsia="Arial"/>
        </w:rPr>
        <w:t>. By introducing and enforcing appropriate legislation to underpin health promoting behaviours, governments demonstrate a firm commitment to healthy public policy and provide a strong foundation for building environments to support health interventions.</w:t>
      </w:r>
    </w:p>
    <w:p w:rsidR="00E43591" w:rsidRPr="00487F58" w:rsidRDefault="00E43591" w:rsidP="00E43591">
      <w:pPr>
        <w:spacing w:before="30" w:line="243" w:lineRule="auto"/>
        <w:rPr>
          <w:rFonts w:eastAsia="Arial"/>
        </w:rPr>
      </w:pPr>
    </w:p>
    <w:p w:rsidR="00E43591" w:rsidRDefault="00E43591" w:rsidP="00E43591">
      <w:pPr>
        <w:rPr>
          <w:rFonts w:eastAsia="Arial"/>
        </w:rPr>
      </w:pPr>
      <w:r w:rsidRPr="00487F58">
        <w:rPr>
          <w:rFonts w:eastAsia="Arial"/>
        </w:rPr>
        <w:t xml:space="preserve">While the introduction of legislation is </w:t>
      </w:r>
      <w:r w:rsidR="00CD2F49">
        <w:rPr>
          <w:rFonts w:eastAsia="Arial"/>
        </w:rPr>
        <w:t>the responsibility of governments</w:t>
      </w:r>
      <w:r w:rsidRPr="00487F58">
        <w:rPr>
          <w:rFonts w:eastAsia="Arial"/>
        </w:rPr>
        <w:t>, the health sector, non-government organisations and the wider community make an important contribution to public debate about the need for regulation, as well as legislative content.</w:t>
      </w:r>
    </w:p>
    <w:p w:rsidR="00E43591" w:rsidRDefault="00E43591" w:rsidP="00E43591">
      <w:pPr>
        <w:rPr>
          <w:rFonts w:eastAsia="Arial"/>
          <w:sz w:val="20"/>
          <w:szCs w:val="20"/>
        </w:rPr>
      </w:pPr>
    </w:p>
    <w:p w:rsidR="00E43591" w:rsidRPr="00854E7D" w:rsidRDefault="00E43591" w:rsidP="00E43591">
      <w:pPr>
        <w:rPr>
          <w:rFonts w:eastAsia="Arial"/>
          <w:color w:val="808080" w:themeColor="background1" w:themeShade="80"/>
          <w:sz w:val="28"/>
          <w:szCs w:val="28"/>
        </w:rPr>
      </w:pPr>
      <w:r w:rsidRPr="00854E7D">
        <w:rPr>
          <w:rFonts w:eastAsia="Arial"/>
          <w:color w:val="808080" w:themeColor="background1" w:themeShade="80"/>
          <w:sz w:val="28"/>
          <w:szCs w:val="28"/>
        </w:rPr>
        <w:t>Economic interventions</w:t>
      </w:r>
    </w:p>
    <w:p w:rsidR="00E43591" w:rsidRDefault="00E43591" w:rsidP="00E43591">
      <w:pPr>
        <w:rPr>
          <w:rFonts w:eastAsia="Arial"/>
          <w:sz w:val="20"/>
          <w:szCs w:val="20"/>
        </w:rPr>
      </w:pPr>
    </w:p>
    <w:p w:rsidR="00DB1D34" w:rsidRDefault="00E43591" w:rsidP="00E43591">
      <w:pPr>
        <w:rPr>
          <w:rFonts w:eastAsia="Arial"/>
        </w:rPr>
      </w:pPr>
      <w:r w:rsidRPr="00487F58">
        <w:rPr>
          <w:rFonts w:eastAsia="Arial"/>
        </w:rPr>
        <w:t>Economic interventions are an e</w:t>
      </w:r>
      <w:r w:rsidRPr="00487F58">
        <w:rPr>
          <w:rFonts w:eastAsia="Arial"/>
          <w:spacing w:val="-4"/>
        </w:rPr>
        <w:t>f</w:t>
      </w:r>
      <w:r w:rsidRPr="00487F58">
        <w:rPr>
          <w:rFonts w:eastAsia="Arial"/>
        </w:rPr>
        <w:t>fective way of influencing consumer behaviours and consumption patterns. Higher tobacco prices in</w:t>
      </w:r>
      <w:r w:rsidRPr="00487F58">
        <w:rPr>
          <w:rFonts w:eastAsia="Arial"/>
          <w:spacing w:val="-13"/>
        </w:rPr>
        <w:t xml:space="preserve"> </w:t>
      </w:r>
      <w:r w:rsidRPr="00487F58">
        <w:rPr>
          <w:rFonts w:eastAsia="Arial"/>
        </w:rPr>
        <w:t>Australia due to increases in taxation are credited with helping to bring down the prevalence of smoking, particularly in young people.</w:t>
      </w:r>
      <w:r w:rsidRPr="00487F58">
        <w:rPr>
          <w:rFonts w:eastAsia="Arial"/>
          <w:position w:val="8"/>
          <w:vertAlign w:val="superscript"/>
        </w:rPr>
        <w:t xml:space="preserve"> </w:t>
      </w:r>
      <w:r w:rsidRPr="00487F58">
        <w:rPr>
          <w:rFonts w:eastAsia="Arial"/>
        </w:rPr>
        <w:t>There are also precedents for allocating money raised from taxes on harmful or potentially harmful products to funding of health campaigns.</w:t>
      </w:r>
      <w:r w:rsidRPr="00487F58">
        <w:rPr>
          <w:rFonts w:eastAsia="Arial"/>
          <w:spacing w:val="-4"/>
        </w:rPr>
        <w:t xml:space="preserve"> </w:t>
      </w:r>
      <w:r w:rsidRPr="00487F58">
        <w:rPr>
          <w:rFonts w:eastAsia="Arial"/>
        </w:rPr>
        <w:t xml:space="preserve">The </w:t>
      </w:r>
      <w:r w:rsidR="00025375">
        <w:rPr>
          <w:rFonts w:eastAsia="Arial"/>
        </w:rPr>
        <w:t>World Health Organization</w:t>
      </w:r>
      <w:r w:rsidRPr="00487F58">
        <w:rPr>
          <w:rFonts w:eastAsia="Arial"/>
        </w:rPr>
        <w:t xml:space="preserve"> has identified the potential for tax and other </w:t>
      </w:r>
      <w:r w:rsidR="00DB1D34">
        <w:rPr>
          <w:rFonts w:eastAsia="Arial"/>
        </w:rPr>
        <w:t>economic measures</w:t>
      </w:r>
      <w:r w:rsidRPr="00487F58">
        <w:rPr>
          <w:rFonts w:eastAsia="Arial"/>
        </w:rPr>
        <w:t xml:space="preserve"> (including grants, pricing, incentives and subsidies) to be used to influence healthier nutritional behaviours and reduce harmful alcohol use.</w:t>
      </w:r>
      <w:r w:rsidR="008E4A1B">
        <w:rPr>
          <w:rFonts w:eastAsia="Arial"/>
        </w:rPr>
        <w:fldChar w:fldCharType="begin"/>
      </w:r>
      <w:r w:rsidR="00547316">
        <w:rPr>
          <w:rFonts w:eastAsia="Arial"/>
        </w:rPr>
        <w:instrText xml:space="preserve"> ADDIN EN.CITE &lt;EndNote&gt;&lt;Cite&gt;&lt;Author&gt;World Health Organization&lt;/Author&gt;&lt;Year&gt;2013&lt;/Year&gt;&lt;RecNum&gt;916&lt;/RecNum&gt;&lt;DisplayText&gt;&lt;style face="superscript"&gt;57&lt;/style&gt;&lt;/DisplayText&gt;&lt;record&gt;&lt;rec-number&gt;916&lt;/rec-number&gt;&lt;foreign-keys&gt;&lt;key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Organization&lt;/publisher&gt;&lt;urls&gt;&lt;related-urls&gt;&lt;url&gt;http://www.who.int/nmh/events/ncd_action_plan/en/&lt;/url&gt;&lt;/related-urls&gt;&lt;/urls&gt;&lt;/record&gt;&lt;/Cite&gt;&lt;/EndNote&gt;</w:instrText>
      </w:r>
      <w:r w:rsidR="008E4A1B">
        <w:rPr>
          <w:rFonts w:eastAsia="Arial"/>
        </w:rPr>
        <w:fldChar w:fldCharType="separate"/>
      </w:r>
      <w:r w:rsidR="00547316" w:rsidRPr="00547316">
        <w:rPr>
          <w:rFonts w:eastAsia="Arial"/>
          <w:noProof/>
          <w:vertAlign w:val="superscript"/>
        </w:rPr>
        <w:t>57</w:t>
      </w:r>
      <w:r w:rsidR="008E4A1B">
        <w:rPr>
          <w:rFonts w:eastAsia="Arial"/>
        </w:rPr>
        <w:fldChar w:fldCharType="end"/>
      </w:r>
    </w:p>
    <w:p w:rsidR="0042700A" w:rsidRDefault="0042700A" w:rsidP="00E43591">
      <w:pPr>
        <w:rPr>
          <w:rFonts w:eastAsia="Arial"/>
          <w:color w:val="1F497D" w:themeColor="text2"/>
          <w:sz w:val="28"/>
          <w:szCs w:val="28"/>
        </w:rPr>
      </w:pPr>
    </w:p>
    <w:p w:rsidR="0042700A" w:rsidRDefault="0042700A" w:rsidP="00E43591">
      <w:pPr>
        <w:rPr>
          <w:rFonts w:eastAsia="Arial"/>
          <w:color w:val="1F497D" w:themeColor="text2"/>
          <w:sz w:val="28"/>
          <w:szCs w:val="28"/>
        </w:rPr>
      </w:pPr>
    </w:p>
    <w:p w:rsidR="00226870" w:rsidRDefault="00226870">
      <w:pPr>
        <w:widowControl/>
        <w:spacing w:after="200" w:line="276" w:lineRule="auto"/>
        <w:rPr>
          <w:rFonts w:eastAsia="Arial"/>
          <w:color w:val="1F497D" w:themeColor="text2"/>
          <w:sz w:val="28"/>
          <w:szCs w:val="28"/>
        </w:rPr>
      </w:pPr>
      <w:r>
        <w:rPr>
          <w:rFonts w:eastAsia="Arial"/>
          <w:color w:val="1F497D" w:themeColor="text2"/>
          <w:sz w:val="28"/>
          <w:szCs w:val="28"/>
        </w:rPr>
        <w:br w:type="page"/>
      </w:r>
    </w:p>
    <w:p w:rsidR="00E43591" w:rsidRPr="00854E7D" w:rsidRDefault="00E43591" w:rsidP="00E43591">
      <w:pPr>
        <w:rPr>
          <w:rFonts w:eastAsia="Arial"/>
          <w:color w:val="808080" w:themeColor="background1" w:themeShade="80"/>
          <w:sz w:val="28"/>
          <w:szCs w:val="28"/>
        </w:rPr>
      </w:pPr>
      <w:r w:rsidRPr="00854E7D">
        <w:rPr>
          <w:rFonts w:eastAsia="Arial"/>
          <w:color w:val="808080" w:themeColor="background1" w:themeShade="80"/>
          <w:sz w:val="28"/>
          <w:szCs w:val="28"/>
        </w:rPr>
        <w:lastRenderedPageBreak/>
        <w:t>Supportive environments</w:t>
      </w:r>
    </w:p>
    <w:p w:rsidR="00E43591" w:rsidRDefault="00E43591" w:rsidP="00E43591">
      <w:pPr>
        <w:rPr>
          <w:rFonts w:eastAsia="Arial"/>
          <w:sz w:val="20"/>
          <w:szCs w:val="20"/>
        </w:rPr>
      </w:pPr>
    </w:p>
    <w:p w:rsidR="00E43591" w:rsidRPr="00DB1D34" w:rsidRDefault="00E43591" w:rsidP="00DB1D34">
      <w:pPr>
        <w:rPr>
          <w:rFonts w:eastAsia="Arial"/>
        </w:rPr>
      </w:pPr>
      <w:r w:rsidRPr="00DB1D34">
        <w:rPr>
          <w:rFonts w:eastAsia="Arial"/>
        </w:rPr>
        <w:t>All of the environments we encounter—including the neighbourhood where we live; workplaces, schools and community settings; our social and cultural networks and in the home</w:t>
      </w:r>
      <w:r w:rsidR="00DB1D34" w:rsidRPr="00DB1D34">
        <w:rPr>
          <w:rFonts w:eastAsia="Arial"/>
        </w:rPr>
        <w:t>—</w:t>
      </w:r>
      <w:r w:rsidRPr="00DB1D34">
        <w:rPr>
          <w:rFonts w:eastAsia="Arial"/>
        </w:rPr>
        <w:t>have the potential to influence health outcomes. Environments which support good health may do so by promoting healthy behaviours; by making healthy choices the easier or more attractive choices; by ensuring equitable access to nutritious food; and by denormalising unhealthy or risky behaviours.</w:t>
      </w:r>
    </w:p>
    <w:p w:rsidR="0042700A" w:rsidRDefault="0042700A" w:rsidP="00E43591"/>
    <w:p w:rsidR="00E43591" w:rsidRPr="00854E7D" w:rsidRDefault="00E43591" w:rsidP="00E43591">
      <w:pPr>
        <w:rPr>
          <w:rFonts w:eastAsia="Arial"/>
          <w:color w:val="808080" w:themeColor="background1" w:themeShade="80"/>
          <w:sz w:val="28"/>
          <w:szCs w:val="28"/>
        </w:rPr>
      </w:pPr>
      <w:r w:rsidRPr="00854E7D">
        <w:rPr>
          <w:rFonts w:eastAsia="Arial"/>
          <w:color w:val="808080" w:themeColor="background1" w:themeShade="80"/>
          <w:sz w:val="28"/>
          <w:szCs w:val="28"/>
        </w:rPr>
        <w:t>Public awareness and engagement</w:t>
      </w:r>
    </w:p>
    <w:p w:rsidR="00E43591" w:rsidRDefault="00E43591" w:rsidP="00E43591">
      <w:pPr>
        <w:rPr>
          <w:rFonts w:eastAsia="Arial"/>
          <w:sz w:val="20"/>
          <w:szCs w:val="20"/>
        </w:rPr>
      </w:pPr>
    </w:p>
    <w:p w:rsidR="00E43591" w:rsidRPr="00487F58" w:rsidRDefault="00E43591" w:rsidP="00E43591">
      <w:pPr>
        <w:spacing w:before="48"/>
        <w:rPr>
          <w:rFonts w:eastAsia="Arial"/>
        </w:rPr>
      </w:pPr>
      <w:r w:rsidRPr="00487F58">
        <w:rPr>
          <w:rFonts w:eastAsia="Arial"/>
        </w:rPr>
        <w:t>Raising awareness and engaging public interest prompt and motivate the population to consider their lifestyle behaviours and the potential for changing their behaviour to reduce the risk of chronic disease and injur</w:t>
      </w:r>
      <w:r w:rsidRPr="00487F58">
        <w:rPr>
          <w:rFonts w:eastAsia="Arial"/>
          <w:spacing w:val="-18"/>
        </w:rPr>
        <w:t>y</w:t>
      </w:r>
      <w:r w:rsidRPr="00487F58">
        <w:rPr>
          <w:rFonts w:eastAsia="Arial"/>
        </w:rPr>
        <w:t>. Engaging the public by providing reliable</w:t>
      </w:r>
      <w:r w:rsidR="00FA6B22">
        <w:rPr>
          <w:rFonts w:eastAsia="Arial"/>
        </w:rPr>
        <w:t>, consistent and motivating messages</w:t>
      </w:r>
      <w:r w:rsidRPr="00487F58">
        <w:rPr>
          <w:rFonts w:eastAsia="Arial"/>
        </w:rPr>
        <w:t xml:space="preserve"> </w:t>
      </w:r>
      <w:r w:rsidR="00FA6B22">
        <w:rPr>
          <w:rFonts w:eastAsia="Arial"/>
        </w:rPr>
        <w:t>that are</w:t>
      </w:r>
      <w:r w:rsidRPr="00487F58">
        <w:rPr>
          <w:rFonts w:eastAsia="Arial"/>
        </w:rPr>
        <w:t xml:space="preserve"> relevant at a personal, famil</w:t>
      </w:r>
      <w:r w:rsidRPr="00487F58">
        <w:rPr>
          <w:rFonts w:eastAsia="Arial"/>
          <w:spacing w:val="-18"/>
        </w:rPr>
        <w:t>y</w:t>
      </w:r>
      <w:r w:rsidRPr="00487F58">
        <w:rPr>
          <w:rFonts w:eastAsia="Arial"/>
        </w:rPr>
        <w:t>, organisational or community level also increases the e</w:t>
      </w:r>
      <w:r w:rsidRPr="00487F58">
        <w:rPr>
          <w:rFonts w:eastAsia="Arial"/>
          <w:spacing w:val="-4"/>
        </w:rPr>
        <w:t>f</w:t>
      </w:r>
      <w:r w:rsidRPr="00487F58">
        <w:rPr>
          <w:rFonts w:eastAsia="Arial"/>
        </w:rPr>
        <w:t xml:space="preserve">fectiveness of other health promotion activities. Mass media campaigns have the capacity to deliver real public health gains </w:t>
      </w:r>
      <w:r w:rsidR="00487C58">
        <w:rPr>
          <w:rFonts w:eastAsia="Arial"/>
        </w:rPr>
        <w:t>when</w:t>
      </w:r>
      <w:r w:rsidRPr="00487F58">
        <w:rPr>
          <w:rFonts w:eastAsia="Arial"/>
        </w:rPr>
        <w:t xml:space="preserve"> they are well</w:t>
      </w:r>
      <w:r w:rsidR="00FA6B22">
        <w:rPr>
          <w:rFonts w:eastAsia="Arial"/>
        </w:rPr>
        <w:t>-</w:t>
      </w:r>
      <w:r w:rsidRPr="00487F58">
        <w:rPr>
          <w:rFonts w:eastAsia="Arial"/>
        </w:rPr>
        <w:t>designed and delivered with appropriate reach and intensit</w:t>
      </w:r>
      <w:r w:rsidRPr="00487F58">
        <w:rPr>
          <w:rFonts w:eastAsia="Arial"/>
          <w:spacing w:val="-18"/>
        </w:rPr>
        <w:t>y</w:t>
      </w:r>
      <w:r w:rsidR="00806952">
        <w:rPr>
          <w:rFonts w:eastAsia="Arial"/>
          <w:spacing w:val="-18"/>
        </w:rPr>
        <w:t>.</w:t>
      </w:r>
      <w:r w:rsidR="008E4A1B">
        <w:rPr>
          <w:rFonts w:eastAsia="Arial"/>
          <w:spacing w:val="-18"/>
        </w:rPr>
        <w:fldChar w:fldCharType="begin"/>
      </w:r>
      <w:r w:rsidR="00547316">
        <w:rPr>
          <w:rFonts w:eastAsia="Arial"/>
          <w:spacing w:val="-18"/>
        </w:rPr>
        <w:instrText xml:space="preserve"> ADDIN EN.CITE &lt;EndNote&gt;&lt;Cite&gt;&lt;Author&gt;Wakefield MA&lt;/Author&gt;&lt;Year&gt;2010&lt;/Year&gt;&lt;RecNum&gt;904&lt;/RecNum&gt;&lt;DisplayText&gt;&lt;style face="superscript"&gt;58&lt;/style&gt;&lt;/DisplayText&gt;&lt;record&gt;&lt;rec-number&gt;904&lt;/rec-number&gt;&lt;foreign-keys&gt;&lt;key app="EN" db-id="zxa00wf2opvf9oeeset50xz7ezpfwre2v20z"&gt;904&lt;/key&gt;&lt;/foreign-keys&gt;&lt;ref-type name="Journal Article"&gt;17&lt;/ref-type&gt;&lt;contributors&gt;&lt;authors&gt;&lt;author&gt;Wakefield MA,&lt;/author&gt;&lt;author&gt;Loken B,&lt;/author&gt;&lt;author&gt;Hornik RC,&lt;/author&gt;&lt;/authors&gt;&lt;/contributors&gt;&lt;titles&gt;&lt;title&gt;Use of mass media campaigns to change health behaviour&lt;/title&gt;&lt;secondary-title&gt;The Lancet&lt;/secondary-title&gt;&lt;/titles&gt;&lt;periodical&gt;&lt;full-title&gt;The Lancet&lt;/full-title&gt;&lt;/periodical&gt;&lt;pages&gt;1261-71&lt;/pages&gt;&lt;volume&gt;376&lt;/volume&gt;&lt;dates&gt;&lt;year&gt;2010&lt;/year&gt;&lt;/dates&gt;&lt;urls&gt;&lt;related-urls&gt;&lt;url&gt;http://www.thelancet.com/journals/lancet/article/PIIS0140-6736(10)60809-4/abstract&lt;/url&gt;&lt;/related-urls&gt;&lt;/urls&gt;&lt;/record&gt;&lt;/Cite&gt;&lt;/EndNote&gt;</w:instrText>
      </w:r>
      <w:r w:rsidR="008E4A1B">
        <w:rPr>
          <w:rFonts w:eastAsia="Arial"/>
          <w:spacing w:val="-18"/>
        </w:rPr>
        <w:fldChar w:fldCharType="separate"/>
      </w:r>
      <w:r w:rsidR="00547316" w:rsidRPr="00547316">
        <w:rPr>
          <w:rFonts w:eastAsia="Arial"/>
          <w:noProof/>
          <w:spacing w:val="-18"/>
          <w:vertAlign w:val="superscript"/>
        </w:rPr>
        <w:t>58</w:t>
      </w:r>
      <w:r w:rsidR="008E4A1B">
        <w:rPr>
          <w:rFonts w:eastAsia="Arial"/>
          <w:spacing w:val="-18"/>
        </w:rPr>
        <w:fldChar w:fldCharType="end"/>
      </w:r>
    </w:p>
    <w:p w:rsidR="00E43591" w:rsidRPr="00487F58" w:rsidRDefault="00E43591" w:rsidP="00E43591"/>
    <w:p w:rsidR="00E43591" w:rsidRPr="00487F58" w:rsidRDefault="00E43591" w:rsidP="00E43591">
      <w:pPr>
        <w:rPr>
          <w:rFonts w:eastAsia="Arial"/>
        </w:rPr>
      </w:pPr>
      <w:r w:rsidRPr="00487F58">
        <w:rPr>
          <w:rFonts w:eastAsia="Arial"/>
        </w:rPr>
        <w:t>There are a number of other e</w:t>
      </w:r>
      <w:r w:rsidRPr="00487F58">
        <w:rPr>
          <w:rFonts w:eastAsia="Arial"/>
          <w:spacing w:val="-4"/>
        </w:rPr>
        <w:t>f</w:t>
      </w:r>
      <w:r w:rsidRPr="00487F58">
        <w:rPr>
          <w:rFonts w:eastAsia="Arial"/>
        </w:rPr>
        <w:t>fective ways of conveying health messages and information. For example, clear product information (such as food and alcohol labelling or health warnings on tobacco packs) has an important role in elevating public awareness and knowledge. Professional groups (such as health professionals</w:t>
      </w:r>
      <w:r w:rsidR="00487C58" w:rsidRPr="00487C58">
        <w:rPr>
          <w:rFonts w:eastAsia="Arial"/>
        </w:rPr>
        <w:t xml:space="preserve"> </w:t>
      </w:r>
      <w:r w:rsidR="00487C58">
        <w:rPr>
          <w:rFonts w:eastAsia="Arial"/>
        </w:rPr>
        <w:t>and researchers</w:t>
      </w:r>
      <w:r w:rsidRPr="00487F58">
        <w:rPr>
          <w:rFonts w:eastAsia="Arial"/>
        </w:rPr>
        <w:t>), organisations and the media also have a vital role in disseminating information and contributing to the public discourse about health issues.</w:t>
      </w:r>
    </w:p>
    <w:p w:rsidR="00E43591" w:rsidRDefault="00E43591" w:rsidP="00E43591"/>
    <w:p w:rsidR="00E43591" w:rsidRPr="00854E7D" w:rsidRDefault="00E43591" w:rsidP="00E43591">
      <w:pPr>
        <w:rPr>
          <w:rFonts w:eastAsia="Arial"/>
          <w:color w:val="808080" w:themeColor="background1" w:themeShade="80"/>
          <w:sz w:val="28"/>
          <w:szCs w:val="28"/>
        </w:rPr>
      </w:pPr>
      <w:r w:rsidRPr="00854E7D">
        <w:rPr>
          <w:rFonts w:eastAsia="Arial"/>
          <w:color w:val="808080" w:themeColor="background1" w:themeShade="80"/>
          <w:sz w:val="28"/>
          <w:szCs w:val="28"/>
        </w:rPr>
        <w:t>Community development</w:t>
      </w:r>
    </w:p>
    <w:p w:rsidR="00E43591" w:rsidRDefault="00E43591" w:rsidP="00E43591">
      <w:pPr>
        <w:rPr>
          <w:rFonts w:eastAsia="Arial"/>
          <w:sz w:val="20"/>
          <w:szCs w:val="20"/>
        </w:rPr>
      </w:pPr>
    </w:p>
    <w:p w:rsidR="00E43591" w:rsidRPr="00487F58" w:rsidRDefault="00E43591" w:rsidP="00E43591">
      <w:pPr>
        <w:rPr>
          <w:rFonts w:eastAsia="Arial"/>
        </w:rPr>
      </w:pPr>
      <w:r w:rsidRPr="00487F58">
        <w:rPr>
          <w:rFonts w:eastAsia="Arial"/>
        </w:rPr>
        <w:t>Community approaches to health promotion take into account the social, cultural, economic, environmental, geographical and other factors which make individual communities distinct. The community is directly engaged in identifying the factors which contribute to ill-health in their particular setting, deciding on priorities and working towards finding and implementing solutions. In some circumstances health and other professionals may work in partnership with communities, participating in decision-making and helping to control implementation of initiatives. In other settings, communities steer their own course, with health professi</w:t>
      </w:r>
      <w:r w:rsidR="008F65DF">
        <w:rPr>
          <w:rFonts w:eastAsia="Arial"/>
        </w:rPr>
        <w:t>onals acting as co-facilitators.</w:t>
      </w:r>
      <w:r w:rsidR="008E4A1B">
        <w:rPr>
          <w:rFonts w:eastAsia="Arial"/>
        </w:rPr>
        <w:fldChar w:fldCharType="begin"/>
      </w:r>
      <w:r w:rsidR="00547316">
        <w:rPr>
          <w:rFonts w:eastAsia="Arial"/>
        </w:rPr>
        <w:instrText xml:space="preserve"> ADDIN EN.CITE &lt;EndNote&gt;&lt;Cite&gt;&lt;Author&gt;Keleher&lt;/Author&gt;&lt;Year&gt;2007&lt;/Year&gt;&lt;RecNum&gt;568&lt;/RecNum&gt;&lt;DisplayText&gt;&lt;style face="superscript"&gt;59&lt;/style&gt;&lt;/DisplayText&gt;&lt;record&gt;&lt;rec-number&gt;568&lt;/rec-number&gt;&lt;foreign-keys&gt;&lt;key app="EN" db-id="zxa00wf2opvf9oeeset50xz7ezpfwre2v20z"&gt;568&lt;/key&gt;&lt;/foreign-keys&gt;&lt;ref-type name="Book Section"&gt;5&lt;/ref-type&gt;&lt;contributors&gt;&lt;authors&gt;&lt;author&gt;Keleher, H&lt;/author&gt;&lt;/authors&gt;&lt;secondary-authors&gt;&lt;author&gt;Keleher, H&lt;/author&gt;&lt;author&gt;MacDougall, C&lt;/author&gt;&lt;author&gt;Murphy, B&lt;/author&gt;&lt;/secondary-authors&gt;&lt;/contributors&gt;&lt;titles&gt;&lt;title&gt;Reframing health promotion&lt;/title&gt;&lt;secondary-title&gt;Understanding health promotion&lt;/secondary-title&gt;&lt;/titles&gt;&lt;dates&gt;&lt;year&gt;2007&lt;/year&gt;&lt;/dates&gt;&lt;pub-location&gt;Melbourne&lt;/pub-location&gt;&lt;publisher&gt;Oxford University Press&lt;/publisher&gt;&lt;urls&gt;&lt;/urls&gt;&lt;/record&gt;&lt;/Cite&gt;&lt;/EndNote&gt;</w:instrText>
      </w:r>
      <w:r w:rsidR="008E4A1B">
        <w:rPr>
          <w:rFonts w:eastAsia="Arial"/>
        </w:rPr>
        <w:fldChar w:fldCharType="separate"/>
      </w:r>
      <w:r w:rsidR="00547316" w:rsidRPr="00547316">
        <w:rPr>
          <w:rFonts w:eastAsia="Arial"/>
          <w:noProof/>
          <w:vertAlign w:val="superscript"/>
        </w:rPr>
        <w:t>59</w:t>
      </w:r>
      <w:r w:rsidR="008E4A1B">
        <w:rPr>
          <w:rFonts w:eastAsia="Arial"/>
        </w:rPr>
        <w:fldChar w:fldCharType="end"/>
      </w:r>
    </w:p>
    <w:p w:rsidR="00E43591" w:rsidRPr="00487F58" w:rsidRDefault="00E43591" w:rsidP="00E43591"/>
    <w:p w:rsidR="00E43591" w:rsidRPr="00487F58" w:rsidRDefault="00E43591" w:rsidP="00E43591">
      <w:pPr>
        <w:rPr>
          <w:rFonts w:eastAsia="Arial"/>
        </w:rPr>
      </w:pPr>
      <w:r w:rsidRPr="00487F58">
        <w:rPr>
          <w:rFonts w:eastAsia="Arial"/>
        </w:rPr>
        <w:t>Community development fosters participation, empowerment and sustainabilit</w:t>
      </w:r>
      <w:r w:rsidRPr="00487F58">
        <w:rPr>
          <w:rFonts w:eastAsia="Arial"/>
          <w:spacing w:val="-18"/>
        </w:rPr>
        <w:t>y</w:t>
      </w:r>
      <w:r w:rsidRPr="00487F58">
        <w:rPr>
          <w:rFonts w:eastAsia="Arial"/>
        </w:rPr>
        <w:t>.</w:t>
      </w:r>
      <w:r w:rsidRPr="00487F58">
        <w:rPr>
          <w:rFonts w:eastAsia="Arial"/>
          <w:spacing w:val="-4"/>
        </w:rPr>
        <w:t xml:space="preserve"> </w:t>
      </w:r>
      <w:r w:rsidRPr="00487F58">
        <w:rPr>
          <w:rFonts w:eastAsia="Arial"/>
        </w:rPr>
        <w:t>These important elements help to build more equitable, healthy and resilient communities.</w:t>
      </w:r>
    </w:p>
    <w:p w:rsidR="00E43591" w:rsidRDefault="00E43591" w:rsidP="00E43591">
      <w:pPr>
        <w:rPr>
          <w:rFonts w:eastAsia="Arial"/>
          <w:color w:val="1F497D" w:themeColor="text2"/>
          <w:sz w:val="28"/>
          <w:szCs w:val="28"/>
        </w:rPr>
      </w:pPr>
    </w:p>
    <w:p w:rsidR="00E43591" w:rsidRPr="00854E7D" w:rsidRDefault="00E43591" w:rsidP="00E43591">
      <w:pPr>
        <w:rPr>
          <w:rFonts w:eastAsia="Arial"/>
          <w:color w:val="808080" w:themeColor="background1" w:themeShade="80"/>
          <w:sz w:val="28"/>
          <w:szCs w:val="28"/>
        </w:rPr>
      </w:pPr>
      <w:r w:rsidRPr="00854E7D">
        <w:rPr>
          <w:rFonts w:eastAsia="Arial"/>
          <w:color w:val="808080" w:themeColor="background1" w:themeShade="80"/>
          <w:sz w:val="28"/>
          <w:szCs w:val="28"/>
        </w:rPr>
        <w:t>Targeted interventions</w:t>
      </w:r>
    </w:p>
    <w:p w:rsidR="00E43591" w:rsidRDefault="00E43591" w:rsidP="00E43591">
      <w:pPr>
        <w:rPr>
          <w:rFonts w:eastAsia="Arial"/>
          <w:sz w:val="20"/>
          <w:szCs w:val="20"/>
        </w:rPr>
      </w:pPr>
    </w:p>
    <w:p w:rsidR="00E43591" w:rsidRPr="00487F58" w:rsidRDefault="00E43591" w:rsidP="00E43591">
      <w:pPr>
        <w:spacing w:before="48"/>
        <w:ind w:right="-20"/>
        <w:rPr>
          <w:rFonts w:eastAsia="Arial"/>
        </w:rPr>
      </w:pPr>
      <w:r w:rsidRPr="00D17724">
        <w:rPr>
          <w:rFonts w:eastAsia="Arial"/>
          <w:spacing w:val="-27"/>
        </w:rPr>
        <w:t>T</w:t>
      </w:r>
      <w:r w:rsidRPr="00D17724">
        <w:rPr>
          <w:rFonts w:eastAsia="Arial"/>
        </w:rPr>
        <w:t xml:space="preserve">argeted interventions refer to delivery of health interventions in </w:t>
      </w:r>
      <w:r w:rsidRPr="00D17724">
        <w:rPr>
          <w:rFonts w:eastAsia="Arial"/>
          <w:bCs/>
        </w:rPr>
        <w:t xml:space="preserve">specific settings </w:t>
      </w:r>
      <w:r w:rsidRPr="00D17724">
        <w:rPr>
          <w:rFonts w:eastAsia="Arial"/>
        </w:rPr>
        <w:t>(such as workplaces, schools, leisure centres and GP</w:t>
      </w:r>
      <w:r w:rsidRPr="00D17724">
        <w:rPr>
          <w:rFonts w:eastAsia="Arial"/>
          <w:spacing w:val="-4"/>
        </w:rPr>
        <w:t xml:space="preserve"> </w:t>
      </w:r>
      <w:r w:rsidRPr="00D17724">
        <w:rPr>
          <w:rFonts w:eastAsia="Arial"/>
        </w:rPr>
        <w:t>surgeries)</w:t>
      </w:r>
      <w:r w:rsidR="00C74AFA" w:rsidRPr="00D17724">
        <w:rPr>
          <w:rFonts w:eastAsia="Arial"/>
        </w:rPr>
        <w:t>,</w:t>
      </w:r>
      <w:r w:rsidRPr="00D17724">
        <w:rPr>
          <w:rFonts w:eastAsia="Arial"/>
        </w:rPr>
        <w:t xml:space="preserve"> </w:t>
      </w:r>
      <w:r w:rsidRPr="00D17724">
        <w:rPr>
          <w:rFonts w:eastAsia="Arial"/>
          <w:bCs/>
        </w:rPr>
        <w:t xml:space="preserve">specific communities </w:t>
      </w:r>
      <w:r w:rsidRPr="00D17724">
        <w:rPr>
          <w:rFonts w:eastAsia="Arial"/>
        </w:rPr>
        <w:t>(such as remote</w:t>
      </w:r>
      <w:r w:rsidRPr="00D17724">
        <w:rPr>
          <w:rFonts w:eastAsia="Arial"/>
          <w:spacing w:val="-13"/>
        </w:rPr>
        <w:t xml:space="preserve"> </w:t>
      </w:r>
      <w:r w:rsidRPr="00D17724">
        <w:rPr>
          <w:rFonts w:eastAsia="Arial"/>
        </w:rPr>
        <w:t xml:space="preserve">Aboriginal communities or local government areas) or to </w:t>
      </w:r>
      <w:r w:rsidRPr="00D17724">
        <w:rPr>
          <w:rFonts w:eastAsia="Arial"/>
          <w:bCs/>
        </w:rPr>
        <w:t xml:space="preserve">particular groups </w:t>
      </w:r>
      <w:r w:rsidRPr="00D17724">
        <w:rPr>
          <w:rFonts w:eastAsia="Arial"/>
        </w:rPr>
        <w:t xml:space="preserve">(for example parents, and </w:t>
      </w:r>
      <w:r w:rsidR="000E5592">
        <w:rPr>
          <w:rFonts w:eastAsia="Arial"/>
        </w:rPr>
        <w:t>CaLD</w:t>
      </w:r>
      <w:r w:rsidRPr="00487F58">
        <w:rPr>
          <w:rFonts w:eastAsia="Arial"/>
        </w:rPr>
        <w:t xml:space="preserve"> groups), or a combination of </w:t>
      </w:r>
      <w:r w:rsidRPr="00487F58">
        <w:rPr>
          <w:rFonts w:eastAsia="Arial"/>
        </w:rPr>
        <w:lastRenderedPageBreak/>
        <w:t>these.</w:t>
      </w:r>
      <w:r w:rsidRPr="00487F58">
        <w:rPr>
          <w:rFonts w:eastAsia="Arial"/>
          <w:spacing w:val="-4"/>
        </w:rPr>
        <w:t xml:space="preserve"> </w:t>
      </w:r>
      <w:r w:rsidRPr="00487F58">
        <w:rPr>
          <w:rFonts w:eastAsia="Arial"/>
          <w:spacing w:val="-27"/>
        </w:rPr>
        <w:t>T</w:t>
      </w:r>
      <w:r w:rsidRPr="00487F58">
        <w:rPr>
          <w:rFonts w:eastAsia="Arial"/>
        </w:rPr>
        <w:t xml:space="preserve">argeted interventions need to include, or be part of a larger integrated suite of activities which take </w:t>
      </w:r>
      <w:r w:rsidR="00C74AFA">
        <w:rPr>
          <w:rFonts w:eastAsia="Arial"/>
        </w:rPr>
        <w:t xml:space="preserve">into </w:t>
      </w:r>
      <w:r w:rsidRPr="00487F58">
        <w:rPr>
          <w:rFonts w:eastAsia="Arial"/>
        </w:rPr>
        <w:t xml:space="preserve">account the </w:t>
      </w:r>
      <w:r w:rsidR="00F7097F">
        <w:rPr>
          <w:rFonts w:eastAsia="Arial"/>
        </w:rPr>
        <w:t xml:space="preserve">environmental </w:t>
      </w:r>
      <w:r w:rsidRPr="00487F58">
        <w:rPr>
          <w:rFonts w:eastAsia="Arial"/>
        </w:rPr>
        <w:t>and individual determinants of health.</w:t>
      </w:r>
      <w:r w:rsidRPr="00487F58">
        <w:rPr>
          <w:rFonts w:eastAsia="Arial"/>
          <w:spacing w:val="-4"/>
        </w:rPr>
        <w:t xml:space="preserve"> </w:t>
      </w:r>
      <w:r w:rsidRPr="00487F58">
        <w:rPr>
          <w:rFonts w:eastAsia="Arial"/>
          <w:spacing w:val="-27"/>
        </w:rPr>
        <w:t>T</w:t>
      </w:r>
      <w:r w:rsidRPr="00487F58">
        <w:rPr>
          <w:rFonts w:eastAsia="Arial"/>
        </w:rPr>
        <w:t>argeted interventions also need to take account of, and support the improvement of health literacy skills.</w:t>
      </w:r>
    </w:p>
    <w:p w:rsidR="00E43591" w:rsidRPr="00487F58" w:rsidRDefault="00E43591" w:rsidP="00E43591"/>
    <w:p w:rsidR="00E43591" w:rsidRPr="00487F58" w:rsidRDefault="00E43591" w:rsidP="00E43591">
      <w:pPr>
        <w:rPr>
          <w:rFonts w:eastAsia="Arial"/>
        </w:rPr>
      </w:pPr>
      <w:r w:rsidRPr="00487F58">
        <w:rPr>
          <w:rFonts w:eastAsia="Arial"/>
        </w:rPr>
        <w:t>Providing public health messages in specific settings increases the likelihood that they will reach their target audiences, and enables tailoring of messages and associated support activities which will increase their likelihood of success</w:t>
      </w:r>
      <w:r w:rsidR="000B5170">
        <w:rPr>
          <w:rFonts w:eastAsia="Arial"/>
        </w:rPr>
        <w:t>.</w:t>
      </w:r>
    </w:p>
    <w:p w:rsidR="00BD2F7A" w:rsidRDefault="00BD2F7A" w:rsidP="00E43591">
      <w:pPr>
        <w:rPr>
          <w:rFonts w:eastAsia="Arial"/>
          <w:sz w:val="20"/>
          <w:szCs w:val="20"/>
        </w:rPr>
      </w:pPr>
    </w:p>
    <w:p w:rsidR="00E43591" w:rsidRPr="00487F58" w:rsidRDefault="00E43591" w:rsidP="00E43591">
      <w:pPr>
        <w:rPr>
          <w:rFonts w:eastAsia="Arial"/>
          <w:color w:val="1F497D" w:themeColor="text2"/>
          <w:sz w:val="28"/>
          <w:szCs w:val="28"/>
        </w:rPr>
      </w:pPr>
      <w:r w:rsidRPr="00854E7D">
        <w:rPr>
          <w:rFonts w:eastAsia="Arial"/>
          <w:color w:val="808080" w:themeColor="background1" w:themeShade="80"/>
          <w:sz w:val="28"/>
          <w:szCs w:val="28"/>
        </w:rPr>
        <w:t xml:space="preserve">Strategic coordination, building partnerships and </w:t>
      </w:r>
      <w:r w:rsidR="0040648B" w:rsidRPr="00854E7D">
        <w:rPr>
          <w:rFonts w:eastAsia="Arial"/>
          <w:color w:val="808080" w:themeColor="background1" w:themeShade="80"/>
          <w:sz w:val="28"/>
          <w:szCs w:val="28"/>
        </w:rPr>
        <w:t>workforce development</w:t>
      </w:r>
    </w:p>
    <w:p w:rsidR="00E43591" w:rsidRDefault="00E43591" w:rsidP="00E43591">
      <w:pPr>
        <w:rPr>
          <w:rFonts w:eastAsia="Arial"/>
          <w:color w:val="000000"/>
          <w:sz w:val="20"/>
          <w:szCs w:val="20"/>
        </w:rPr>
      </w:pPr>
    </w:p>
    <w:p w:rsidR="000F0981" w:rsidRPr="00B57605" w:rsidRDefault="000F553C" w:rsidP="00A42B80">
      <w:pPr>
        <w:ind w:right="1013"/>
        <w:rPr>
          <w:rFonts w:eastAsia="Arial"/>
        </w:rPr>
      </w:pPr>
      <w:r w:rsidRPr="00B57605">
        <w:rPr>
          <w:rFonts w:eastAsia="Arial"/>
        </w:rPr>
        <w:t xml:space="preserve">As </w:t>
      </w:r>
      <w:r w:rsidRPr="009B5E3D">
        <w:rPr>
          <w:rFonts w:eastAsia="Arial"/>
        </w:rPr>
        <w:t xml:space="preserve">noted in Principle 2 (p </w:t>
      </w:r>
      <w:r w:rsidR="00711C02" w:rsidRPr="009B5E3D">
        <w:rPr>
          <w:rFonts w:eastAsia="Arial"/>
        </w:rPr>
        <w:t>27</w:t>
      </w:r>
      <w:r w:rsidRPr="009B5E3D">
        <w:rPr>
          <w:rFonts w:eastAsia="Arial"/>
        </w:rPr>
        <w:t xml:space="preserve"> above), </w:t>
      </w:r>
      <w:r w:rsidR="005A362E" w:rsidRPr="009B5E3D">
        <w:rPr>
          <w:rFonts w:eastAsia="Arial"/>
        </w:rPr>
        <w:t>a</w:t>
      </w:r>
      <w:r w:rsidR="005A362E" w:rsidRPr="00876C1C">
        <w:rPr>
          <w:rFonts w:eastAsia="Arial"/>
        </w:rPr>
        <w:t xml:space="preserve"> coordinated</w:t>
      </w:r>
      <w:r w:rsidR="00FE294A" w:rsidRPr="00876C1C">
        <w:rPr>
          <w:rFonts w:eastAsia="Arial"/>
        </w:rPr>
        <w:t xml:space="preserve">, partnership </w:t>
      </w:r>
      <w:r w:rsidR="005A362E" w:rsidRPr="00876C1C">
        <w:rPr>
          <w:rFonts w:eastAsia="Arial"/>
        </w:rPr>
        <w:t xml:space="preserve">approach to </w:t>
      </w:r>
      <w:r w:rsidR="00FE294A" w:rsidRPr="00876C1C">
        <w:rPr>
          <w:rFonts w:eastAsia="Arial"/>
        </w:rPr>
        <w:t>tackling chronic disease and injury prevention</w:t>
      </w:r>
      <w:r w:rsidR="00FE294A" w:rsidRPr="00B57605">
        <w:rPr>
          <w:rFonts w:eastAsia="Arial"/>
        </w:rPr>
        <w:t xml:space="preserve"> is </w:t>
      </w:r>
      <w:r w:rsidR="00BC4313" w:rsidRPr="00B57605">
        <w:rPr>
          <w:rFonts w:eastAsia="Arial"/>
        </w:rPr>
        <w:t>essential to ensure that</w:t>
      </w:r>
      <w:r w:rsidR="00C6498C" w:rsidRPr="00B57605">
        <w:rPr>
          <w:rFonts w:eastAsia="Arial"/>
        </w:rPr>
        <w:t xml:space="preserve"> the reach and impact of health-promoting</w:t>
      </w:r>
      <w:r w:rsidR="00BC4313" w:rsidRPr="00B57605">
        <w:rPr>
          <w:rFonts w:eastAsia="Arial"/>
        </w:rPr>
        <w:t xml:space="preserve"> </w:t>
      </w:r>
      <w:r w:rsidR="00F00A8F" w:rsidRPr="00B57605">
        <w:rPr>
          <w:rFonts w:eastAsia="Arial"/>
        </w:rPr>
        <w:t>interventions are as effective as possible.</w:t>
      </w:r>
    </w:p>
    <w:p w:rsidR="000F0981" w:rsidRDefault="000F0981" w:rsidP="00A42B80">
      <w:pPr>
        <w:ind w:right="1013"/>
        <w:rPr>
          <w:rFonts w:eastAsia="Arial"/>
          <w:highlight w:val="yellow"/>
        </w:rPr>
      </w:pPr>
    </w:p>
    <w:p w:rsidR="007A6039" w:rsidRPr="007A6039" w:rsidRDefault="00B27C2D" w:rsidP="00854E7D">
      <w:pPr>
        <w:shd w:val="clear" w:color="auto" w:fill="F2F2F2" w:themeFill="background1" w:themeFillShade="F2"/>
        <w:ind w:right="1013"/>
        <w:rPr>
          <w:rFonts w:eastAsia="Arial"/>
        </w:rPr>
      </w:pPr>
      <w:r>
        <w:rPr>
          <w:rFonts w:eastAsia="Arial"/>
        </w:rPr>
        <w:t>As the underlying determinants of non</w:t>
      </w:r>
      <w:r w:rsidR="003002FE">
        <w:rPr>
          <w:rFonts w:eastAsia="Arial"/>
        </w:rPr>
        <w:t>-</w:t>
      </w:r>
      <w:r>
        <w:rPr>
          <w:rFonts w:eastAsia="Arial"/>
        </w:rPr>
        <w:t>communicable diseases often lie outside the health sector, strategies need the involvement of both public and private actors in multiple sectors such as agriculture, finance, trade, transport, urban planning, education and sport.</w:t>
      </w:r>
      <w:r w:rsidR="009E49D6">
        <w:rPr>
          <w:rFonts w:eastAsia="Arial"/>
        </w:rPr>
        <w:fldChar w:fldCharType="begin"/>
      </w:r>
      <w:r w:rsidR="00547316">
        <w:rPr>
          <w:rFonts w:eastAsia="Arial"/>
        </w:rPr>
        <w:instrText xml:space="preserve"> ADDIN EN.CITE &lt;EndNote&gt;&lt;Cite&gt;&lt;Author&gt;World Health Organization&lt;/Author&gt;&lt;Year&gt;2008&lt;/Year&gt;&lt;RecNum&gt;944&lt;/RecNum&gt;&lt;DisplayText&gt;&lt;style face="superscript"&gt;60&lt;/style&gt;&lt;/DisplayText&gt;&lt;record&gt;&lt;rec-number&gt;944&lt;/rec-number&gt;&lt;foreign-keys&gt;&lt;key app="EN" db-id="zxa00wf2opvf9oeeset50xz7ezpfwre2v20z"&gt;944&lt;/key&gt;&lt;/foreign-keys&gt;&lt;ref-type name="Report"&gt;27&lt;/ref-type&gt;&lt;contributors&gt;&lt;authors&gt;&lt;author&gt;World Health Organization,&lt;/author&gt;&lt;/authors&gt;&lt;/contributors&gt;&lt;titles&gt;&lt;title&gt;2008-2013 action plan for the global strategy for the prevention and control of noncommunicable diseases&lt;/title&gt;&lt;/titles&gt;&lt;dates&gt;&lt;year&gt;2008&lt;/year&gt;&lt;/dates&gt;&lt;pub-location&gt;Geneva&lt;/pub-location&gt;&lt;publisher&gt;WHO&lt;/publisher&gt;&lt;urls&gt;&lt;related-urls&gt;&lt;url&gt;http://www.who.int/nmh/publications/9789241597418/en/&lt;/url&gt;&lt;/related-urls&gt;&lt;/urls&gt;&lt;/record&gt;&lt;/Cite&gt;&lt;/EndNote&gt;</w:instrText>
      </w:r>
      <w:r w:rsidR="009E49D6">
        <w:rPr>
          <w:rFonts w:eastAsia="Arial"/>
        </w:rPr>
        <w:fldChar w:fldCharType="separate"/>
      </w:r>
      <w:r w:rsidR="00547316" w:rsidRPr="00547316">
        <w:rPr>
          <w:rFonts w:eastAsia="Arial"/>
          <w:noProof/>
          <w:vertAlign w:val="superscript"/>
        </w:rPr>
        <w:t>60</w:t>
      </w:r>
      <w:r w:rsidR="009E49D6">
        <w:rPr>
          <w:rFonts w:eastAsia="Arial"/>
        </w:rPr>
        <w:fldChar w:fldCharType="end"/>
      </w:r>
    </w:p>
    <w:p w:rsidR="007A6039" w:rsidRPr="007A6039" w:rsidRDefault="007A6039" w:rsidP="00A42B80">
      <w:pPr>
        <w:ind w:right="1013"/>
        <w:rPr>
          <w:rFonts w:eastAsia="Arial"/>
        </w:rPr>
      </w:pPr>
    </w:p>
    <w:p w:rsidR="00A42B80" w:rsidRPr="007A6039" w:rsidRDefault="008137DB" w:rsidP="00A42B80">
      <w:pPr>
        <w:ind w:right="1013"/>
        <w:rPr>
          <w:rFonts w:eastAsia="Arial"/>
        </w:rPr>
      </w:pPr>
      <w:r w:rsidRPr="007A6039">
        <w:rPr>
          <w:rFonts w:eastAsia="Arial"/>
        </w:rPr>
        <w:t>The Department of Health is</w:t>
      </w:r>
      <w:r w:rsidR="00205766" w:rsidRPr="007A6039">
        <w:rPr>
          <w:rFonts w:eastAsia="Arial"/>
        </w:rPr>
        <w:t xml:space="preserve"> well-positioned</w:t>
      </w:r>
      <w:r w:rsidRPr="007A6039">
        <w:rPr>
          <w:rFonts w:eastAsia="Arial"/>
        </w:rPr>
        <w:t xml:space="preserve"> to act as a coordinating agency to assist in aligning strategic planning and policy priorities </w:t>
      </w:r>
      <w:r w:rsidR="005A342F" w:rsidRPr="007A6039">
        <w:rPr>
          <w:rFonts w:eastAsia="Arial"/>
        </w:rPr>
        <w:t xml:space="preserve">and </w:t>
      </w:r>
      <w:r w:rsidR="007D70E5" w:rsidRPr="007A6039">
        <w:rPr>
          <w:rFonts w:eastAsia="Arial"/>
        </w:rPr>
        <w:t>developing</w:t>
      </w:r>
      <w:r w:rsidR="005A342F" w:rsidRPr="007A6039">
        <w:rPr>
          <w:rFonts w:eastAsia="Arial"/>
        </w:rPr>
        <w:t xml:space="preserve"> productive partnerships </w:t>
      </w:r>
      <w:r w:rsidR="00205766" w:rsidRPr="007A6039">
        <w:rPr>
          <w:rFonts w:eastAsia="Arial"/>
        </w:rPr>
        <w:t>across</w:t>
      </w:r>
      <w:r w:rsidR="005A342F" w:rsidRPr="007A6039">
        <w:rPr>
          <w:rFonts w:eastAsia="Arial"/>
        </w:rPr>
        <w:t xml:space="preserve"> sectors </w:t>
      </w:r>
      <w:r w:rsidR="004242BE" w:rsidRPr="007A6039">
        <w:rPr>
          <w:rFonts w:eastAsia="Arial"/>
        </w:rPr>
        <w:t xml:space="preserve">that </w:t>
      </w:r>
      <w:r w:rsidR="00205766" w:rsidRPr="007A6039">
        <w:rPr>
          <w:rFonts w:eastAsia="Arial"/>
        </w:rPr>
        <w:t>may</w:t>
      </w:r>
      <w:r w:rsidR="005A342F" w:rsidRPr="007A6039">
        <w:rPr>
          <w:rFonts w:eastAsia="Arial"/>
        </w:rPr>
        <w:t xml:space="preserve"> not traditionally </w:t>
      </w:r>
      <w:r w:rsidR="00205766" w:rsidRPr="007A6039">
        <w:rPr>
          <w:rFonts w:eastAsia="Arial"/>
        </w:rPr>
        <w:t xml:space="preserve">be </w:t>
      </w:r>
      <w:r w:rsidR="005A342F" w:rsidRPr="007A6039">
        <w:rPr>
          <w:rFonts w:eastAsia="Arial"/>
        </w:rPr>
        <w:t xml:space="preserve">seen as </w:t>
      </w:r>
      <w:r w:rsidR="00205766" w:rsidRPr="007A6039">
        <w:rPr>
          <w:rFonts w:eastAsia="Arial"/>
        </w:rPr>
        <w:t>active participants</w:t>
      </w:r>
      <w:r w:rsidR="005A342F" w:rsidRPr="007A6039">
        <w:rPr>
          <w:rFonts w:eastAsia="Arial"/>
        </w:rPr>
        <w:t xml:space="preserve"> in the health domain, but </w:t>
      </w:r>
      <w:r w:rsidR="004242BE" w:rsidRPr="007A6039">
        <w:rPr>
          <w:rFonts w:eastAsia="Arial"/>
        </w:rPr>
        <w:t>that</w:t>
      </w:r>
      <w:r w:rsidR="005A342F" w:rsidRPr="007A6039">
        <w:rPr>
          <w:rFonts w:eastAsia="Arial"/>
        </w:rPr>
        <w:t xml:space="preserve"> have the capacity to influence health and wellbeing; especially the upstream, system</w:t>
      </w:r>
      <w:r w:rsidR="007A6B18" w:rsidRPr="007A6039">
        <w:rPr>
          <w:rFonts w:eastAsia="Arial"/>
        </w:rPr>
        <w:t>ic</w:t>
      </w:r>
      <w:r w:rsidR="005A342F" w:rsidRPr="007A6039">
        <w:rPr>
          <w:rFonts w:eastAsia="Arial"/>
        </w:rPr>
        <w:t xml:space="preserve"> factors which influence </w:t>
      </w:r>
      <w:r w:rsidR="007A6B18" w:rsidRPr="007A6039">
        <w:rPr>
          <w:rFonts w:eastAsia="Arial"/>
        </w:rPr>
        <w:t>the determinants of</w:t>
      </w:r>
      <w:r w:rsidR="005A342F" w:rsidRPr="007A6039">
        <w:rPr>
          <w:rFonts w:eastAsia="Arial"/>
        </w:rPr>
        <w:t xml:space="preserve"> health (Figure </w:t>
      </w:r>
      <w:r w:rsidR="009F2409">
        <w:rPr>
          <w:rFonts w:eastAsia="Arial"/>
        </w:rPr>
        <w:t>1</w:t>
      </w:r>
      <w:r w:rsidR="005A342F" w:rsidRPr="007A6039">
        <w:rPr>
          <w:rFonts w:eastAsia="Arial"/>
        </w:rPr>
        <w:t xml:space="preserve">). </w:t>
      </w:r>
      <w:r w:rsidR="008A64DB" w:rsidRPr="007A6039">
        <w:rPr>
          <w:rFonts w:eastAsia="Arial"/>
        </w:rPr>
        <w:t xml:space="preserve">There is the potential for the development of synergistic policies with a </w:t>
      </w:r>
      <w:r w:rsidR="005A342F" w:rsidRPr="007A6039">
        <w:rPr>
          <w:rFonts w:eastAsia="Arial"/>
        </w:rPr>
        <w:t>number of Government Departments and Agencies</w:t>
      </w:r>
      <w:r w:rsidR="00E26A57" w:rsidRPr="007A6039">
        <w:rPr>
          <w:rFonts w:eastAsia="Arial"/>
        </w:rPr>
        <w:t xml:space="preserve"> (many of which already take public health concerns into consideration)</w:t>
      </w:r>
      <w:r w:rsidR="005A342F" w:rsidRPr="007A6039">
        <w:rPr>
          <w:rFonts w:eastAsia="Arial"/>
        </w:rPr>
        <w:t xml:space="preserve">, and the non-government organisations which </w:t>
      </w:r>
      <w:r w:rsidR="002170B6" w:rsidRPr="007A6039">
        <w:rPr>
          <w:rFonts w:eastAsia="Arial"/>
        </w:rPr>
        <w:t>are active</w:t>
      </w:r>
      <w:r w:rsidR="007D70E5" w:rsidRPr="007A6039">
        <w:rPr>
          <w:rFonts w:eastAsia="Arial"/>
        </w:rPr>
        <w:t xml:space="preserve"> within those sectors.</w:t>
      </w:r>
      <w:r w:rsidR="005A342F" w:rsidRPr="007A6039">
        <w:rPr>
          <w:rFonts w:eastAsia="Arial"/>
        </w:rPr>
        <w:t xml:space="preserve"> </w:t>
      </w:r>
      <w:r w:rsidR="002F39E7" w:rsidRPr="007A6039">
        <w:rPr>
          <w:rFonts w:eastAsia="Arial"/>
        </w:rPr>
        <w:t>The Department of Healt</w:t>
      </w:r>
      <w:r w:rsidR="006F6A02" w:rsidRPr="007A6039">
        <w:rPr>
          <w:rFonts w:eastAsia="Arial"/>
        </w:rPr>
        <w:t xml:space="preserve">h </w:t>
      </w:r>
      <w:r w:rsidR="001D545A" w:rsidRPr="007A6039">
        <w:rPr>
          <w:rFonts w:eastAsia="Arial"/>
        </w:rPr>
        <w:t xml:space="preserve">can </w:t>
      </w:r>
      <w:r w:rsidR="00CF1D13" w:rsidRPr="007A6039">
        <w:rPr>
          <w:rFonts w:eastAsia="Arial"/>
        </w:rPr>
        <w:t>provide a leadership role by guiding evidence-based policy-making; providing expert information and resources, facilitating access to relevant</w:t>
      </w:r>
      <w:r w:rsidR="006F6A02" w:rsidRPr="007A6039">
        <w:rPr>
          <w:rFonts w:eastAsia="Arial"/>
        </w:rPr>
        <w:t xml:space="preserve">, quality data, </w:t>
      </w:r>
      <w:r w:rsidR="00BD40F2" w:rsidRPr="007A6039">
        <w:rPr>
          <w:rFonts w:eastAsia="Arial"/>
        </w:rPr>
        <w:t xml:space="preserve">and </w:t>
      </w:r>
      <w:r w:rsidR="001D545A" w:rsidRPr="007A6039">
        <w:rPr>
          <w:rFonts w:eastAsia="Arial"/>
        </w:rPr>
        <w:t xml:space="preserve">connecting partners to </w:t>
      </w:r>
      <w:r w:rsidR="00A67F6C" w:rsidRPr="007A6039">
        <w:rPr>
          <w:rFonts w:eastAsia="Arial"/>
        </w:rPr>
        <w:t xml:space="preserve">broader health-promoting </w:t>
      </w:r>
      <w:r w:rsidR="00BD40F2" w:rsidRPr="007A6039">
        <w:rPr>
          <w:rFonts w:eastAsia="Arial"/>
        </w:rPr>
        <w:t>networks</w:t>
      </w:r>
      <w:r w:rsidR="00A67F6C" w:rsidRPr="007A6039">
        <w:rPr>
          <w:rFonts w:eastAsia="Arial"/>
        </w:rPr>
        <w:t>.</w:t>
      </w:r>
      <w:r w:rsidR="00BD40F2" w:rsidRPr="007A6039">
        <w:rPr>
          <w:rFonts w:eastAsia="Arial"/>
        </w:rPr>
        <w:t xml:space="preserve"> </w:t>
      </w:r>
    </w:p>
    <w:p w:rsidR="00BB7C8E" w:rsidRPr="007A6039" w:rsidRDefault="00BB7C8E" w:rsidP="00A42B80">
      <w:pPr>
        <w:ind w:right="1013"/>
        <w:rPr>
          <w:rFonts w:eastAsia="Arial"/>
        </w:rPr>
      </w:pPr>
    </w:p>
    <w:p w:rsidR="00A42B80" w:rsidRPr="00B57605" w:rsidRDefault="00A42B80" w:rsidP="00A42B80">
      <w:pPr>
        <w:ind w:right="1013"/>
        <w:rPr>
          <w:rFonts w:eastAsia="Arial"/>
        </w:rPr>
      </w:pPr>
      <w:r w:rsidRPr="007A6039">
        <w:rPr>
          <w:rFonts w:eastAsia="Arial"/>
        </w:rPr>
        <w:t>The health sector comprises a large</w:t>
      </w:r>
      <w:r w:rsidR="00475EEF">
        <w:rPr>
          <w:rFonts w:eastAsia="Arial"/>
        </w:rPr>
        <w:t xml:space="preserve">, </w:t>
      </w:r>
      <w:r w:rsidRPr="007A6039">
        <w:rPr>
          <w:rFonts w:eastAsia="Arial"/>
        </w:rPr>
        <w:t>diverse</w:t>
      </w:r>
      <w:r w:rsidR="00475EEF">
        <w:rPr>
          <w:rFonts w:eastAsia="Arial"/>
        </w:rPr>
        <w:t xml:space="preserve"> and specialised</w:t>
      </w:r>
      <w:r w:rsidRPr="007A6039">
        <w:rPr>
          <w:rFonts w:eastAsia="Arial"/>
        </w:rPr>
        <w:t xml:space="preserve"> workforce, and the existing </w:t>
      </w:r>
      <w:r w:rsidR="00D41E59" w:rsidRPr="007A6039">
        <w:rPr>
          <w:rFonts w:eastAsia="Arial"/>
        </w:rPr>
        <w:t xml:space="preserve">state-wide </w:t>
      </w:r>
      <w:r w:rsidRPr="007A6039">
        <w:rPr>
          <w:rFonts w:eastAsia="Arial"/>
        </w:rPr>
        <w:t>health infrastructure offer</w:t>
      </w:r>
      <w:r w:rsidR="00D41E59" w:rsidRPr="007A6039">
        <w:rPr>
          <w:rFonts w:eastAsia="Arial"/>
        </w:rPr>
        <w:t>s</w:t>
      </w:r>
      <w:r w:rsidRPr="007A6039">
        <w:rPr>
          <w:rFonts w:eastAsia="Arial"/>
        </w:rPr>
        <w:t xml:space="preserve"> great potential for contributing to health promotion. Nurturing and maintaining a workforce with specialist skills in health promotion</w:t>
      </w:r>
      <w:r w:rsidR="00475EEF">
        <w:rPr>
          <w:rFonts w:eastAsia="Arial"/>
        </w:rPr>
        <w:t xml:space="preserve"> and chronic disease prevention </w:t>
      </w:r>
      <w:r w:rsidRPr="007A6039">
        <w:rPr>
          <w:rFonts w:eastAsia="Arial"/>
        </w:rPr>
        <w:t xml:space="preserve">is vital, and facilitating ongoing workforce development is a crucial element in maximising opportunities for </w:t>
      </w:r>
      <w:r w:rsidR="00475EEF">
        <w:rPr>
          <w:rFonts w:eastAsia="Arial"/>
        </w:rPr>
        <w:t>improving public health.</w:t>
      </w:r>
      <w:r w:rsidRPr="007A6039">
        <w:rPr>
          <w:rFonts w:eastAsia="Arial"/>
        </w:rPr>
        <w:t xml:space="preserve"> There is a need to ensure awareness of health </w:t>
      </w:r>
      <w:r w:rsidR="00A261D6" w:rsidRPr="007A6039">
        <w:rPr>
          <w:rFonts w:eastAsia="Arial"/>
        </w:rPr>
        <w:t>pro</w:t>
      </w:r>
      <w:r w:rsidRPr="007A6039">
        <w:rPr>
          <w:rFonts w:eastAsia="Arial"/>
        </w:rPr>
        <w:t>motion priorities, and competency in best-practice methods to contributing to health promotion across the continuum of care.</w:t>
      </w:r>
      <w:r w:rsidR="00D97F67">
        <w:rPr>
          <w:rFonts w:eastAsia="Arial"/>
        </w:rPr>
        <w:fldChar w:fldCharType="begin"/>
      </w:r>
      <w:r w:rsidR="00547316">
        <w:rPr>
          <w:rFonts w:eastAsia="Arial"/>
        </w:rPr>
        <w:instrText xml:space="preserve"> ADDIN EN.CITE &lt;EndNote&gt;&lt;Cite&gt;&lt;Author&gt;World Health Organization&lt;/Author&gt;&lt;Year&gt;2008&lt;/Year&gt;&lt;RecNum&gt;944&lt;/RecNum&gt;&lt;DisplayText&gt;&lt;style face="superscript"&gt;60&lt;/style&gt;&lt;/DisplayText&gt;&lt;record&gt;&lt;rec-number&gt;944&lt;/rec-number&gt;&lt;foreign-keys&gt;&lt;key app="EN" db-id="zxa00wf2opvf9oeeset50xz7ezpfwre2v20z"&gt;944&lt;/key&gt;&lt;/foreign-keys&gt;&lt;ref-type name="Report"&gt;27&lt;/ref-type&gt;&lt;contributors&gt;&lt;authors&gt;&lt;author&gt;World Health Organization,&lt;/author&gt;&lt;/authors&gt;&lt;/contributors&gt;&lt;titles&gt;&lt;title&gt;2008-2013 action plan for the global strategy for the prevention and control of noncommunicable diseases&lt;/title&gt;&lt;/titles&gt;&lt;dates&gt;&lt;year&gt;2008&lt;/year&gt;&lt;/dates&gt;&lt;pub-location&gt;Geneva&lt;/pub-location&gt;&lt;publisher&gt;WHO&lt;/publisher&gt;&lt;urls&gt;&lt;related-urls&gt;&lt;url&gt;http://www.who.int/nmh/publications/9789241597418/en/&lt;/url&gt;&lt;/related-urls&gt;&lt;/urls&gt;&lt;/record&gt;&lt;/Cite&gt;&lt;/EndNote&gt;</w:instrText>
      </w:r>
      <w:r w:rsidR="00D97F67">
        <w:rPr>
          <w:rFonts w:eastAsia="Arial"/>
        </w:rPr>
        <w:fldChar w:fldCharType="separate"/>
      </w:r>
      <w:r w:rsidR="00547316" w:rsidRPr="00547316">
        <w:rPr>
          <w:rFonts w:eastAsia="Arial"/>
          <w:noProof/>
          <w:vertAlign w:val="superscript"/>
        </w:rPr>
        <w:t>60</w:t>
      </w:r>
      <w:r w:rsidR="00D97F67">
        <w:rPr>
          <w:rFonts w:eastAsia="Arial"/>
        </w:rPr>
        <w:fldChar w:fldCharType="end"/>
      </w:r>
      <w:r w:rsidR="00872350" w:rsidRPr="007A6039">
        <w:rPr>
          <w:rFonts w:eastAsia="Arial"/>
        </w:rPr>
        <w:t xml:space="preserve"> </w:t>
      </w:r>
      <w:r w:rsidR="00064F6F" w:rsidRPr="007A6039">
        <w:rPr>
          <w:rFonts w:eastAsia="Arial"/>
        </w:rPr>
        <w:t>There is also</w:t>
      </w:r>
      <w:r w:rsidR="00872350" w:rsidRPr="007A6039">
        <w:rPr>
          <w:rFonts w:eastAsia="Arial"/>
        </w:rPr>
        <w:t xml:space="preserve"> scope for increasing the capacity and competency of </w:t>
      </w:r>
      <w:r w:rsidR="00B475C4" w:rsidRPr="007A6039">
        <w:rPr>
          <w:rFonts w:eastAsia="Arial"/>
        </w:rPr>
        <w:t>the workforce</w:t>
      </w:r>
      <w:r w:rsidR="00872350" w:rsidRPr="007A6039">
        <w:rPr>
          <w:rFonts w:eastAsia="Arial"/>
        </w:rPr>
        <w:t xml:space="preserve"> in </w:t>
      </w:r>
      <w:r w:rsidR="006B7B2D" w:rsidRPr="007A6039">
        <w:rPr>
          <w:rFonts w:eastAsia="Arial"/>
        </w:rPr>
        <w:t>sectors</w:t>
      </w:r>
      <w:r w:rsidR="00B475C4" w:rsidRPr="007A6039">
        <w:rPr>
          <w:rFonts w:eastAsia="Arial"/>
        </w:rPr>
        <w:t xml:space="preserve"> beyond the health sector that have an o</w:t>
      </w:r>
      <w:r w:rsidR="006B7B2D" w:rsidRPr="007A6039">
        <w:rPr>
          <w:rFonts w:eastAsia="Arial"/>
        </w:rPr>
        <w:t xml:space="preserve">verlapping interest </w:t>
      </w:r>
      <w:r w:rsidR="00B475C4" w:rsidRPr="007A6039">
        <w:rPr>
          <w:rFonts w:eastAsia="Arial"/>
        </w:rPr>
        <w:t xml:space="preserve">in, </w:t>
      </w:r>
      <w:r w:rsidR="006B7B2D" w:rsidRPr="007A6039">
        <w:rPr>
          <w:rFonts w:eastAsia="Arial"/>
        </w:rPr>
        <w:t>or responsibility for</w:t>
      </w:r>
      <w:r w:rsidR="006B7B2D" w:rsidRPr="00B57605">
        <w:rPr>
          <w:rFonts w:eastAsia="Arial"/>
        </w:rPr>
        <w:t xml:space="preserve"> factors which influence health.</w:t>
      </w:r>
    </w:p>
    <w:p w:rsidR="00973EF2" w:rsidRDefault="00973EF2" w:rsidP="00D962F9">
      <w:pPr>
        <w:ind w:right="1013"/>
        <w:rPr>
          <w:rFonts w:eastAsia="Arial"/>
          <w:spacing w:val="28"/>
          <w:position w:val="8"/>
        </w:rPr>
      </w:pPr>
      <w:r>
        <w:rPr>
          <w:rFonts w:eastAsia="Arial"/>
          <w:spacing w:val="28"/>
          <w:position w:val="8"/>
        </w:rPr>
        <w:br w:type="page"/>
      </w:r>
    </w:p>
    <w:p w:rsidR="00BA10DA" w:rsidRPr="00B62230" w:rsidRDefault="00BA10DA" w:rsidP="00B62230">
      <w:pPr>
        <w:pStyle w:val="Heading1"/>
      </w:pPr>
      <w:bookmarkStart w:id="17" w:name="_Toc462049317"/>
      <w:r w:rsidRPr="00E543C0">
        <w:rPr>
          <w:rStyle w:val="titleheadingsChar"/>
          <w:rFonts w:ascii="Arial" w:hAnsi="Arial"/>
          <w:color w:val="808080" w:themeColor="background1" w:themeShade="80"/>
          <w:spacing w:val="0"/>
          <w:kern w:val="0"/>
        </w:rPr>
        <w:lastRenderedPageBreak/>
        <w:t xml:space="preserve">Part </w:t>
      </w:r>
      <w:r w:rsidR="00B922ED" w:rsidRPr="00E543C0">
        <w:rPr>
          <w:rStyle w:val="titleheadingsChar"/>
          <w:rFonts w:ascii="Arial" w:hAnsi="Arial"/>
          <w:color w:val="808080" w:themeColor="background1" w:themeShade="80"/>
          <w:spacing w:val="0"/>
          <w:kern w:val="0"/>
        </w:rPr>
        <w:t>4</w:t>
      </w:r>
      <w:r w:rsidR="00810F24" w:rsidRPr="00E543C0">
        <w:rPr>
          <w:rStyle w:val="titleheadingsChar"/>
          <w:rFonts w:ascii="Arial" w:hAnsi="Arial"/>
          <w:color w:val="808080" w:themeColor="background1" w:themeShade="80"/>
          <w:spacing w:val="0"/>
          <w:kern w:val="0"/>
        </w:rPr>
        <w:t>:</w:t>
      </w:r>
      <w:r w:rsidRPr="00E543C0">
        <w:rPr>
          <w:rStyle w:val="titleheadingsChar"/>
          <w:rFonts w:ascii="Arial" w:hAnsi="Arial"/>
          <w:color w:val="808080" w:themeColor="background1" w:themeShade="80"/>
          <w:spacing w:val="0"/>
          <w:kern w:val="0"/>
        </w:rPr>
        <w:t xml:space="preserve"> The </w:t>
      </w:r>
      <w:r w:rsidR="00B62230" w:rsidRPr="00E543C0">
        <w:rPr>
          <w:rStyle w:val="titleheadingsChar"/>
          <w:rFonts w:ascii="Arial" w:hAnsi="Arial"/>
          <w:color w:val="808080" w:themeColor="background1" w:themeShade="80"/>
          <w:spacing w:val="0"/>
          <w:kern w:val="0"/>
        </w:rPr>
        <w:t>f</w:t>
      </w:r>
      <w:r w:rsidR="006A438C" w:rsidRPr="00E543C0">
        <w:rPr>
          <w:rStyle w:val="titleheadingsChar"/>
          <w:rFonts w:ascii="Arial" w:hAnsi="Arial"/>
          <w:color w:val="808080" w:themeColor="background1" w:themeShade="80"/>
          <w:spacing w:val="0"/>
          <w:kern w:val="0"/>
        </w:rPr>
        <w:t>ive-year</w:t>
      </w:r>
      <w:r w:rsidRPr="00E543C0">
        <w:t xml:space="preserve"> </w:t>
      </w:r>
      <w:r w:rsidR="00B62230">
        <w:t>p</w:t>
      </w:r>
      <w:r w:rsidRPr="00B62230">
        <w:t>lan</w:t>
      </w:r>
      <w:bookmarkEnd w:id="17"/>
      <w:r w:rsidRPr="00B62230">
        <w:t xml:space="preserve"> </w:t>
      </w:r>
    </w:p>
    <w:p w:rsidR="006E4621" w:rsidRPr="006A438C" w:rsidRDefault="006E4621" w:rsidP="006E4621">
      <w:pPr>
        <w:pStyle w:val="Heading1"/>
      </w:pPr>
      <w:bookmarkStart w:id="18" w:name="_Toc462049318"/>
      <w:bookmarkStart w:id="19" w:name="_Toc454180218"/>
      <w:bookmarkStart w:id="20" w:name="_Toc454180219"/>
      <w:r>
        <w:t>Healthy eating</w:t>
      </w:r>
      <w:bookmarkEnd w:id="18"/>
    </w:p>
    <w:p w:rsidR="006E4621" w:rsidRDefault="006E4621" w:rsidP="006E4621">
      <w:pPr>
        <w:widowControl/>
        <w:shd w:val="clear" w:color="auto" w:fill="FFFFFF"/>
        <w:rPr>
          <w:i/>
        </w:rPr>
      </w:pPr>
    </w:p>
    <w:p w:rsidR="006E4621" w:rsidRPr="004D76E1" w:rsidRDefault="006E4621" w:rsidP="004D76E1">
      <w:pPr>
        <w:widowControl/>
        <w:shd w:val="clear" w:color="auto" w:fill="F2F2F2" w:themeFill="background1" w:themeFillShade="F2"/>
        <w:rPr>
          <w:color w:val="808080" w:themeColor="background1" w:themeShade="80"/>
          <w:lang w:val="en-AU" w:eastAsia="en-AU"/>
        </w:rPr>
      </w:pPr>
      <w:bookmarkStart w:id="21" w:name="_Toc454180216"/>
      <w:r w:rsidRPr="004D76E1">
        <w:rPr>
          <w:i/>
          <w:color w:val="808080" w:themeColor="background1" w:themeShade="80"/>
          <w:lang w:val="en-AU" w:eastAsia="en-AU"/>
        </w:rPr>
        <w:t>“The overarching message is optimistic. A range of high-impact, cost-effective nutrition interventions exists… any country that wants to achieve rapid improvements in nutrition can do so.”</w:t>
      </w:r>
      <w:r w:rsidRPr="004D76E1">
        <w:rPr>
          <w:color w:val="808080" w:themeColor="background1" w:themeShade="80"/>
          <w:lang w:val="en-AU" w:eastAsia="en-AU"/>
        </w:rPr>
        <w:t xml:space="preserve"> Margaret Chan, Director-General, World Health Organization</w:t>
      </w:r>
      <w:r w:rsidR="002A34EB">
        <w:rPr>
          <w:color w:val="808080" w:themeColor="background1" w:themeShade="80"/>
          <w:lang w:val="en-AU" w:eastAsia="en-AU"/>
        </w:rPr>
        <w:t>, 2015</w:t>
      </w:r>
      <w:r w:rsidRPr="004D76E1">
        <w:rPr>
          <w:color w:val="808080" w:themeColor="background1" w:themeShade="80"/>
          <w:lang w:val="en-AU" w:eastAsia="en-AU"/>
        </w:rPr>
        <w:fldChar w:fldCharType="begin"/>
      </w:r>
      <w:r w:rsidR="00547316">
        <w:rPr>
          <w:color w:val="808080" w:themeColor="background1" w:themeShade="80"/>
          <w:lang w:val="en-AU" w:eastAsia="en-AU"/>
        </w:rPr>
        <w:instrText xml:space="preserve"> ADDIN EN.CITE &lt;EndNote&gt;&lt;Cite&gt;&lt;Author&gt;International Food Policy Research Institute&lt;/Author&gt;&lt;Year&gt;2015&lt;/Year&gt;&lt;RecNum&gt;1071&lt;/RecNum&gt;&lt;DisplayText&gt;&lt;style face="superscript"&gt;61&lt;/style&gt;&lt;/DisplayText&gt;&lt;record&gt;&lt;rec-number&gt;1071&lt;/rec-number&gt;&lt;foreign-keys&gt;&lt;key app="EN" db-id="zxa00wf2opvf9oeeset50xz7ezpfwre2v20z"&gt;1071&lt;/key&gt;&lt;/foreign-keys&gt;&lt;ref-type name="Report"&gt;27&lt;/ref-type&gt;&lt;contributors&gt;&lt;authors&gt;&lt;author&gt;International Food Policy Research Institute,&lt;/author&gt;&lt;/authors&gt;&lt;/contributors&gt;&lt;titles&gt;&lt;title&gt;Global Nutrition Report 2015: actions and accountability to advance nutrition and sustainable development&lt;/title&gt;&lt;/titles&gt;&lt;dates&gt;&lt;year&gt;2015&lt;/year&gt;&lt;/dates&gt;&lt;pub-location&gt;Washington, DC&lt;/pub-location&gt;&lt;publisher&gt;International Food Policy Research Institute&lt;/publisher&gt;&lt;urls&gt;&lt;related-urls&gt;&lt;url&gt;http://www.ifpri.org/publication/global-nutrition-report-2015&lt;/url&gt;&lt;/related-urls&gt;&lt;/urls&gt;&lt;/record&gt;&lt;/Cite&gt;&lt;/EndNote&gt;</w:instrText>
      </w:r>
      <w:r w:rsidRPr="004D76E1">
        <w:rPr>
          <w:color w:val="808080" w:themeColor="background1" w:themeShade="80"/>
          <w:lang w:val="en-AU" w:eastAsia="en-AU"/>
        </w:rPr>
        <w:fldChar w:fldCharType="separate"/>
      </w:r>
      <w:r w:rsidR="00547316" w:rsidRPr="00547316">
        <w:rPr>
          <w:noProof/>
          <w:color w:val="808080" w:themeColor="background1" w:themeShade="80"/>
          <w:vertAlign w:val="superscript"/>
          <w:lang w:val="en-AU" w:eastAsia="en-AU"/>
        </w:rPr>
        <w:t>61</w:t>
      </w:r>
      <w:r w:rsidRPr="004D76E1">
        <w:rPr>
          <w:color w:val="808080" w:themeColor="background1" w:themeShade="80"/>
          <w:lang w:val="en-AU" w:eastAsia="en-AU"/>
        </w:rPr>
        <w:fldChar w:fldCharType="end"/>
      </w:r>
    </w:p>
    <w:p w:rsidR="006E4621" w:rsidRPr="00FD3C08" w:rsidRDefault="006E4621" w:rsidP="006E4621">
      <w:pPr>
        <w:pStyle w:val="Heading2"/>
        <w:rPr>
          <w:color w:val="auto"/>
        </w:rPr>
      </w:pPr>
    </w:p>
    <w:p w:rsidR="006E4621" w:rsidRDefault="006E4621" w:rsidP="006E4621">
      <w:pPr>
        <w:pStyle w:val="Heading2"/>
      </w:pPr>
      <w:bookmarkStart w:id="22" w:name="_Toc462049319"/>
      <w:r w:rsidRPr="006A438C">
        <w:t xml:space="preserve">A snapshot of </w:t>
      </w:r>
      <w:r>
        <w:t xml:space="preserve">nutrition and diet </w:t>
      </w:r>
      <w:bookmarkEnd w:id="21"/>
      <w:r>
        <w:t>in WA</w:t>
      </w:r>
      <w:bookmarkEnd w:id="22"/>
    </w:p>
    <w:p w:rsidR="006E4621" w:rsidRPr="00B932A8" w:rsidRDefault="006E4621" w:rsidP="006E4621"/>
    <w:p w:rsidR="006E4621" w:rsidRPr="00FD3C08" w:rsidRDefault="006E4621" w:rsidP="006E4621">
      <w:pPr>
        <w:pStyle w:val="ListParagraph"/>
        <w:numPr>
          <w:ilvl w:val="0"/>
          <w:numId w:val="37"/>
        </w:numPr>
      </w:pPr>
      <w:r>
        <w:t>The 2011–</w:t>
      </w:r>
      <w:r w:rsidRPr="00FD3C08">
        <w:t xml:space="preserve">12 </w:t>
      </w:r>
      <w:r w:rsidRPr="006F46A5">
        <w:rPr>
          <w:i/>
        </w:rPr>
        <w:t>Australian Health Survey</w:t>
      </w:r>
      <w:r w:rsidRPr="00FD3C08">
        <w:t xml:space="preserve"> </w:t>
      </w:r>
      <w:r>
        <w:t xml:space="preserve">found </w:t>
      </w:r>
      <w:r w:rsidRPr="00FD3C08">
        <w:t>that most Western Australians aged two years and over</w:t>
      </w:r>
      <w:r>
        <w:fldChar w:fldCharType="begin">
          <w:fldData xml:space="preserve">PEVuZE5vdGU+PENpdGU+PEF1dGhvcj5BdXN0cmFsaWFuIEJ1cmVhdSBvZiBTdGF0aXN0aWNzPC9B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</w:fldData>
        </w:fldChar>
      </w:r>
      <w:r w:rsidR="00547316">
        <w:instrText xml:space="preserve"> ADDIN EN.CITE </w:instrText>
      </w:r>
      <w:r w:rsidR="00547316">
        <w:fldChar w:fldCharType="begin">
          <w:fldData xml:space="preserve">PEVuZE5vdGU+PENpdGU+PEF1dGhvcj5BdXN0cmFsaWFuIEJ1cmVhdSBvZiBTdGF0aXN0aWNzPC9B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</w:fldData>
        </w:fldChar>
      </w:r>
      <w:r w:rsidR="00547316">
        <w:instrText xml:space="preserve"> ADDIN EN.CITE.DATA </w:instrText>
      </w:r>
      <w:r w:rsidR="00547316">
        <w:fldChar w:fldCharType="end"/>
      </w:r>
      <w:r>
        <w:fldChar w:fldCharType="separate"/>
      </w:r>
      <w:r w:rsidR="00547316" w:rsidRPr="00547316">
        <w:rPr>
          <w:noProof/>
          <w:vertAlign w:val="superscript"/>
        </w:rPr>
        <w:t>62-64</w:t>
      </w:r>
      <w:r>
        <w:fldChar w:fldCharType="end"/>
      </w:r>
      <w:r>
        <w:t xml:space="preserve"> </w:t>
      </w:r>
      <w:r w:rsidRPr="00FD3C08">
        <w:t xml:space="preserve">did not meet the usual daily intake of foods recommended in the </w:t>
      </w:r>
      <w:r w:rsidRPr="00C10A9D">
        <w:rPr>
          <w:i/>
        </w:rPr>
        <w:t>Australian Dietary Guidelines</w:t>
      </w:r>
      <w:r w:rsidRPr="00FD3C08">
        <w:t xml:space="preserve"> (Box 8).</w:t>
      </w:r>
    </w:p>
    <w:p w:rsidR="006E4621" w:rsidRPr="00FD3C08" w:rsidRDefault="006E4621" w:rsidP="006E4621"/>
    <w:p w:rsidR="006E4621" w:rsidRPr="00FD3C08" w:rsidRDefault="006E4621" w:rsidP="006E4621">
      <w:pPr>
        <w:pStyle w:val="ListParagraph"/>
        <w:numPr>
          <w:ilvl w:val="0"/>
          <w:numId w:val="39"/>
        </w:numPr>
      </w:pPr>
      <w:r w:rsidRPr="00FD3C08">
        <w:t>7% of Western Australians met the recommended usual daily intake of vegetables</w:t>
      </w:r>
      <w:r>
        <w:t xml:space="preserve"> and </w:t>
      </w:r>
      <w:r w:rsidRPr="00FD3C08">
        <w:t>53% met the recommended usual daily intake of fruit.</w:t>
      </w:r>
      <w:r>
        <w:fldChar w:fldCharType="begin"/>
      </w:r>
      <w:r w:rsidR="00547316">
        <w:instrText xml:space="preserve"> ADDIN EN.CITE &lt;EndNote&gt;&lt;Cite&gt;&lt;Author&gt;Australian Bureau of Statistics&lt;/Author&gt;&lt;Year&gt;2015&lt;/Year&gt;&lt;RecNum&gt;1072&lt;/RecNum&gt;&lt;DisplayText&gt;&lt;style face="superscript"&gt;62&lt;/style&gt;&lt;/DisplayText&gt;&lt;record&gt;&lt;rec-number&gt;1072&lt;/rec-number&gt;&lt;foreign-keys&gt;&lt;key app="EN" db-id="zxa00wf2opvf9oeeset50xz7ezpfwre2v20z"&gt;1072&lt;/key&gt;&lt;/foreign-keys&gt;&lt;ref-type name="Report"&gt;27&lt;/ref-type&gt;&lt;contributors&gt;&lt;authors&gt;&lt;author&gt;Australian Bureau of Statistics,&lt;/author&gt;&lt;/authors&gt;&lt;/contributors&gt;&lt;titles&gt;&lt;title&gt;4364.0.55.009 - Australian Health Survey: nutrition - state and territory results, 2011-12. Western Australia - key facts – food and nutrients, 2011-12&lt;/title&gt;&lt;/titles&gt;&lt;dates&gt;&lt;year&gt;2015&lt;/year&gt;&lt;/dates&gt;&lt;pub-location&gt;Canberra&lt;/pub-location&gt;&lt;publisher&gt;Australian Bureau of Statistics&lt;/publisher&gt;&lt;urls&gt;&lt;related-urls&gt;&lt;url&gt;http://www.abs.gov.au/ausstats/abs@.nsf/Lookup/by%20Subject/4364.0.55.009~2011-12~Main%20Features~Western%20Australia%20~7&lt;/url&gt;&lt;/related-urls&gt;&lt;/urls&gt;&lt;/record&gt;&lt;/Cite&gt;&lt;/EndNote&gt;</w:instrText>
      </w:r>
      <w:r>
        <w:fldChar w:fldCharType="separate"/>
      </w:r>
      <w:r w:rsidR="00547316" w:rsidRPr="00547316">
        <w:rPr>
          <w:noProof/>
          <w:vertAlign w:val="superscript"/>
        </w:rPr>
        <w:t>62</w:t>
      </w:r>
      <w:r>
        <w:fldChar w:fldCharType="end"/>
      </w:r>
      <w:r w:rsidRPr="00FD3C08">
        <w:t xml:space="preserve"> </w:t>
      </w:r>
    </w:p>
    <w:p w:rsidR="006E4621" w:rsidRPr="00FD3C08" w:rsidRDefault="006E4621" w:rsidP="006E4621">
      <w:pPr>
        <w:ind w:left="786"/>
      </w:pPr>
    </w:p>
    <w:p w:rsidR="006E4621" w:rsidRPr="00FD3C08" w:rsidRDefault="006E4621" w:rsidP="006E4621">
      <w:pPr>
        <w:pStyle w:val="ListParagraph"/>
        <w:numPr>
          <w:ilvl w:val="0"/>
          <w:numId w:val="39"/>
        </w:numPr>
      </w:pPr>
      <w:r w:rsidRPr="00FD3C08">
        <w:t>10% of Australians met the recommended usual daily intake of milk and alternatives and 29% of serves consumed were lower fat versions.</w:t>
      </w:r>
      <w:r>
        <w:fldChar w:fldCharType="begin"/>
      </w:r>
      <w:r w:rsidR="00547316">
        <w:instrText xml:space="preserve"> ADDIN EN.CITE &lt;EndNote&gt;&lt;Cite&gt;&lt;Author&gt;Australian Bureau of Statistics&lt;/Author&gt;&lt;Year&gt;2016&lt;/Year&gt;&lt;RecNum&gt;989&lt;/RecNum&gt;&lt;DisplayText&gt;&lt;style face="superscript"&gt;63&lt;/style&gt;&lt;/DisplayText&gt;&lt;record&gt;&lt;rec-number&gt;989&lt;/rec-number&gt;&lt;foreign-keys&gt;&lt;key app="EN" db-id="zxa00wf2opvf9oeeset50xz7ezpfwre2v20z"&gt;989&lt;/key&gt;&lt;/foreign-keys&gt;&lt;ref-type name="Web Page"&gt;12&lt;/ref-type&gt;&lt;contributors&gt;&lt;authors&gt;&lt;author&gt;Australian Bureau of Statistics,&lt;/author&gt;&lt;/authors&gt;&lt;/contributors&gt;&lt;titles&gt;&lt;title&gt;4364.0.55.012 - Australian Health Survey: consumption of food groups from the Australian Dietary Guidelines, 2011–12&lt;/title&gt;&lt;/titles&gt;&lt;dates&gt;&lt;year&gt;2016&lt;/year&gt;&lt;/dates&gt;&lt;pub-location&gt;Canberra&lt;/pub-location&gt;&lt;publisher&gt;Australian Bureau of Statistics&lt;/publisher&gt;&lt;urls&gt;&lt;related-urls&gt;&lt;url&gt;http://www.abs.gov.au/ausstats/abs@.nsf/mf/4364.0.55.012&lt;/url&gt;&lt;/related-urls&gt;&lt;/urls&gt;&lt;/record&gt;&lt;/Cite&gt;&lt;/EndNote&gt;</w:instrText>
      </w:r>
      <w:r>
        <w:fldChar w:fldCharType="separate"/>
      </w:r>
      <w:r w:rsidR="00547316" w:rsidRPr="00547316">
        <w:rPr>
          <w:noProof/>
          <w:vertAlign w:val="superscript"/>
        </w:rPr>
        <w:t>63</w:t>
      </w:r>
      <w:r>
        <w:fldChar w:fldCharType="end"/>
      </w:r>
      <w:r w:rsidRPr="00FD3C08">
        <w:t xml:space="preserve"> </w:t>
      </w:r>
    </w:p>
    <w:p w:rsidR="006E4621" w:rsidRPr="00FD3C08" w:rsidRDefault="006E4621" w:rsidP="006E4621">
      <w:pPr>
        <w:ind w:left="786"/>
      </w:pPr>
    </w:p>
    <w:p w:rsidR="006E4621" w:rsidRPr="00FD3C08" w:rsidRDefault="006E4621" w:rsidP="006E4621">
      <w:pPr>
        <w:pStyle w:val="ListParagraph"/>
        <w:numPr>
          <w:ilvl w:val="0"/>
          <w:numId w:val="39"/>
        </w:numPr>
      </w:pPr>
      <w:r w:rsidRPr="00FD3C08">
        <w:t>14% of Australians met the recommended usual daily intake of meat and alternatives.</w:t>
      </w:r>
      <w:r>
        <w:fldChar w:fldCharType="begin"/>
      </w:r>
      <w:r w:rsidR="00547316">
        <w:instrText xml:space="preserve"> ADDIN EN.CITE &lt;EndNote&gt;&lt;Cite&gt;&lt;Author&gt;Australian Bureau of Statistics&lt;/Author&gt;&lt;Year&gt;2016&lt;/Year&gt;&lt;RecNum&gt;989&lt;/RecNum&gt;&lt;DisplayText&gt;&lt;style face="superscript"&gt;63&lt;/style&gt;&lt;/DisplayText&gt;&lt;record&gt;&lt;rec-number&gt;989&lt;/rec-number&gt;&lt;foreign-keys&gt;&lt;key app="EN" db-id="zxa00wf2opvf9oeeset50xz7ezpfwre2v20z"&gt;989&lt;/key&gt;&lt;/foreign-keys&gt;&lt;ref-type name="Web Page"&gt;12&lt;/ref-type&gt;&lt;contributors&gt;&lt;authors&gt;&lt;author&gt;Australian Bureau of Statistics,&lt;/author&gt;&lt;/authors&gt;&lt;/contributors&gt;&lt;titles&gt;&lt;title&gt;4364.0.55.012 - Australian Health Survey: consumption of food groups from the Australian Dietary Guidelines, 2011–12&lt;/title&gt;&lt;/titles&gt;&lt;dates&gt;&lt;year&gt;2016&lt;/year&gt;&lt;/dates&gt;&lt;pub-location&gt;Canberra&lt;/pub-location&gt;&lt;publisher&gt;Australian Bureau of Statistics&lt;/publisher&gt;&lt;urls&gt;&lt;related-urls&gt;&lt;url&gt;http://www.abs.gov.au/ausstats/abs@.nsf/mf/4364.0.55.012&lt;/url&gt;&lt;/related-urls&gt;&lt;/urls&gt;&lt;/record&gt;&lt;/Cite&gt;&lt;/EndNote&gt;</w:instrText>
      </w:r>
      <w:r>
        <w:fldChar w:fldCharType="separate"/>
      </w:r>
      <w:r w:rsidR="00547316" w:rsidRPr="00547316">
        <w:rPr>
          <w:noProof/>
          <w:vertAlign w:val="superscript"/>
        </w:rPr>
        <w:t>63</w:t>
      </w:r>
      <w:r>
        <w:fldChar w:fldCharType="end"/>
      </w:r>
    </w:p>
    <w:p w:rsidR="006E4621" w:rsidRPr="00FD3C08" w:rsidRDefault="006E4621" w:rsidP="006E4621">
      <w:pPr>
        <w:pStyle w:val="ListParagraph"/>
        <w:ind w:left="786"/>
      </w:pPr>
    </w:p>
    <w:p w:rsidR="006E4621" w:rsidRPr="00FD3C08" w:rsidRDefault="006E4621" w:rsidP="006E4621">
      <w:pPr>
        <w:pStyle w:val="ListParagraph"/>
        <w:numPr>
          <w:ilvl w:val="0"/>
          <w:numId w:val="39"/>
        </w:numPr>
      </w:pPr>
      <w:r w:rsidRPr="00FD3C08">
        <w:t>30% of Australians met the recommended usual daily intake of grain (cereal) foods.</w:t>
      </w:r>
      <w:r>
        <w:fldChar w:fldCharType="begin"/>
      </w:r>
      <w:r w:rsidR="00547316">
        <w:instrText xml:space="preserve"> ADDIN EN.CITE &lt;EndNote&gt;&lt;Cite&gt;&lt;Author&gt;Australian Bureau of Statistics&lt;/Author&gt;&lt;Year&gt;2016&lt;/Year&gt;&lt;RecNum&gt;989&lt;/RecNum&gt;&lt;DisplayText&gt;&lt;style face="superscript"&gt;63&lt;/style&gt;&lt;/DisplayText&gt;&lt;record&gt;&lt;rec-number&gt;989&lt;/rec-number&gt;&lt;foreign-keys&gt;&lt;key app="EN" db-id="zxa00wf2opvf9oeeset50xz7ezpfwre2v20z"&gt;989&lt;/key&gt;&lt;/foreign-keys&gt;&lt;ref-type name="Web Page"&gt;12&lt;/ref-type&gt;&lt;contributors&gt;&lt;authors&gt;&lt;author&gt;Australian Bureau of Statistics,&lt;/author&gt;&lt;/authors&gt;&lt;/contributors&gt;&lt;titles&gt;&lt;title&gt;4364.0.55.012 - Australian Health Survey: consumption of food groups from the Australian Dietary Guidelines, 2011–12&lt;/title&gt;&lt;/titles&gt;&lt;dates&gt;&lt;year&gt;2016&lt;/year&gt;&lt;/dates&gt;&lt;pub-location&gt;Canberra&lt;/pub-location&gt;&lt;publisher&gt;Australian Bureau of Statistics&lt;/publisher&gt;&lt;urls&gt;&lt;related-urls&gt;&lt;url&gt;http://www.abs.gov.au/ausstats/abs@.nsf/mf/4364.0.55.012&lt;/url&gt;&lt;/related-urls&gt;&lt;/urls&gt;&lt;/record&gt;&lt;/Cite&gt;&lt;/EndNote&gt;</w:instrText>
      </w:r>
      <w:r>
        <w:fldChar w:fldCharType="separate"/>
      </w:r>
      <w:r w:rsidR="00547316" w:rsidRPr="00547316">
        <w:rPr>
          <w:noProof/>
          <w:vertAlign w:val="superscript"/>
        </w:rPr>
        <w:t>63</w:t>
      </w:r>
      <w:r>
        <w:fldChar w:fldCharType="end"/>
      </w:r>
    </w:p>
    <w:p w:rsidR="006E4621" w:rsidRPr="00FD3C08" w:rsidRDefault="006E4621" w:rsidP="006E4621">
      <w:pPr>
        <w:pStyle w:val="ListParagraph"/>
        <w:ind w:left="786"/>
      </w:pPr>
    </w:p>
    <w:p w:rsidR="006E4621" w:rsidRPr="00FD3C08" w:rsidRDefault="006E4621" w:rsidP="006E4621">
      <w:pPr>
        <w:pStyle w:val="ListParagraph"/>
        <w:numPr>
          <w:ilvl w:val="0"/>
          <w:numId w:val="39"/>
        </w:numPr>
      </w:pPr>
      <w:r>
        <w:t>Western Australian</w:t>
      </w:r>
      <w:r w:rsidRPr="00FD3C08">
        <w:t xml:space="preserve"> adults </w:t>
      </w:r>
      <w:r>
        <w:t xml:space="preserve">aged 19 years and over </w:t>
      </w:r>
      <w:r w:rsidRPr="00FD3C08">
        <w:t xml:space="preserve">obtained 36% of their total </w:t>
      </w:r>
      <w:r w:rsidRPr="006D0C8F">
        <w:t>energy from discretionary</w:t>
      </w:r>
      <w:r w:rsidRPr="006D0C8F">
        <w:rPr>
          <w:rStyle w:val="FootnoteReference"/>
          <w:rFonts w:eastAsiaTheme="minorEastAsia"/>
        </w:rPr>
        <w:footnoteReference w:id="1"/>
      </w:r>
      <w:r w:rsidRPr="006D0C8F">
        <w:t xml:space="preserve"> foods</w:t>
      </w:r>
      <w:r w:rsidRPr="00FD3C08">
        <w:t xml:space="preserve"> and beverages high in saturated fat, salt, sugar or alcohol.</w:t>
      </w:r>
      <w:r w:rsidRPr="00FD3C08">
        <w:rPr>
          <w:bCs/>
          <w:sz w:val="27"/>
          <w:szCs w:val="27"/>
        </w:rPr>
        <w:t xml:space="preserve"> </w:t>
      </w:r>
      <w:r w:rsidRPr="00FD3C08">
        <w:t xml:space="preserve">Children </w:t>
      </w:r>
      <w:r>
        <w:t xml:space="preserve">aged </w:t>
      </w:r>
      <w:r w:rsidRPr="00FD3C08">
        <w:t>2</w:t>
      </w:r>
      <w:r>
        <w:t>–</w:t>
      </w:r>
      <w:r w:rsidRPr="00FD3C08">
        <w:t>18 years</w:t>
      </w:r>
      <w:r>
        <w:t xml:space="preserve"> </w:t>
      </w:r>
      <w:r w:rsidRPr="00FD3C08">
        <w:t xml:space="preserve">obtained 38% of their energy from </w:t>
      </w:r>
      <w:r>
        <w:t>these items</w:t>
      </w:r>
      <w:r w:rsidRPr="00FD3C08">
        <w:t>.</w:t>
      </w:r>
      <w:r>
        <w:fldChar w:fldCharType="begin"/>
      </w:r>
      <w:r w:rsidR="00547316">
        <w:instrText xml:space="preserve"> ADDIN EN.CITE &lt;EndNote&gt;&lt;Cite&gt;&lt;Author&gt;Australian Bureau of Statistics&lt;/Author&gt;&lt;Year&gt;2015&lt;/Year&gt;&lt;RecNum&gt;1072&lt;/RecNum&gt;&lt;DisplayText&gt;&lt;style face="superscript"&gt;62&lt;/style&gt;&lt;/DisplayText&gt;&lt;record&gt;&lt;rec-number&gt;1072&lt;/rec-number&gt;&lt;foreign-keys&gt;&lt;key app="EN" db-id="zxa00wf2opvf9oeeset50xz7ezpfwre2v20z"&gt;1072&lt;/key&gt;&lt;/foreign-keys&gt;&lt;ref-type name="Report"&gt;27&lt;/ref-type&gt;&lt;contributors&gt;&lt;authors&gt;&lt;author&gt;Australian Bureau of Statistics,&lt;/author&gt;&lt;/authors&gt;&lt;/contributors&gt;&lt;titles&gt;&lt;title&gt;4364.0.55.009 - Australian Health Survey: nutrition - state and territory results, 2011-12. Western Australia - key facts – food and nutrients, 2011-12&lt;/title&gt;&lt;/titles&gt;&lt;dates&gt;&lt;year&gt;2015&lt;/year&gt;&lt;/dates&gt;&lt;pub-location&gt;Canberra&lt;/pub-location&gt;&lt;publisher&gt;Australian Bureau of Statistics&lt;/publisher&gt;&lt;urls&gt;&lt;related-urls&gt;&lt;url&gt;http://www.abs.gov.au/ausstats/abs@.nsf/Lookup/by%20Subject/4364.0.55.009~2011-12~Main%20Features~Western%20Australia%20~7&lt;/url&gt;&lt;/related-urls&gt;&lt;/urls&gt;&lt;/record&gt;&lt;/Cite&gt;&lt;/EndNote&gt;</w:instrText>
      </w:r>
      <w:r>
        <w:fldChar w:fldCharType="separate"/>
      </w:r>
      <w:r w:rsidR="00547316" w:rsidRPr="00547316">
        <w:rPr>
          <w:noProof/>
          <w:vertAlign w:val="superscript"/>
        </w:rPr>
        <w:t>62</w:t>
      </w:r>
      <w:r>
        <w:fldChar w:fldCharType="end"/>
      </w:r>
    </w:p>
    <w:p w:rsidR="006E4621" w:rsidRPr="00FD3C08" w:rsidRDefault="006E4621" w:rsidP="006E4621"/>
    <w:p w:rsidR="006E4621" w:rsidRPr="00A84C11" w:rsidRDefault="006E4621" w:rsidP="006E4621">
      <w:pPr>
        <w:pStyle w:val="ListParagraph"/>
        <w:numPr>
          <w:ilvl w:val="0"/>
          <w:numId w:val="39"/>
        </w:numPr>
      </w:pPr>
      <w:r w:rsidRPr="00A84C11">
        <w:rPr>
          <w:shd w:val="clear" w:color="auto" w:fill="FFFFFF"/>
        </w:rPr>
        <w:t xml:space="preserve">52% of Australians exceeded the WHO recommendation to limit energy from </w:t>
      </w:r>
      <w:r w:rsidRPr="00B52BFA">
        <w:t xml:space="preserve">free </w:t>
      </w:r>
      <w:r w:rsidRPr="00B52BFA">
        <w:rPr>
          <w:shd w:val="clear" w:color="auto" w:fill="FFFFFF"/>
        </w:rPr>
        <w:t>sugars</w:t>
      </w:r>
      <w:r w:rsidRPr="00B52BFA">
        <w:rPr>
          <w:vertAlign w:val="superscript"/>
        </w:rPr>
        <w:footnoteReference w:id="2"/>
      </w:r>
      <w:r w:rsidRPr="00B52BFA">
        <w:t xml:space="preserve"> </w:t>
      </w:r>
      <w:r w:rsidRPr="00B52BFA">
        <w:rPr>
          <w:shd w:val="clear" w:color="auto" w:fill="FFFFFF"/>
        </w:rPr>
        <w:t>to less</w:t>
      </w:r>
      <w:r w:rsidRPr="00A84C11">
        <w:rPr>
          <w:shd w:val="clear" w:color="auto" w:fill="FFFFFF"/>
        </w:rPr>
        <w:t xml:space="preserve"> than 10% of dietary energy. Sugar-sweetened beverages were a major source of free sugars.</w:t>
      </w:r>
      <w:r w:rsidRPr="00A84C11">
        <w:rPr>
          <w:shd w:val="clear" w:color="auto" w:fill="FFFFFF"/>
        </w:rPr>
        <w:fldChar w:fldCharType="begin"/>
      </w:r>
      <w:r w:rsidR="00547316">
        <w:rPr>
          <w:shd w:val="clear" w:color="auto" w:fill="FFFFFF"/>
        </w:rPr>
        <w:instrText xml:space="preserve"> ADDIN EN.CITE &lt;EndNote&gt;&lt;Cite&gt;&lt;Author&gt;Australian Bureau of Statistics&lt;/Author&gt;&lt;Year&gt;2016&lt;/Year&gt;&lt;RecNum&gt;990&lt;/RecNum&gt;&lt;DisplayText&gt;&lt;style face="superscript"&gt;64&lt;/style&gt;&lt;/DisplayText&gt;&lt;record&gt;&lt;rec-number&gt;990&lt;/rec-number&gt;&lt;foreign-keys&gt;&lt;key app="EN" db-id="zxa00wf2opvf9oeeset50xz7ezpfwre2v20z"&gt;990&lt;/key&gt;&lt;/foreign-keys&gt;&lt;ref-type name="Report"&gt;27&lt;/ref-type&gt;&lt;contributors&gt;&lt;authors&gt;&lt;author&gt;Australian Bureau of Statistics,&lt;/author&gt;&lt;/authors&gt;&lt;/contributors&gt;&lt;titles&gt;&lt;title&gt;4364.0.55.011 Australian Health Survey: consumption of added sugars Australia 2011–12&lt;/title&gt;&lt;/titles&gt;&lt;dates&gt;&lt;year&gt;2016&lt;/year&gt;&lt;/dates&gt;&lt;pub-location&gt;Canberra&lt;/pub-location&gt;&lt;publisher&gt;Australian Bureau of Statistics&lt;/publisher&gt;&lt;urls&gt;&lt;related-urls&gt;&lt;url&gt;http://www.abs.gov.au/ausstats/abs@.nsf/mf/4364.0.55.011&lt;/url&gt;&lt;/related-urls&gt;&lt;/urls&gt;&lt;/record&gt;&lt;/Cite&gt;&lt;/EndNote&gt;</w:instrText>
      </w:r>
      <w:r w:rsidRPr="00A84C11">
        <w:rPr>
          <w:shd w:val="clear" w:color="auto" w:fill="FFFFFF"/>
        </w:rPr>
        <w:fldChar w:fldCharType="separate"/>
      </w:r>
      <w:r w:rsidR="00547316" w:rsidRPr="00547316">
        <w:rPr>
          <w:noProof/>
          <w:shd w:val="clear" w:color="auto" w:fill="FFFFFF"/>
          <w:vertAlign w:val="superscript"/>
        </w:rPr>
        <w:t>64</w:t>
      </w:r>
      <w:r w:rsidRPr="00A84C11">
        <w:rPr>
          <w:shd w:val="clear" w:color="auto" w:fill="FFFFFF"/>
        </w:rPr>
        <w:fldChar w:fldCharType="end"/>
      </w:r>
    </w:p>
    <w:p w:rsidR="006E4621" w:rsidRPr="00E90ACB" w:rsidRDefault="006E4621" w:rsidP="006E4621">
      <w:pPr>
        <w:pStyle w:val="ListParagraph"/>
        <w:rPr>
          <w:highlight w:val="yellow"/>
        </w:rPr>
      </w:pPr>
    </w:p>
    <w:p w:rsidR="006E4621" w:rsidRDefault="006E4621" w:rsidP="006E4621">
      <w:pPr>
        <w:pStyle w:val="ListParagraph"/>
        <w:numPr>
          <w:ilvl w:val="0"/>
          <w:numId w:val="34"/>
        </w:numPr>
        <w:ind w:left="426" w:hanging="284"/>
      </w:pPr>
      <w:r w:rsidRPr="0065574E">
        <w:t>58% of Australian consumers' spending on food in 2014 was on discretionary items compared to 15% for fruit and vegetables.</w:t>
      </w:r>
      <w:r w:rsidRPr="0065574E">
        <w:fldChar w:fldCharType="begin"/>
      </w:r>
      <w:r w:rsidR="00547316">
        <w:instrText xml:space="preserve"> ADDIN EN.CITE &lt;EndNote&gt;&lt;Cite&gt;&lt;Author&gt;Australian Bureau of Statistics&lt;/Author&gt;&lt;Year&gt;2016&lt;/Year&gt;&lt;RecNum&gt;991&lt;/RecNum&gt;&lt;DisplayText&gt;&lt;style face="superscript"&gt;65&lt;/style&gt;&lt;/DisplayText&gt;&lt;record&gt;&lt;rec-number&gt;991&lt;/rec-number&gt;&lt;foreign-keys&gt;&lt;key app="EN" db-id="zxa00wf2opvf9oeeset50xz7ezpfwre2v20z"&gt;991&lt;/key&gt;&lt;/foreign-keys&gt;&lt;ref-type name="Report"&gt;27&lt;/ref-type&gt;&lt;contributors&gt;&lt;authors&gt;&lt;author&gt;Australian Bureau of Statistics,&lt;/author&gt;&lt;/authors&gt;&lt;/contributors&gt;&lt;titles&gt;&lt;title&gt;6401.0 - December quarter 2015 consumer price index&lt;/title&gt;&lt;/titles&gt;&lt;dates&gt;&lt;year&gt;2016&lt;/year&gt;&lt;/dates&gt;&lt;pub-location&gt;Canberra&lt;/pub-location&gt;&lt;publisher&gt;Commonwealth of Australia&lt;/publisher&gt;&lt;urls&gt;&lt;related-urls&gt;&lt;url&gt;http://www.ausstats.abs.gov.au/ausstats/meisubs.nsf/0/C3ABD893ED8188C7CA257F45000D8059/$File/64010_dec%202015.pdf&lt;/url&gt;&lt;/related-urls&gt;&lt;/urls&gt;&lt;/record&gt;&lt;/Cite&gt;&lt;/EndNote&gt;</w:instrText>
      </w:r>
      <w:r w:rsidRPr="0065574E">
        <w:fldChar w:fldCharType="separate"/>
      </w:r>
      <w:r w:rsidR="00547316" w:rsidRPr="00547316">
        <w:rPr>
          <w:noProof/>
          <w:vertAlign w:val="superscript"/>
        </w:rPr>
        <w:t>65</w:t>
      </w:r>
      <w:r w:rsidRPr="0065574E">
        <w:fldChar w:fldCharType="end"/>
      </w:r>
    </w:p>
    <w:p w:rsidR="006E4621" w:rsidRDefault="006E4621" w:rsidP="006E4621">
      <w:pPr>
        <w:pStyle w:val="ListParagraph"/>
        <w:ind w:left="426"/>
      </w:pPr>
    </w:p>
    <w:p w:rsidR="00C96958" w:rsidRDefault="006E4621" w:rsidP="006E4621">
      <w:pPr>
        <w:pStyle w:val="ListParagraph"/>
        <w:numPr>
          <w:ilvl w:val="0"/>
          <w:numId w:val="34"/>
        </w:numPr>
        <w:ind w:left="426" w:hanging="284"/>
      </w:pPr>
      <w:r w:rsidRPr="0065574E">
        <w:t xml:space="preserve">In 2011–12, 5% of Western Australians lived in a household that had run out of food and had been unable to afford to buy more at least once in the previous 12 </w:t>
      </w:r>
      <w:r w:rsidRPr="0065574E">
        <w:lastRenderedPageBreak/>
        <w:t>months.</w:t>
      </w:r>
      <w:r w:rsidRPr="0065574E">
        <w:rPr>
          <w:vertAlign w:val="superscript"/>
        </w:rPr>
        <w:fldChar w:fldCharType="begin"/>
      </w:r>
      <w:r w:rsidR="00547316">
        <w:rPr>
          <w:vertAlign w:val="superscript"/>
        </w:rPr>
        <w:instrText xml:space="preserve"> ADDIN EN.CITE &lt;EndNote&gt;&lt;Cite&gt;&lt;Author&gt;Australian Bureau of Statistics&lt;/Author&gt;&lt;Year&gt;2015&lt;/Year&gt;&lt;RecNum&gt;1072&lt;/RecNum&gt;&lt;DisplayText&gt;&lt;style face="superscript"&gt;62&lt;/style&gt;&lt;/DisplayText&gt;&lt;record&gt;&lt;rec-number&gt;1072&lt;/rec-number&gt;&lt;foreign-keys&gt;&lt;key app="EN" db-id="zxa00wf2opvf9oeeset50xz7ezpfwre2v20z"&gt;1072&lt;/key&gt;&lt;/foreign-keys&gt;&lt;ref-type name="Report"&gt;27&lt;/ref-type&gt;&lt;contributors&gt;&lt;authors&gt;&lt;author&gt;Australian Bureau of Statistics,&lt;/author&gt;&lt;/authors&gt;&lt;/contributors&gt;&lt;titles&gt;&lt;title&gt;4364.0.55.009 - Australian Health Survey: nutrition - state and territory results, 2011-12. Western Australia - key facts – food and nutrients, 2011-12&lt;/title&gt;&lt;/titles&gt;&lt;dates&gt;&lt;year&gt;2015&lt;/year&gt;&lt;/dates&gt;&lt;pub-location&gt;Canberra&lt;/pub-location&gt;&lt;publisher&gt;Australian Bureau of Statistics&lt;/publisher&gt;&lt;urls&gt;&lt;related-urls&gt;&lt;url&gt;http://www.abs.gov.au/ausstats/abs@.nsf/Lookup/by%20Subject/4364.0.55.009~2011-12~Main%20Features~Western%20Australia%20~7&lt;/url&gt;&lt;/related-urls&gt;&lt;/urls&gt;&lt;/record&gt;&lt;/Cite&gt;&lt;/EndNote&gt;</w:instrText>
      </w:r>
      <w:r w:rsidRPr="0065574E">
        <w:rPr>
          <w:vertAlign w:val="superscript"/>
        </w:rPr>
        <w:fldChar w:fldCharType="separate"/>
      </w:r>
      <w:r w:rsidR="00547316">
        <w:rPr>
          <w:noProof/>
          <w:vertAlign w:val="superscript"/>
        </w:rPr>
        <w:t>62</w:t>
      </w:r>
      <w:r w:rsidRPr="0065574E">
        <w:rPr>
          <w:vertAlign w:val="superscript"/>
        </w:rPr>
        <w:fldChar w:fldCharType="end"/>
      </w:r>
      <w:r w:rsidRPr="009F3050">
        <w:t xml:space="preserve"> </w:t>
      </w:r>
      <w:r w:rsidR="001D153F">
        <w:t xml:space="preserve"> </w:t>
      </w:r>
    </w:p>
    <w:p w:rsidR="00C96958" w:rsidRDefault="00C96958" w:rsidP="00C96958">
      <w:pPr>
        <w:pStyle w:val="ListParagraph"/>
        <w:ind w:left="426"/>
      </w:pPr>
    </w:p>
    <w:p w:rsidR="006E4621" w:rsidRPr="0065574E" w:rsidRDefault="004B0560" w:rsidP="006E4621">
      <w:pPr>
        <w:pStyle w:val="ListParagraph"/>
        <w:numPr>
          <w:ilvl w:val="0"/>
          <w:numId w:val="34"/>
        </w:numPr>
        <w:ind w:left="426" w:hanging="284"/>
      </w:pPr>
      <w:r>
        <w:t>N</w:t>
      </w:r>
      <w:r w:rsidR="00C96958">
        <w:t>ational data show that</w:t>
      </w:r>
      <w:r>
        <w:t xml:space="preserve"> in 2012</w:t>
      </w:r>
      <w:r w:rsidR="00691949">
        <w:t>–</w:t>
      </w:r>
      <w:r>
        <w:t xml:space="preserve">13, </w:t>
      </w:r>
      <w:r w:rsidR="00520D58">
        <w:t xml:space="preserve">22% of </w:t>
      </w:r>
      <w:r w:rsidR="00941B21">
        <w:t xml:space="preserve">Aboriginal people </w:t>
      </w:r>
      <w:r w:rsidR="00520D58">
        <w:t xml:space="preserve">reported living </w:t>
      </w:r>
      <w:r>
        <w:t>in a househo</w:t>
      </w:r>
      <w:r w:rsidR="00F75221">
        <w:t xml:space="preserve">ld that, in the previous 12 months, had run out of food and had not been able to afford to buy more. </w:t>
      </w:r>
      <w:r w:rsidR="007F68CE">
        <w:t xml:space="preserve">Among </w:t>
      </w:r>
      <w:r w:rsidR="00355B88">
        <w:t>Aboriginal</w:t>
      </w:r>
      <w:r w:rsidR="007F68CE">
        <w:t xml:space="preserve"> people dwelling remotely, the prevalence was 31%.</w:t>
      </w:r>
      <w:r w:rsidR="00A23216">
        <w:fldChar w:fldCharType="begin"/>
      </w:r>
      <w:r w:rsidR="00547316">
        <w:instrText xml:space="preserve"> ADDIN EN.CITE &lt;EndNote&gt;&lt;Cite&gt;&lt;Author&gt;Australian Bureau of Statistics&lt;/Author&gt;&lt;Year&gt;2015&lt;/Year&gt;&lt;RecNum&gt;988&lt;/RecNum&gt;&lt;DisplayText&gt;&lt;style face="superscript"&gt;66&lt;/style&gt;&lt;/DisplayText&gt;&lt;record&gt;&lt;rec-number&gt;988&lt;/rec-number&gt;&lt;foreign-keys&gt;&lt;key app="EN" db-id="zxa00wf2opvf9oeeset50xz7ezpfwre2v20z"&gt;988&lt;/key&gt;&lt;/foreign-keys&gt;&lt;ref-type name="Report"&gt;27&lt;/ref-type&gt;&lt;contributors&gt;&lt;authors&gt;&lt;author&gt;Australian Bureau of Statistics,&lt;/author&gt;&lt;/authors&gt;&lt;/contributors&gt;&lt;titles&gt;&lt;title&gt;4727.0.55.005 - Australian Aboriginal and Torres Strait Islander Health Survey: nutrition results - food and nutrients, 2012-13&lt;/title&gt;&lt;/titles&gt;&lt;dates&gt;&lt;year&gt;2015&lt;/year&gt;&lt;/dates&gt;&lt;pub-location&gt;Canberra&lt;/pub-location&gt;&lt;publisher&gt;Australian Bureau of Statistics&lt;/publisher&gt;&lt;urls&gt;&lt;related-urls&gt;&lt;url&gt;http://www.abs.gov.au/ausstats/abs@.nsf/Lookup/4727.0.55.005main+features12012-13&lt;/url&gt;&lt;/related-urls&gt;&lt;/urls&gt;&lt;/record&gt;&lt;/Cite&gt;&lt;/EndNote&gt;</w:instrText>
      </w:r>
      <w:r w:rsidR="00A23216">
        <w:fldChar w:fldCharType="separate"/>
      </w:r>
      <w:r w:rsidR="00547316" w:rsidRPr="00547316">
        <w:rPr>
          <w:noProof/>
          <w:vertAlign w:val="superscript"/>
        </w:rPr>
        <w:t>66</w:t>
      </w:r>
      <w:r w:rsidR="00A23216">
        <w:fldChar w:fldCharType="end"/>
      </w:r>
    </w:p>
    <w:p w:rsidR="00E17DE5" w:rsidRPr="006C7D3D" w:rsidRDefault="00E17DE5" w:rsidP="006E4621">
      <w:pPr>
        <w:pStyle w:val="ListParagraph"/>
        <w:ind w:left="132"/>
        <w:rPr>
          <w:highlight w:val="green"/>
        </w:rPr>
      </w:pPr>
    </w:p>
    <w:p w:rsidR="006E4621" w:rsidRPr="00A44158" w:rsidRDefault="006E4621" w:rsidP="00AD2A0A">
      <w:pPr>
        <w:pStyle w:val="ListParagraph"/>
        <w:numPr>
          <w:ilvl w:val="0"/>
          <w:numId w:val="34"/>
        </w:numPr>
        <w:ind w:left="426" w:hanging="284"/>
      </w:pPr>
      <w:r w:rsidRPr="00A44158">
        <w:t>In 2013, families on welfare and low incomes were likely to suffer ‘food stress’, that is, they would need to spend 25% or more of their disposable income to buy sufficient foods for a healthy weekly meal plan.</w:t>
      </w:r>
      <w:r w:rsidRPr="00AD2A0A">
        <w:rPr>
          <w:vertAlign w:val="superscript"/>
        </w:rPr>
        <w:fldChar w:fldCharType="begin"/>
      </w:r>
      <w:r w:rsidR="00547316">
        <w:rPr>
          <w:vertAlign w:val="superscript"/>
        </w:rPr>
        <w:instrText xml:space="preserve"> ADDIN EN.CITE &lt;EndNote&gt;&lt;Cite&gt;&lt;Author&gt;Pollard&lt;/Author&gt;&lt;Year&gt;2015&lt;/Year&gt;&lt;RecNum&gt;750&lt;/RecNum&gt;&lt;DisplayText&gt;&lt;style face="superscript"&gt;67&lt;/style&gt;&lt;/DisplayText&gt;&lt;record&gt;&lt;rec-number&gt;750&lt;/rec-number&gt;&lt;foreign-keys&gt;&lt;key app="EN" db-id="zxa00wf2opvf9oeeset50xz7ezpfwre2v20z"&gt;750&lt;/key&gt;&lt;/foreign-keys&gt;&lt;ref-type name="Report"&gt;27&lt;/ref-type&gt;&lt;contributors&gt;&lt;authors&gt;&lt;author&gt;Pollard, CM&lt;/author&gt;&lt;author&gt;Savage, V&lt;/author&gt;&lt;author&gt;Landrigen, L&lt;/author&gt;&lt;author&gt;Hanbury, A&lt;/author&gt;&lt;author&gt;Kerr, D&lt;/author&gt;&lt;/authors&gt;&lt;/contributors&gt;&lt;titles&gt;&lt;title&gt;Food access and cost survey&lt;/title&gt;&lt;/titles&gt;&lt;dates&gt;&lt;year&gt;2015&lt;/year&gt;&lt;/dates&gt;&lt;pub-location&gt;Perth&lt;/pub-location&gt;&lt;publisher&gt;Department of Health, Western Australia&lt;/publisher&gt;&lt;urls&gt;&lt;related-urls&gt;&lt;url&gt;http://www.public.health.wa.gov.au/cproot/6185/2/Food%20Access%20and%20Cost%20Survey%20Report%202013.pdf&lt;/url&gt;&lt;/related-urls&gt;&lt;/urls&gt;&lt;/record&gt;&lt;/Cite&gt;&lt;/EndNote&gt;</w:instrText>
      </w:r>
      <w:r w:rsidRPr="00AD2A0A">
        <w:rPr>
          <w:vertAlign w:val="superscript"/>
        </w:rPr>
        <w:fldChar w:fldCharType="separate"/>
      </w:r>
      <w:r w:rsidR="00547316">
        <w:rPr>
          <w:noProof/>
          <w:vertAlign w:val="superscript"/>
        </w:rPr>
        <w:t>67</w:t>
      </w:r>
      <w:r w:rsidRPr="00AD2A0A">
        <w:rPr>
          <w:vertAlign w:val="superscript"/>
        </w:rPr>
        <w:fldChar w:fldCharType="end"/>
      </w:r>
      <w:r w:rsidRPr="00A44158">
        <w:t xml:space="preserve"> </w:t>
      </w:r>
    </w:p>
    <w:p w:rsidR="006E4621" w:rsidRDefault="006E4621" w:rsidP="006E4621">
      <w:pPr>
        <w:ind w:left="426"/>
      </w:pPr>
    </w:p>
    <w:p w:rsidR="006E4621" w:rsidRDefault="006E4621" w:rsidP="00AD2A0A">
      <w:pPr>
        <w:pStyle w:val="ListParagraph"/>
        <w:widowControl/>
        <w:numPr>
          <w:ilvl w:val="0"/>
          <w:numId w:val="34"/>
        </w:numPr>
        <w:ind w:left="426" w:hanging="284"/>
      </w:pPr>
      <w:r>
        <w:t xml:space="preserve">Breastfeeding initiation rates in WA were 97% in 2014. Although guidelines recommend breastfeeding infants exclusively </w:t>
      </w:r>
      <w:r w:rsidR="0003459B">
        <w:t xml:space="preserve">until </w:t>
      </w:r>
      <w:r>
        <w:t>around six months of age, 44% had been given infant formula before one month of age.</w:t>
      </w:r>
      <w:r w:rsidRPr="0003459B">
        <w:rPr>
          <w:vertAlign w:val="superscript"/>
        </w:rPr>
        <w:t>17</w:t>
      </w:r>
      <w:r>
        <w:t xml:space="preserve">  </w:t>
      </w:r>
    </w:p>
    <w:p w:rsidR="006E4621" w:rsidRDefault="006E4621" w:rsidP="006E4621">
      <w:pPr>
        <w:pStyle w:val="ListParagraph"/>
        <w:ind w:left="426"/>
      </w:pPr>
    </w:p>
    <w:p w:rsidR="006E4621" w:rsidRPr="00FD3C08" w:rsidRDefault="006E4621" w:rsidP="006E4621">
      <w:pPr>
        <w:pStyle w:val="ListParagraph"/>
        <w:ind w:left="426"/>
      </w:pPr>
    </w:p>
    <w:p w:rsidR="006E4621" w:rsidRPr="00EA1976" w:rsidRDefault="006E4621" w:rsidP="006E4621">
      <w:pPr>
        <w:pStyle w:val="Heading2"/>
      </w:pPr>
      <w:bookmarkStart w:id="23" w:name="_Toc462049320"/>
      <w:r>
        <w:t>P</w:t>
      </w:r>
      <w:r w:rsidRPr="00EA1976">
        <w:t>riorities for healthier eating in WA</w:t>
      </w:r>
      <w:bookmarkEnd w:id="23"/>
    </w:p>
    <w:p w:rsidR="006E4621" w:rsidRDefault="006E4621" w:rsidP="006E4621">
      <w:pPr>
        <w:rPr>
          <w:rFonts w:eastAsia="Arial"/>
          <w:color w:val="1F497D" w:themeColor="text2"/>
          <w:sz w:val="28"/>
          <w:szCs w:val="28"/>
        </w:rPr>
      </w:pPr>
    </w:p>
    <w:p w:rsidR="006E4621" w:rsidRPr="00CB3E83" w:rsidRDefault="006E4621" w:rsidP="006E4621">
      <w:pPr>
        <w:rPr>
          <w:rFonts w:eastAsia="Arial"/>
          <w:color w:val="1F497D" w:themeColor="text2"/>
          <w:sz w:val="28"/>
          <w:szCs w:val="28"/>
        </w:rPr>
      </w:pPr>
      <w:r w:rsidRPr="00854E7D">
        <w:rPr>
          <w:rFonts w:eastAsia="Arial"/>
          <w:color w:val="808080" w:themeColor="background1" w:themeShade="80"/>
          <w:sz w:val="28"/>
          <w:szCs w:val="28"/>
        </w:rPr>
        <w:t xml:space="preserve">Foster environments that promote and support healthy eating patterns </w:t>
      </w:r>
    </w:p>
    <w:p w:rsidR="006E4621" w:rsidRPr="007C3CAF" w:rsidRDefault="006E4621" w:rsidP="006E4621"/>
    <w:p w:rsidR="006E4621" w:rsidRPr="00FD3C08" w:rsidRDefault="006E4621" w:rsidP="006E4621">
      <w:r w:rsidRPr="00354B34">
        <w:t xml:space="preserve">The current environment promotes </w:t>
      </w:r>
      <w:r>
        <w:t xml:space="preserve">poor dietary patterns, contributing to </w:t>
      </w:r>
      <w:r w:rsidRPr="007C3CAF">
        <w:t xml:space="preserve">excess energy </w:t>
      </w:r>
      <w:r>
        <w:t xml:space="preserve">intake </w:t>
      </w:r>
      <w:r w:rsidRPr="007C3CAF">
        <w:t xml:space="preserve">from </w:t>
      </w:r>
      <w:r>
        <w:t>manufactured</w:t>
      </w:r>
      <w:r w:rsidRPr="007C3CAF">
        <w:t xml:space="preserve"> foods</w:t>
      </w:r>
      <w:r>
        <w:t xml:space="preserve"> and drinks </w:t>
      </w:r>
      <w:r w:rsidRPr="007C3CAF">
        <w:t>high in saturated fat, added sugar</w:t>
      </w:r>
      <w:r>
        <w:t xml:space="preserve"> and</w:t>
      </w:r>
      <w:r w:rsidRPr="007C3CAF">
        <w:t xml:space="preserve"> salt</w:t>
      </w:r>
      <w:r>
        <w:t>,</w:t>
      </w:r>
      <w:r w:rsidRPr="007C3CAF">
        <w:t xml:space="preserve"> and inadequate intake of unprocessed and minimally</w:t>
      </w:r>
      <w:r>
        <w:t>-</w:t>
      </w:r>
      <w:r w:rsidRPr="007C3CAF">
        <w:t>processed</w:t>
      </w:r>
      <w:r>
        <w:t xml:space="preserve"> </w:t>
      </w:r>
      <w:r w:rsidRPr="007C3CAF">
        <w:t>nutritious foods and drinks</w:t>
      </w:r>
      <w:r>
        <w:t xml:space="preserve">, including </w:t>
      </w:r>
      <w:r w:rsidRPr="007C3CAF">
        <w:t>vegetables, fruit</w:t>
      </w:r>
      <w:r>
        <w:t xml:space="preserve"> and wholegrain cereals </w:t>
      </w:r>
      <w:r w:rsidRPr="007C3CAF">
        <w:t>from the five food group</w:t>
      </w:r>
      <w:r>
        <w:t>s</w:t>
      </w:r>
      <w:r w:rsidRPr="002F317E">
        <w:fldChar w:fldCharType="begin">
          <w:fldData xml:space="preserve">PEVuZE5vdGU+PENpdGU+PEF1dGhvcj5MZWU8L0F1dGhvcj48WWVhcj4yMDEzPC9ZZWFyPjxSZWNO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</w:fldData>
        </w:fldChar>
      </w:r>
      <w:r w:rsidR="00547316">
        <w:instrText xml:space="preserve"> ADDIN EN.CITE </w:instrText>
      </w:r>
      <w:r w:rsidR="00547316">
        <w:fldChar w:fldCharType="begin">
          <w:fldData xml:space="preserve">PEVuZE5vdGU+PENpdGU+PEF1dGhvcj5MZWU8L0F1dGhvcj48WWVhcj4yMDEzPC9ZZWFyPjxSZWNO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</w:fldData>
        </w:fldChar>
      </w:r>
      <w:r w:rsidR="00547316">
        <w:instrText xml:space="preserve"> ADDIN EN.CITE.DATA </w:instrText>
      </w:r>
      <w:r w:rsidR="00547316">
        <w:fldChar w:fldCharType="end"/>
      </w:r>
      <w:r w:rsidRPr="002F317E">
        <w:fldChar w:fldCharType="separate"/>
      </w:r>
      <w:r w:rsidR="00547316" w:rsidRPr="00547316">
        <w:rPr>
          <w:noProof/>
          <w:vertAlign w:val="superscript"/>
        </w:rPr>
        <w:t>68-70</w:t>
      </w:r>
      <w:r w:rsidRPr="002F317E">
        <w:fldChar w:fldCharType="end"/>
      </w:r>
      <w:r>
        <w:t xml:space="preserve"> </w:t>
      </w:r>
      <w:r w:rsidRPr="00D70A2C">
        <w:t>(Box 8).</w:t>
      </w:r>
      <w:r>
        <w:t xml:space="preserve"> In Australia, discretionary</w:t>
      </w:r>
      <w:r w:rsidRPr="00CE32FE">
        <w:t xml:space="preserve"> foods are</w:t>
      </w:r>
      <w:r>
        <w:t xml:space="preserve"> heavily </w:t>
      </w:r>
      <w:r w:rsidRPr="00CE32FE">
        <w:t>marketed, easy to obtain and prepare, and relatively cheap</w:t>
      </w:r>
      <w:r>
        <w:t>.</w:t>
      </w:r>
      <w:r>
        <w:fldChar w:fldCharType="begin"/>
      </w:r>
      <w:r w:rsidR="00547316">
        <w:instrText xml:space="preserve"> ADDIN EN.CITE &lt;EndNote&gt;&lt;Cite&gt;&lt;Author&gt;Australian Institute of Health and Welfare&lt;/Author&gt;&lt;Year&gt;2012&lt;/Year&gt;&lt;RecNum&gt;212&lt;/RecNum&gt;&lt;DisplayText&gt;&lt;style face="superscript"&gt;71&lt;/style&gt;&lt;/DisplayText&gt;&lt;record&gt;&lt;rec-number&gt;212&lt;/rec-number&gt;&lt;foreign-keys&gt;&lt;key app="EN" db-id="zxa00wf2opvf9oeeset50xz7ezpfwre2v20z"&gt;212&lt;/key&gt;&lt;/foreign-keys&gt;&lt;ref-type name="Report"&gt;27&lt;/ref-type&gt;&lt;contributors&gt;&lt;authors&gt;&lt;author&gt;Australian Institute of Health and Welfare,&lt;/author&gt;&lt;/authors&gt;&lt;/contributors&gt;&lt;titles&gt;&lt;title&gt;Australia&amp;apos;s food and nutrition 2012. Cat. no. PHE 163&lt;/title&gt;&lt;/titles&gt;&lt;dates&gt;&lt;year&gt;2012&lt;/year&gt;&lt;/dates&gt;&lt;pub-location&gt;Canberra&lt;/pub-location&gt;&lt;publisher&gt;Australian Institute of Health and Welfare&lt;/publisher&gt;&lt;urls&gt;&lt;related-urls&gt;&lt;url&gt;http://www.aihw.gov.au/WorkArea/DownloadAsset.aspx?id=10737422837&lt;/url&gt;&lt;/related-urls&gt;&lt;/urls&gt;&lt;/record&gt;&lt;/Cite&gt;&lt;/EndNote&gt;</w:instrText>
      </w:r>
      <w:r>
        <w:fldChar w:fldCharType="separate"/>
      </w:r>
      <w:r w:rsidR="00547316" w:rsidRPr="00547316">
        <w:rPr>
          <w:noProof/>
          <w:vertAlign w:val="superscript"/>
        </w:rPr>
        <w:t>71</w:t>
      </w:r>
      <w:r>
        <w:fldChar w:fldCharType="end"/>
      </w:r>
      <w:r>
        <w:t xml:space="preserve"> T</w:t>
      </w:r>
      <w:r w:rsidRPr="007C3CAF">
        <w:t xml:space="preserve">he </w:t>
      </w:r>
      <w:r>
        <w:t xml:space="preserve">ready </w:t>
      </w:r>
      <w:r w:rsidRPr="007C3CAF">
        <w:t>availability of sugar</w:t>
      </w:r>
      <w:r>
        <w:t>-</w:t>
      </w:r>
      <w:r w:rsidRPr="007C3CAF">
        <w:t xml:space="preserve">sweetened </w:t>
      </w:r>
      <w:r w:rsidRPr="00FD3C08">
        <w:t>beverages</w:t>
      </w:r>
      <w:r>
        <w:t>,</w:t>
      </w:r>
      <w:r w:rsidRPr="00FD3C08">
        <w:t xml:space="preserve"> increases in portion sizes</w:t>
      </w:r>
      <w:r>
        <w:t>,</w:t>
      </w:r>
      <w:r w:rsidRPr="00FD3C08">
        <w:t xml:space="preserve"> and food packaging and promotion</w:t>
      </w:r>
      <w:r>
        <w:t xml:space="preserve"> all impact </w:t>
      </w:r>
      <w:r w:rsidRPr="00FD3C08">
        <w:t>on dietary intakes.</w:t>
      </w:r>
      <w:r>
        <w:fldChar w:fldCharType="begin">
          <w:fldData xml:space="preserve">PEVuZE5vdGU+PENpdGU+PEF1dGhvcj5Pc3NlaS1Bc3NpYmV5PC9BdXRob3I+PFllYXI+MjAxNjwv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</w:fldData>
        </w:fldChar>
      </w:r>
      <w:r w:rsidR="00547316">
        <w:instrText xml:space="preserve"> ADDIN EN.CITE </w:instrText>
      </w:r>
      <w:r w:rsidR="00547316">
        <w:fldChar w:fldCharType="begin">
          <w:fldData xml:space="preserve">PEVuZE5vdGU+PENpdGU+PEF1dGhvcj5Pc3NlaS1Bc3NpYmV5PC9BdXRob3I+PFllYXI+MjAxNjwv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</w:fldData>
        </w:fldChar>
      </w:r>
      <w:r w:rsidR="00547316">
        <w:instrText xml:space="preserve"> ADDIN EN.CITE.DATA </w:instrText>
      </w:r>
      <w:r w:rsidR="00547316">
        <w:fldChar w:fldCharType="end"/>
      </w:r>
      <w:r>
        <w:fldChar w:fldCharType="separate"/>
      </w:r>
      <w:r w:rsidR="00547316" w:rsidRPr="00547316">
        <w:rPr>
          <w:noProof/>
          <w:vertAlign w:val="superscript"/>
        </w:rPr>
        <w:t>72-76</w:t>
      </w:r>
      <w:r>
        <w:fldChar w:fldCharType="end"/>
      </w:r>
    </w:p>
    <w:p w:rsidR="006E4621" w:rsidRDefault="006E4621" w:rsidP="006E4621"/>
    <w:p w:rsidR="006E4621" w:rsidRDefault="006E4621" w:rsidP="006E4621">
      <w:r>
        <w:t xml:space="preserve">There has been substantial effort to improve the supply and promotion of nutritious foods (while limiting discretionary foods) provided through food outlets in some settings, such as schools, health services and workplaces, and continued action is needed in these as well as in other settings where Western Australians live, work, learn and play. </w:t>
      </w:r>
    </w:p>
    <w:p w:rsidR="006E4621" w:rsidRDefault="006E4621" w:rsidP="006E4621"/>
    <w:p w:rsidR="006E4621" w:rsidRDefault="006E4621" w:rsidP="006E4621">
      <w:r>
        <w:t>H</w:t>
      </w:r>
      <w:r w:rsidRPr="00FD3C08">
        <w:t>ealthy dietary patterns</w:t>
      </w:r>
      <w:r>
        <w:t xml:space="preserve"> can be promoted and supported across all segments of the </w:t>
      </w:r>
      <w:r w:rsidRPr="00FD3C08">
        <w:t>food system</w:t>
      </w:r>
      <w:r>
        <w:t xml:space="preserve">, including </w:t>
      </w:r>
      <w:r w:rsidRPr="00FD3C08">
        <w:t xml:space="preserve">production, processing, </w:t>
      </w:r>
      <w:r>
        <w:t xml:space="preserve">trade, </w:t>
      </w:r>
      <w:r w:rsidRPr="00FD3C08">
        <w:t xml:space="preserve">distribution, </w:t>
      </w:r>
      <w:r>
        <w:t xml:space="preserve">food service, </w:t>
      </w:r>
      <w:r w:rsidRPr="00FD3C08">
        <w:t>marketing</w:t>
      </w:r>
      <w:r>
        <w:t xml:space="preserve"> and</w:t>
      </w:r>
      <w:r w:rsidRPr="00FD3C08">
        <w:t xml:space="preserve"> retail</w:t>
      </w:r>
      <w:r>
        <w:t xml:space="preserve">. There is evidence for a range of interventions that have potential to help improve the Western Australian diet, such as monetary incentives and disincentives for industry and consumers in the form of taxes, pricing policies and subsidies; planning provisions supporting local primary production and healthy food retailers; food reformulation to reduce </w:t>
      </w:r>
      <w:r w:rsidRPr="007C3CAF">
        <w:t>saturated fat, added sugar</w:t>
      </w:r>
      <w:r>
        <w:t xml:space="preserve"> and</w:t>
      </w:r>
      <w:r w:rsidRPr="007C3CAF">
        <w:t xml:space="preserve"> salt</w:t>
      </w:r>
      <w:r>
        <w:t xml:space="preserve"> and increase fibre; portion size limits; nutrition standards in food service settings; policies reducing exposure to discretionary food marketing, particularly for children; and provision of point-of-purchase nutrition information on food labels and menus</w:t>
      </w:r>
      <w:r w:rsidR="00E17DE5">
        <w:t>.</w:t>
      </w:r>
      <w:r w:rsidR="00F90298">
        <w:fldChar w:fldCharType="begin"/>
      </w:r>
      <w:r w:rsidR="00547316">
        <w:instrText xml:space="preserve"> ADDIN EN.CITE &lt;EndNote&gt;&lt;Cite&gt;&lt;Author&gt;Hawkes&lt;/Author&gt;&lt;Year&gt;2013&lt;/Year&gt;&lt;RecNum&gt;1103&lt;/RecNum&gt;&lt;DisplayText&gt;&lt;style face="superscript"&gt;77&lt;/style&gt;&lt;/DisplayText&gt;&lt;record&gt;&lt;rec-number&gt;1103&lt;/rec-number&gt;&lt;foreign-keys&gt;&lt;key app="EN" db-id="zxa00wf2opvf9oeeset50xz7ezpfwre2v20z"&gt;1103&lt;/key&gt;&lt;/foreign-keys&gt;&lt;ref-type name="Journal Article"&gt;17&lt;/ref-type&gt;&lt;contributors&gt;&lt;authors&gt;&lt;author&gt;Hawkes, C&lt;/author&gt;&lt;author&gt;Jewell, J &lt;/author&gt;&lt;author&gt;Allen, K&lt;/author&gt;&lt;/authors&gt;&lt;/contributors&gt;&lt;titles&gt;&lt;title&gt;A food policy package for healthy diets and the prevention of obesity and diet</w:instrText>
      </w:r>
      <w:r w:rsidR="00547316">
        <w:rPr>
          <w:rFonts w:ascii="Cambria Math" w:hAnsi="Cambria Math" w:cs="Cambria Math"/>
        </w:rPr>
        <w:instrText>‐</w:instrText>
      </w:r>
      <w:r w:rsidR="00547316">
        <w:instrText>related non</w:instrText>
      </w:r>
      <w:r w:rsidR="00547316">
        <w:rPr>
          <w:rFonts w:ascii="Cambria Math" w:hAnsi="Cambria Math" w:cs="Cambria Math"/>
        </w:rPr>
        <w:instrText>‐</w:instrText>
      </w:r>
      <w:r w:rsidR="00547316">
        <w:instrText>communicable diseases: the NOURISHING framework&lt;/title&gt;&lt;secondary-title&gt;Obesity Reviews&lt;/secondary-title&gt;&lt;/titles&gt;&lt;periodical&gt;&lt;full-title&gt;Obesity Reviews&lt;/full-title&gt;&lt;/periodical&gt;&lt;pages&gt;159-68&lt;/pages&gt;&lt;volume&gt;14&lt;/volume&gt;&lt;number&gt;S2&lt;/number&gt;&lt;dates&gt;&lt;year&gt;2013&lt;/year&gt;&lt;/dates&gt;&lt;urls&gt;&lt;related-urls&gt;&lt;url&gt;http://onlinelibrary.wiley.com/doi/10.1111/obr.12098/full&lt;/url&gt;&lt;/related-urls&gt;&lt;/urls&gt;&lt;/record&gt;&lt;/Cite&gt;&lt;/EndNote&gt;</w:instrText>
      </w:r>
      <w:r w:rsidR="00F90298">
        <w:fldChar w:fldCharType="separate"/>
      </w:r>
      <w:r w:rsidR="00547316" w:rsidRPr="00547316">
        <w:rPr>
          <w:noProof/>
          <w:vertAlign w:val="superscript"/>
        </w:rPr>
        <w:t>77</w:t>
      </w:r>
      <w:r w:rsidR="00F90298">
        <w:fldChar w:fldCharType="end"/>
      </w:r>
    </w:p>
    <w:p w:rsidR="006E4621" w:rsidRDefault="006E4621" w:rsidP="006E4621"/>
    <w:p w:rsidR="006E4621" w:rsidRDefault="006E4621" w:rsidP="006E4621">
      <w:r>
        <w:t xml:space="preserve">Both </w:t>
      </w:r>
      <w:r w:rsidRPr="00FD3C08">
        <w:t xml:space="preserve">health </w:t>
      </w:r>
      <w:r>
        <w:t>and</w:t>
      </w:r>
      <w:r w:rsidRPr="00FD3C08">
        <w:t xml:space="preserve"> environment</w:t>
      </w:r>
      <w:r>
        <w:t>al benefits are likely if healthy dietary patterns are widely adopted.</w:t>
      </w:r>
      <w:r w:rsidR="0099210E">
        <w:t xml:space="preserve"> </w:t>
      </w:r>
      <w:r>
        <w:t xml:space="preserve">Overconsumption, </w:t>
      </w:r>
      <w:r w:rsidRPr="00FD3C08">
        <w:t xml:space="preserve">particularly of discretionary foods, </w:t>
      </w:r>
      <w:r>
        <w:t>leads to</w:t>
      </w:r>
      <w:r w:rsidRPr="00FD3C08">
        <w:t xml:space="preserve"> greater use of natural resources and </w:t>
      </w:r>
      <w:r>
        <w:t xml:space="preserve">puts more pressure on the environment, </w:t>
      </w:r>
      <w:r>
        <w:lastRenderedPageBreak/>
        <w:t xml:space="preserve">including </w:t>
      </w:r>
      <w:r w:rsidRPr="00FD3C08">
        <w:t>increased disposal of food waste and packaging.</w:t>
      </w:r>
      <w:r>
        <w:fldChar w:fldCharType="begin"/>
      </w:r>
      <w:r w:rsidR="00547316">
        <w:instrText xml:space="preserve"> ADDIN EN.CITE &lt;EndNote&gt;&lt;Cite&gt;&lt;Author&gt;National Health and Medical Research Council&lt;/Author&gt;&lt;Year&gt;2013&lt;/Year&gt;&lt;RecNum&gt;16&lt;/RecNum&gt;&lt;DisplayText&gt;&lt;style face="superscript"&gt;78&lt;/style&gt;&lt;/DisplayText&gt;&lt;record&gt;&lt;rec-number&gt;16&lt;/rec-number&gt;&lt;foreign-keys&gt;&lt;key app="EN" db-id="zxa00wf2opvf9oeeset50xz7ezpfwre2v20z"&gt;16&lt;/key&gt;&lt;/foreign-keys&gt;&lt;ref-type name="Report"&gt;27&lt;/ref-type&gt;&lt;contributors&gt;&lt;authors&gt;&lt;author&gt;National Health and Medical Research Council,&lt;/author&gt;&lt;/authors&gt;&lt;/contributors&gt;&lt;titles&gt;&lt;title&gt;Eat for health: Australian Dietary Guidelines. Providing the scientific evidence for healthier Australian diets&lt;/title&gt;&lt;/titles&gt;&lt;dates&gt;&lt;year&gt;2013&lt;/year&gt;&lt;/dates&gt;&lt;pub-location&gt;Canberra&lt;/pub-location&gt;&lt;publisher&gt;National Health and Medical Research Council&lt;/publisher&gt;&lt;urls&gt;&lt;related-urls&gt;&lt;url&gt;http://www.nhmrc.gov.au/guidelines-publications/n55&lt;/url&gt;&lt;/related-urls&gt;&lt;/urls&gt;&lt;/record&gt;&lt;/Cite&gt;&lt;/EndNote&gt;</w:instrText>
      </w:r>
      <w:r>
        <w:fldChar w:fldCharType="separate"/>
      </w:r>
      <w:r w:rsidR="00547316" w:rsidRPr="00547316">
        <w:rPr>
          <w:noProof/>
          <w:vertAlign w:val="superscript"/>
        </w:rPr>
        <w:t>78</w:t>
      </w:r>
      <w:r>
        <w:fldChar w:fldCharType="end"/>
      </w:r>
      <w:r w:rsidRPr="00FD3C08">
        <w:t xml:space="preserve"> A food system that supports healthy dietary patt</w:t>
      </w:r>
      <w:r>
        <w:t xml:space="preserve">erns </w:t>
      </w:r>
      <w:r w:rsidRPr="00FD3C08">
        <w:t xml:space="preserve">will require </w:t>
      </w:r>
      <w:r>
        <w:t>a</w:t>
      </w:r>
      <w:r w:rsidRPr="00FD3C08">
        <w:t xml:space="preserve"> combined effort from different levels and sectors of governme</w:t>
      </w:r>
      <w:r>
        <w:t>nt, industry and the community.</w:t>
      </w:r>
    </w:p>
    <w:p w:rsidR="006E4621" w:rsidRDefault="006E4621" w:rsidP="006E4621"/>
    <w:p w:rsidR="006E4621" w:rsidRPr="00B92F16" w:rsidRDefault="006E4621" w:rsidP="006E4621">
      <w:r w:rsidRPr="00FD3C08">
        <w:t xml:space="preserve">A multifaceted approach involving a range of sectors is also needed to foster and maintain an environment that supports </w:t>
      </w:r>
      <w:r w:rsidRPr="00974636">
        <w:t>breastfeeding.</w:t>
      </w:r>
      <w:r>
        <w:fldChar w:fldCharType="begin"/>
      </w:r>
      <w:r w:rsidR="00547316">
        <w:instrText xml:space="preserve"> ADDIN EN.CITE &lt;EndNote&gt;&lt;Cite&gt;&lt;Author&gt;Australian Government&lt;/Author&gt;&lt;Year&gt;2009&lt;/Year&gt;&lt;RecNum&gt;992&lt;/RecNum&gt;&lt;DisplayText&gt;&lt;style face="superscript"&gt;79&lt;/style&gt;&lt;/DisplayText&gt;&lt;record&gt;&lt;rec-number&gt;992&lt;/rec-number&gt;&lt;foreign-keys&gt;&lt;key app="EN" db-id="zxa00wf2opvf9oeeset50xz7ezpfwre2v20z"&gt;992&lt;/key&gt;&lt;/foreign-keys&gt;&lt;ref-type name="Report"&gt;27&lt;/ref-type&gt;&lt;contributors&gt;&lt;authors&gt;&lt;author&gt;Department of Health,&lt;/author&gt;&lt;author&gt;Australian Government,&lt;/author&gt;&lt;/authors&gt;&lt;/contributors&gt;&lt;titles&gt;&lt;title&gt;Australian National Breastfeeding Strategy 2010-2015&lt;/title&gt;&lt;/titles&gt;&lt;dates&gt;&lt;year&gt;2009&lt;/year&gt;&lt;/dates&gt;&lt;pub-location&gt;Canberra&lt;/pub-location&gt;&lt;publisher&gt;Commonwealth of Australia&lt;/publisher&gt;&lt;urls&gt;&lt;related-urls&gt;&lt;url&gt;http://www.health.gov.au/internet/main/publishing.nsf/Content/6FD59347DD67ED8FCA257BF0001CFD1E/$File/Breastfeeding_strat1015.pdf&lt;/url&gt;&lt;/related-urls&gt;&lt;/urls&gt;&lt;/record&gt;&lt;/Cite&gt;&lt;/EndNote&gt;</w:instrText>
      </w:r>
      <w:r>
        <w:fldChar w:fldCharType="separate"/>
      </w:r>
      <w:r w:rsidR="00547316" w:rsidRPr="00547316">
        <w:rPr>
          <w:noProof/>
          <w:vertAlign w:val="superscript"/>
        </w:rPr>
        <w:t>79</w:t>
      </w:r>
      <w:r>
        <w:fldChar w:fldCharType="end"/>
      </w:r>
      <w:r>
        <w:t xml:space="preserve"> </w:t>
      </w:r>
      <w:r w:rsidRPr="00B92F16">
        <w:t>There is a high level of social acceptability for breastfeeding in public places in WA</w:t>
      </w:r>
      <w:r>
        <w:t>,</w:t>
      </w:r>
      <w:r>
        <w:fldChar w:fldCharType="begin"/>
      </w:r>
      <w:r w:rsidR="00547316">
        <w:instrText xml:space="preserve"> ADDIN EN.CITE &lt;EndNote&gt;&lt;Cite&gt;&lt;Author&gt;Meng&lt;/Author&gt;&lt;Year&gt;2013&lt;/Year&gt;&lt;RecNum&gt;1023&lt;/RecNum&gt;&lt;DisplayText&gt;&lt;style face="superscript"&gt;80&lt;/style&gt;&lt;/DisplayText&gt;&lt;record&gt;&lt;rec-number&gt;1023&lt;/rec-number&gt;&lt;foreign-keys&gt;&lt;key app="EN" db-id="zxa00wf2opvf9oeeset50xz7ezpfwre2v20z"&gt;1023&lt;/key&gt;&lt;/foreign-keys&gt;&lt;ref-type name="Journal Article"&gt;17&lt;/ref-type&gt;&lt;contributors&gt;&lt;authors&gt;&lt;author&gt;Meng, X&lt;/author&gt;&lt;author&gt;Daly, A&lt;/author&gt;&lt;author&gt;Pollard, CM&lt;/author&gt;&lt;author&gt;Binns, CWB&lt;/author&gt;&lt;/authors&gt;&lt;/contributors&gt;&lt;titles&gt;&lt;title&gt;Community attitudes toward breastfeeding in public places among Western Australia adults, 1995-2009&lt;/title&gt;&lt;secondary-title&gt;J Hum Lact &lt;/secondary-title&gt;&lt;/titles&gt;&lt;periodical&gt;&lt;full-title&gt;J Hum Lact&lt;/full-title&gt;&lt;/periodical&gt;&lt;pages&gt;183–189&lt;/pages&gt;&lt;volume&gt;29&lt;/volume&gt;&lt;number&gt;2&lt;/number&gt;&lt;dates&gt;&lt;year&gt;2013&lt;/year&gt;&lt;/dates&gt;&lt;urls&gt;&lt;related-urls&gt;&lt;url&gt;http://www.ncbi.nlm.nih.gov/pubmed/23504475&lt;/url&gt;&lt;/related-urls&gt;&lt;/urls&gt;&lt;/record&gt;&lt;/Cite&gt;&lt;/EndNote&gt;</w:instrText>
      </w:r>
      <w:r>
        <w:fldChar w:fldCharType="separate"/>
      </w:r>
      <w:r w:rsidR="00547316" w:rsidRPr="00547316">
        <w:rPr>
          <w:noProof/>
          <w:vertAlign w:val="superscript"/>
        </w:rPr>
        <w:t>80</w:t>
      </w:r>
      <w:r>
        <w:fldChar w:fldCharType="end"/>
      </w:r>
      <w:r w:rsidRPr="00B92F16">
        <w:t xml:space="preserve"> </w:t>
      </w:r>
      <w:r>
        <w:t>and a</w:t>
      </w:r>
      <w:r w:rsidRPr="00B92F16">
        <w:t>lthough breastfeeding initiation rates are high in WA</w:t>
      </w:r>
      <w:r>
        <w:t>,</w:t>
      </w:r>
      <w:r>
        <w:fldChar w:fldCharType="begin"/>
      </w:r>
      <w:r>
        <w:instrText xml:space="preserve"> ADDIN EN.CITE &lt;EndNote&gt;&lt;Cite&gt;&lt;Author&gt;Tomlin&lt;/Author&gt;&lt;Year&gt;2015&lt;/Year&gt;&lt;RecNum&gt;1041&lt;/RecNum&gt;&lt;DisplayText&gt;&lt;style face="superscript"&gt;21&lt;/style&gt;&lt;/DisplayText&gt;&lt;record&gt;&lt;rec-number&gt;1041&lt;/rec-number&gt;&lt;foreign-keys&gt;&lt;key app="EN" db-id="zxa00wf2opvf9oeeset50xz7ezpfwre2v20z"&gt;1041&lt;/key&gt;&lt;/foreign-keys&gt;&lt;ref-type name="Report"&gt;27&lt;/ref-type&gt;&lt;contributors&gt;&lt;authors&gt;&lt;author&gt;Tomlin, S., &lt;/author&gt;&lt;author&gt;Radomiljac, A.,&lt;/author&gt;&lt;author&gt;Kay, A. &lt;/author&gt;&lt;/authors&gt;&lt;secondary-authors&gt;&lt;author&gt;Department of Health, Western Australia.&lt;/author&gt;&lt;/secondary-authors&gt;&lt;/contributors&gt;&lt;titles&gt;&lt;title&gt;Health and wellbeing of children in Western Australia in 2014, overview and trends&lt;/title&gt;&lt;/titles&gt;&lt;dates&gt;&lt;year&gt;2015&lt;/year&gt;&lt;/dates&gt;&lt;pub-location&gt;Perth&lt;/pub-location&gt;&lt;publisher&gt;Department of Health, Western Australia&lt;/publisher&gt;&lt;urls&gt;&lt;related-urls&gt;&lt;url&gt;http://ww2.health.wa.gov.au/~/media/Files/Corporate/Reports%20and%20publications/Population%20surveys/Health-wellbeing-Children-WA-2014-OandT.ashx&lt;/url&gt;&lt;/related-urls&gt;&lt;/urls&gt;&lt;/record&gt;&lt;/Cite&gt;&lt;/EndNote&gt;</w:instrText>
      </w:r>
      <w:r>
        <w:fldChar w:fldCharType="separate"/>
      </w:r>
      <w:r w:rsidRPr="006E4621">
        <w:rPr>
          <w:noProof/>
          <w:vertAlign w:val="superscript"/>
        </w:rPr>
        <w:t>21</w:t>
      </w:r>
      <w:r>
        <w:fldChar w:fldCharType="end"/>
      </w:r>
      <w:r w:rsidRPr="00B92F16">
        <w:t xml:space="preserve"> mothers need a range of environmental supports to </w:t>
      </w:r>
      <w:r>
        <w:t xml:space="preserve">encourage and </w:t>
      </w:r>
      <w:r w:rsidRPr="00B92F16">
        <w:t>enable them to continue</w:t>
      </w:r>
      <w:r>
        <w:t xml:space="preserve"> to feed</w:t>
      </w:r>
      <w:r w:rsidRPr="00B92F16">
        <w:t xml:space="preserve"> for an optimal time.</w:t>
      </w:r>
      <w:r>
        <w:fldChar w:fldCharType="begin"/>
      </w:r>
      <w:r w:rsidR="00547316">
        <w:instrText xml:space="preserve"> ADDIN EN.CITE &lt;EndNote&gt;&lt;Cite&gt;&lt;Author&gt;National Health and Medical Research Council&lt;/Author&gt;&lt;Year&gt;2013&lt;/Year&gt;&lt;RecNum&gt;16&lt;/RecNum&gt;&lt;DisplayText&gt;&lt;style face="superscript"&gt;78&lt;/style&gt;&lt;/DisplayText&gt;&lt;record&gt;&lt;rec-number&gt;16&lt;/rec-number&gt;&lt;foreign-keys&gt;&lt;key app="EN" db-id="zxa00wf2opvf9oeeset50xz7ezpfwre2v20z"&gt;16&lt;/key&gt;&lt;/foreign-keys&gt;&lt;ref-type name="Report"&gt;27&lt;/ref-type&gt;&lt;contributors&gt;&lt;authors&gt;&lt;author&gt;National Health and Medical Research Council,&lt;/author&gt;&lt;/authors&gt;&lt;/contributors&gt;&lt;titles&gt;&lt;title&gt;Eat for health: Australian Dietary Guidelines. Providing the scientific evidence for healthier Australian diets&lt;/title&gt;&lt;/titles&gt;&lt;dates&gt;&lt;year&gt;2013&lt;/year&gt;&lt;/dates&gt;&lt;pub-location&gt;Canberra&lt;/pub-location&gt;&lt;publisher&gt;National Health and Medical Research Council&lt;/publisher&gt;&lt;urls&gt;&lt;related-urls&gt;&lt;url&gt;http://www.nhmrc.gov.au/guidelines-publications/n55&lt;/url&gt;&lt;/related-urls&gt;&lt;/urls&gt;&lt;/record&gt;&lt;/Cite&gt;&lt;/EndNote&gt;</w:instrText>
      </w:r>
      <w:r>
        <w:fldChar w:fldCharType="separate"/>
      </w:r>
      <w:r w:rsidR="00547316" w:rsidRPr="00547316">
        <w:rPr>
          <w:noProof/>
          <w:vertAlign w:val="superscript"/>
        </w:rPr>
        <w:t>78</w:t>
      </w:r>
      <w:r>
        <w:fldChar w:fldCharType="end"/>
      </w:r>
      <w:r w:rsidRPr="00B92F16">
        <w:t xml:space="preserve"> </w:t>
      </w:r>
      <w:r w:rsidR="00E46FC1">
        <w:t>These could include</w:t>
      </w:r>
      <w:r>
        <w:t xml:space="preserve"> </w:t>
      </w:r>
      <w:r w:rsidRPr="00252D71">
        <w:t xml:space="preserve">education and support for mothers, </w:t>
      </w:r>
      <w:r w:rsidR="00E46FC1">
        <w:t xml:space="preserve">the fostering of </w:t>
      </w:r>
      <w:r w:rsidRPr="00252D71">
        <w:t>supportive</w:t>
      </w:r>
      <w:r w:rsidRPr="00B92F16">
        <w:t xml:space="preserve"> community and family environments, and enforcement of already-existing restrictions on the marketing and labelling of infant formula.</w:t>
      </w:r>
      <w:r>
        <w:fldChar w:fldCharType="begin">
          <w:fldData xml:space="preserve">PEVuZE5vdGU+PENpdGU+PEF1dGhvcj5NYXljb2NrPC9BdXRob3I+PFllYXI+MjAxMzwvWWVhcj48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</w:fldData>
        </w:fldChar>
      </w:r>
      <w:r w:rsidR="00547316">
        <w:instrText xml:space="preserve"> ADDIN EN.CITE </w:instrText>
      </w:r>
      <w:r w:rsidR="00547316">
        <w:fldChar w:fldCharType="begin">
          <w:fldData xml:space="preserve">PEVuZE5vdGU+PENpdGU+PEF1dGhvcj5NYXljb2NrPC9BdXRob3I+PFllYXI+MjAxMzwvWWVhcj48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</w:fldData>
        </w:fldChar>
      </w:r>
      <w:r w:rsidR="00547316">
        <w:instrText xml:space="preserve"> ADDIN EN.CITE.DATA </w:instrText>
      </w:r>
      <w:r w:rsidR="00547316">
        <w:fldChar w:fldCharType="end"/>
      </w:r>
      <w:r>
        <w:fldChar w:fldCharType="separate"/>
      </w:r>
      <w:r w:rsidR="00547316" w:rsidRPr="00547316">
        <w:rPr>
          <w:noProof/>
          <w:vertAlign w:val="superscript"/>
        </w:rPr>
        <w:t>79, 81, 82</w:t>
      </w:r>
      <w:r>
        <w:fldChar w:fldCharType="end"/>
      </w:r>
      <w:r w:rsidRPr="00B92F16">
        <w:t xml:space="preserve"> </w:t>
      </w:r>
    </w:p>
    <w:p w:rsidR="006E4621" w:rsidRDefault="006E4621" w:rsidP="006E4621"/>
    <w:p w:rsidR="006E4621" w:rsidRPr="00051965" w:rsidRDefault="006E4621" w:rsidP="006E4621">
      <w:pPr>
        <w:rPr>
          <w:rFonts w:eastAsia="Arial"/>
          <w:color w:val="808080" w:themeColor="background1" w:themeShade="80"/>
          <w:sz w:val="28"/>
          <w:szCs w:val="28"/>
        </w:rPr>
      </w:pPr>
      <w:r w:rsidRPr="00051965">
        <w:rPr>
          <w:rFonts w:eastAsia="Arial"/>
          <w:color w:val="808080" w:themeColor="background1" w:themeShade="80"/>
          <w:sz w:val="28"/>
          <w:szCs w:val="28"/>
        </w:rPr>
        <w:t>Increase availability and accessibility of safe, nutritious, sustainable, and affordable food for all</w:t>
      </w:r>
    </w:p>
    <w:p w:rsidR="006E4621" w:rsidRDefault="006E4621" w:rsidP="006E4621"/>
    <w:p w:rsidR="006E4621" w:rsidRPr="00C45BDF" w:rsidRDefault="006E4621" w:rsidP="006E4621">
      <w:r w:rsidRPr="007C3CAF">
        <w:t>The supply of relatively cheap</w:t>
      </w:r>
      <w:r>
        <w:t>, energy-dense, nutrient-poor foods</w:t>
      </w:r>
      <w:r w:rsidRPr="007C3CAF" w:rsidDel="00002A6C">
        <w:t xml:space="preserve"> </w:t>
      </w:r>
      <w:r w:rsidRPr="007C3CAF">
        <w:t xml:space="preserve">has </w:t>
      </w:r>
      <w:r>
        <w:t>grown substantially</w:t>
      </w:r>
      <w:r>
        <w:fldChar w:fldCharType="begin"/>
      </w:r>
      <w:r w:rsidR="00547316">
        <w:instrText xml:space="preserve"> ADDIN EN.CITE &lt;EndNote&gt;&lt;Cite&gt;&lt;Author&gt;Australian Institute of Health and Welfare&lt;/Author&gt;&lt;Year&gt;2012&lt;/Year&gt;&lt;RecNum&gt;212&lt;/RecNum&gt;&lt;DisplayText&gt;&lt;style face="superscript"&gt;71&lt;/style&gt;&lt;/DisplayText&gt;&lt;record&gt;&lt;rec-number&gt;212&lt;/rec-number&gt;&lt;foreign-keys&gt;&lt;key app="EN" db-id="zxa00wf2opvf9oeeset50xz7ezpfwre2v20z"&gt;212&lt;/key&gt;&lt;/foreign-keys&gt;&lt;ref-type name="Report"&gt;27&lt;/ref-type&gt;&lt;contributors&gt;&lt;authors&gt;&lt;author&gt;Australian Institute of Health and Welfare,&lt;/author&gt;&lt;/authors&gt;&lt;/contributors&gt;&lt;titles&gt;&lt;title&gt;Australia&amp;apos;s food and nutrition 2012. Cat. no. PHE 163&lt;/title&gt;&lt;/titles&gt;&lt;dates&gt;&lt;year&gt;2012&lt;/year&gt;&lt;/dates&gt;&lt;pub-location&gt;Canberra&lt;/pub-location&gt;&lt;publisher&gt;Australian Institute of Health and Welfare&lt;/publisher&gt;&lt;urls&gt;&lt;related-urls&gt;&lt;url&gt;http://www.aihw.gov.au/WorkArea/DownloadAsset.aspx?id=10737422837&lt;/url&gt;&lt;/related-urls&gt;&lt;/urls&gt;&lt;/record&gt;&lt;/Cite&gt;&lt;/EndNote&gt;</w:instrText>
      </w:r>
      <w:r>
        <w:fldChar w:fldCharType="separate"/>
      </w:r>
      <w:r w:rsidR="00547316" w:rsidRPr="00547316">
        <w:rPr>
          <w:noProof/>
          <w:vertAlign w:val="superscript"/>
        </w:rPr>
        <w:t>71</w:t>
      </w:r>
      <w:r>
        <w:fldChar w:fldCharType="end"/>
      </w:r>
      <w:r>
        <w:t xml:space="preserve"> </w:t>
      </w:r>
      <w:r w:rsidRPr="00C45BDF">
        <w:t>and the price of healthy foods, particularly fruits and vegetables, has increased.</w:t>
      </w:r>
      <w:r>
        <w:fldChar w:fldCharType="begin"/>
      </w:r>
      <w:r w:rsidR="00547316">
        <w:instrText xml:space="preserve"> ADDIN EN.CITE &lt;EndNote&gt;&lt;Cite&gt;&lt;Author&gt;Australian Bureau of Statistics&lt;/Author&gt;&lt;Year&gt;2016&lt;/Year&gt;&lt;RecNum&gt;991&lt;/RecNum&gt;&lt;DisplayText&gt;&lt;style face="superscript"&gt;65&lt;/style&gt;&lt;/DisplayText&gt;&lt;record&gt;&lt;rec-number&gt;991&lt;/rec-number&gt;&lt;foreign-keys&gt;&lt;key app="EN" db-id="zxa00wf2opvf9oeeset50xz7ezpfwre2v20z"&gt;991&lt;/key&gt;&lt;/foreign-keys&gt;&lt;ref-type name="Report"&gt;27&lt;/ref-type&gt;&lt;contributors&gt;&lt;authors&gt;&lt;author&gt;Australian Bureau of Statistics,&lt;/author&gt;&lt;/authors&gt;&lt;/contributors&gt;&lt;titles&gt;&lt;title&gt;6401.0 - December quarter 2015 consumer price index&lt;/title&gt;&lt;/titles&gt;&lt;dates&gt;&lt;year&gt;2016&lt;/year&gt;&lt;/dates&gt;&lt;pub-location&gt;Canberra&lt;/pub-location&gt;&lt;publisher&gt;Commonwealth of Australia&lt;/publisher&gt;&lt;urls&gt;&lt;related-urls&gt;&lt;url&gt;http://www.ausstats.abs.gov.au/ausstats/meisubs.nsf/0/C3ABD893ED8188C7CA257F45000D8059/$File/64010_dec%202015.pdf&lt;/url&gt;&lt;/related-urls&gt;&lt;/urls&gt;&lt;/record&gt;&lt;/Cite&gt;&lt;/EndNote&gt;</w:instrText>
      </w:r>
      <w:r>
        <w:fldChar w:fldCharType="separate"/>
      </w:r>
      <w:r w:rsidR="00547316" w:rsidRPr="00547316">
        <w:rPr>
          <w:noProof/>
          <w:vertAlign w:val="superscript"/>
        </w:rPr>
        <w:t>65</w:t>
      </w:r>
      <w:r>
        <w:fldChar w:fldCharType="end"/>
      </w:r>
      <w:r w:rsidRPr="00C45BDF">
        <w:t xml:space="preserve"> Access to fresh, good quality, nutritious and affordable food in WA is limited by where people live and their income.</w:t>
      </w:r>
      <w:r>
        <w:fldChar w:fldCharType="begin"/>
      </w:r>
      <w:r w:rsidR="00547316">
        <w:instrText xml:space="preserve"> ADDIN EN.CITE &lt;EndNote&gt;&lt;Cite&gt;&lt;Author&gt;Pollard&lt;/Author&gt;&lt;Year&gt;2015&lt;/Year&gt;&lt;RecNum&gt;750&lt;/RecNum&gt;&lt;DisplayText&gt;&lt;style face="superscript"&gt;67&lt;/style&gt;&lt;/DisplayText&gt;&lt;record&gt;&lt;rec-number&gt;750&lt;/rec-number&gt;&lt;foreign-keys&gt;&lt;key app="EN" db-id="zxa00wf2opvf9oeeset50xz7ezpfwre2v20z"&gt;750&lt;/key&gt;&lt;/foreign-keys&gt;&lt;ref-type name="Report"&gt;27&lt;/ref-type&gt;&lt;contributors&gt;&lt;authors&gt;&lt;author&gt;Pollard, CM&lt;/author&gt;&lt;author&gt;Savage, V&lt;/author&gt;&lt;author&gt;Landrigen, L&lt;/author&gt;&lt;author&gt;Hanbury, A&lt;/author&gt;&lt;author&gt;Kerr, D&lt;/author&gt;&lt;/authors&gt;&lt;/contributors&gt;&lt;titles&gt;&lt;title&gt;Food access and cost survey&lt;/title&gt;&lt;/titles&gt;&lt;dates&gt;&lt;year&gt;2015&lt;/year&gt;&lt;/dates&gt;&lt;pub-location&gt;Perth&lt;/pub-location&gt;&lt;publisher&gt;Department of Health, Western Australia&lt;/publisher&gt;&lt;urls&gt;&lt;related-urls&gt;&lt;url&gt;http://www.public.health.wa.gov.au/cproot/6185/2/Food%20Access%20and%20Cost%20Survey%20Report%202013.pdf&lt;/url&gt;&lt;/related-urls&gt;&lt;/urls&gt;&lt;/record&gt;&lt;/Cite&gt;&lt;/EndNote&gt;</w:instrText>
      </w:r>
      <w:r>
        <w:fldChar w:fldCharType="separate"/>
      </w:r>
      <w:r w:rsidR="00547316" w:rsidRPr="00547316">
        <w:rPr>
          <w:noProof/>
          <w:vertAlign w:val="superscript"/>
        </w:rPr>
        <w:t>67</w:t>
      </w:r>
      <w:r>
        <w:fldChar w:fldCharType="end"/>
      </w:r>
      <w:r w:rsidRPr="00C45BDF">
        <w:t xml:space="preserve"> Due to transport time and costs, food </w:t>
      </w:r>
      <w:r>
        <w:t>is generally</w:t>
      </w:r>
      <w:r w:rsidRPr="00C45BDF">
        <w:t xml:space="preserve"> more expensive and of poorer quality </w:t>
      </w:r>
      <w:r>
        <w:t>as</w:t>
      </w:r>
      <w:r w:rsidRPr="00C45BDF">
        <w:t xml:space="preserve"> distance from Perth</w:t>
      </w:r>
      <w:r>
        <w:t xml:space="preserve"> increases. A 2013 study showed that a</w:t>
      </w:r>
      <w:r w:rsidR="0099210E">
        <w:t xml:space="preserve"> </w:t>
      </w:r>
      <w:r w:rsidRPr="00C45BDF">
        <w:t>healthy food basket cost 26% more in remote areas</w:t>
      </w:r>
      <w:r>
        <w:t xml:space="preserve"> than in metropolitan areas</w:t>
      </w:r>
      <w:r w:rsidRPr="00C45BDF">
        <w:t>.</w:t>
      </w:r>
      <w:r>
        <w:fldChar w:fldCharType="begin"/>
      </w:r>
      <w:r w:rsidR="00547316">
        <w:instrText xml:space="preserve"> ADDIN EN.CITE &lt;EndNote&gt;&lt;Cite&gt;&lt;Author&gt;Pollard&lt;/Author&gt;&lt;Year&gt;2015&lt;/Year&gt;&lt;RecNum&gt;750&lt;/RecNum&gt;&lt;DisplayText&gt;&lt;style face="superscript"&gt;67&lt;/style&gt;&lt;/DisplayText&gt;&lt;record&gt;&lt;rec-number&gt;750&lt;/rec-number&gt;&lt;foreign-keys&gt;&lt;key app="EN" db-id="zxa00wf2opvf9oeeset50xz7ezpfwre2v20z"&gt;750&lt;/key&gt;&lt;/foreign-keys&gt;&lt;ref-type name="Report"&gt;27&lt;/ref-type&gt;&lt;contributors&gt;&lt;authors&gt;&lt;author&gt;Pollard, CM&lt;/author&gt;&lt;author&gt;Savage, V&lt;/author&gt;&lt;author&gt;Landrigen, L&lt;/author&gt;&lt;author&gt;Hanbury, A&lt;/author&gt;&lt;author&gt;Kerr, D&lt;/author&gt;&lt;/authors&gt;&lt;/contributors&gt;&lt;titles&gt;&lt;title&gt;Food access and cost survey&lt;/title&gt;&lt;/titles&gt;&lt;dates&gt;&lt;year&gt;2015&lt;/year&gt;&lt;/dates&gt;&lt;pub-location&gt;Perth&lt;/pub-location&gt;&lt;publisher&gt;Department of Health, Western Australia&lt;/publisher&gt;&lt;urls&gt;&lt;related-urls&gt;&lt;url&gt;http://www.public.health.wa.gov.au/cproot/6185/2/Food%20Access%20and%20Cost%20Survey%20Report%202013.pdf&lt;/url&gt;&lt;/related-urls&gt;&lt;/urls&gt;&lt;/record&gt;&lt;/Cite&gt;&lt;/EndNote&gt;</w:instrText>
      </w:r>
      <w:r>
        <w:fldChar w:fldCharType="separate"/>
      </w:r>
      <w:r w:rsidR="00547316" w:rsidRPr="00547316">
        <w:rPr>
          <w:noProof/>
          <w:vertAlign w:val="superscript"/>
        </w:rPr>
        <w:t>67</w:t>
      </w:r>
      <w:r>
        <w:fldChar w:fldCharType="end"/>
      </w:r>
    </w:p>
    <w:p w:rsidR="006E4621" w:rsidRPr="00C45BDF" w:rsidRDefault="006E4621" w:rsidP="006E4621"/>
    <w:p w:rsidR="00C12E71" w:rsidRDefault="001866DB" w:rsidP="00C12E71">
      <w:r w:rsidRPr="007C3CAF">
        <w:t>People at risk of experiencing fo</w:t>
      </w:r>
      <w:r w:rsidRPr="004351AB">
        <w:t>od insecurity</w:t>
      </w:r>
      <w:r>
        <w:fldChar w:fldCharType="begin"/>
      </w:r>
      <w:r w:rsidR="00547316">
        <w:instrText xml:space="preserve"> ADDIN EN.CITE &lt;EndNote&gt;&lt;Cite&gt;&lt;Author&gt;Food and Agriculture Organization&lt;/Author&gt;&lt;Year&gt;2015&lt;/Year&gt;&lt;RecNum&gt;1080&lt;/RecNum&gt;&lt;DisplayText&gt;&lt;style face="superscript"&gt;83&lt;/style&gt;&lt;/DisplayText&gt;&lt;record&gt;&lt;rec-number&gt;1080&lt;/rec-number&gt;&lt;foreign-keys&gt;&lt;key app="EN" db-id="zxa00wf2opvf9oeeset50xz7ezpfwre2v20z"&gt;1080&lt;/key&gt;&lt;/foreign-keys&gt;&lt;ref-type name="Report"&gt;27&lt;/ref-type&gt;&lt;contributors&gt;&lt;authors&gt;&lt;author&gt;Food and Agriculture Organization,&lt;/author&gt;&lt;author&gt;United Nations,&lt;/author&gt;&lt;author&gt;the International Fund for Agricultural Development,&lt;/author&gt;&lt;author&gt;and the World Food Programme.,&lt;/author&gt;&lt;/authors&gt;&lt;/contributors&gt;&lt;titles&gt;&lt;title&gt;The state of food insecurity in the world, 2015. Meeting the 2015 international hunger targets: taking stock of uneven progress&lt;/title&gt;&lt;/titles&gt;&lt;dates&gt;&lt;year&gt;2015&lt;/year&gt;&lt;/dates&gt;&lt;pub-location&gt;Rome&lt;/pub-location&gt;&lt;publisher&gt;Food and Agriculture Organization, United Nations&lt;/publisher&gt;&lt;urls&gt;&lt;related-urls&gt;&lt;url&gt;http://www.fao.org/3/a-i4646e.pdf&lt;/url&gt;&lt;/related-urls&gt;&lt;/urls&gt;&lt;/record&gt;&lt;/Cite&gt;&lt;/EndNote&gt;</w:instrText>
      </w:r>
      <w:r>
        <w:fldChar w:fldCharType="separate"/>
      </w:r>
      <w:r w:rsidR="00547316" w:rsidRPr="00547316">
        <w:rPr>
          <w:noProof/>
          <w:vertAlign w:val="superscript"/>
        </w:rPr>
        <w:t>83</w:t>
      </w:r>
      <w:r>
        <w:fldChar w:fldCharType="end"/>
      </w:r>
      <w:r w:rsidRPr="004351AB">
        <w:rPr>
          <w:rStyle w:val="FootnoteReference"/>
          <w:rFonts w:eastAsiaTheme="minorEastAsia"/>
        </w:rPr>
        <w:footnoteReference w:id="3"/>
      </w:r>
      <w:r w:rsidRPr="004351AB">
        <w:t xml:space="preserve"> and hunger include low income earners, the unemployed or underemployed, the</w:t>
      </w:r>
      <w:r w:rsidRPr="007C3CAF">
        <w:t xml:space="preserve"> homeless, sole parents and</w:t>
      </w:r>
      <w:r w:rsidR="00C12E71">
        <w:t xml:space="preserve"> </w:t>
      </w:r>
      <w:r w:rsidR="00C12E71" w:rsidRPr="007C3CAF">
        <w:t>Aboriginal people</w:t>
      </w:r>
      <w:r w:rsidR="00C12E71">
        <w:t>,</w:t>
      </w:r>
      <w:r w:rsidR="00C12E71">
        <w:fldChar w:fldCharType="begin"/>
      </w:r>
      <w:r w:rsidR="00547316">
        <w:instrText xml:space="preserve"> ADDIN EN.CITE &lt;EndNote&gt;&lt;Cite&gt;&lt;Author&gt;King&lt;/Author&gt;&lt;Year&gt;2012&lt;/Year&gt;&lt;RecNum&gt;1016&lt;/RecNum&gt;&lt;DisplayText&gt;&lt;style face="superscript"&gt;84&lt;/style&gt;&lt;/DisplayText&gt;&lt;record&gt;&lt;rec-number&gt;1016&lt;/rec-number&gt;&lt;foreign-keys&gt;&lt;key app="EN" db-id="zxa00wf2opvf9oeeset50xz7ezpfwre2v20z"&gt;1016&lt;/key&gt;&lt;/foreign-keys&gt;&lt;ref-type name="Report"&gt;27&lt;/ref-type&gt;&lt;contributors&gt;&lt;authors&gt;&lt;author&gt;King, S&lt;/author&gt;&lt;author&gt;Moffitt, A&lt;/author&gt;&lt;author&gt;Bellamy, J&lt;/author&gt;&lt;author&gt;Carter, S&lt;/author&gt;&lt;author&gt;McDowell, C&lt;/author&gt;&lt;author&gt;Mollenhauer, J&lt;/author&gt;&lt;/authors&gt;&lt;/contributors&gt;&lt;titles&gt;&lt;title&gt;When there’s not enough to eat: a national study of food insecurity among emergency relief clients.  State of the Family Report, Vol 2&lt;/title&gt;&lt;/titles&gt;&lt;dates&gt;&lt;year&gt;2012&lt;/year&gt;&lt;/dates&gt;&lt;pub-location&gt;Sydney&lt;/pub-location&gt;&lt;publisher&gt;Anglicare&lt;/publisher&gt;&lt;urls&gt;&lt;related-urls&gt;&lt;url&gt;http://www.anglicare.org.au/sites/default/files/public/Anglicare_WTIETE_VOLUME%202%20FA.pdf&lt;/url&gt;&lt;/related-urls&gt;&lt;/urls&gt;&lt;/record&gt;&lt;/Cite&gt;&lt;/EndNote&gt;</w:instrText>
      </w:r>
      <w:r w:rsidR="00C12E71">
        <w:fldChar w:fldCharType="separate"/>
      </w:r>
      <w:r w:rsidR="00547316" w:rsidRPr="00547316">
        <w:rPr>
          <w:noProof/>
          <w:vertAlign w:val="superscript"/>
        </w:rPr>
        <w:t>84</w:t>
      </w:r>
      <w:r w:rsidR="00C12E71">
        <w:fldChar w:fldCharType="end"/>
      </w:r>
      <w:r w:rsidR="00C12E71" w:rsidRPr="007C3CAF">
        <w:t xml:space="preserve"> as well as those living with physical disabilities or mental illness</w:t>
      </w:r>
      <w:r w:rsidR="00C12E71">
        <w:t>,</w:t>
      </w:r>
      <w:r w:rsidR="00C12E71">
        <w:fldChar w:fldCharType="begin"/>
      </w:r>
      <w:r w:rsidR="00547316">
        <w:instrText xml:space="preserve"> ADDIN EN.CITE &lt;EndNote&gt;&lt;Cite&gt;&lt;Author&gt;NSW Centre for Public Health Nutrition&lt;/Author&gt;&lt;Year&gt;2003&lt;/Year&gt;&lt;RecNum&gt;708&lt;/RecNum&gt;&lt;DisplayText&gt;&lt;style face="superscript"&gt;85&lt;/style&gt;&lt;/DisplayText&gt;&lt;record&gt;&lt;rec-number&gt;708&lt;/rec-number&gt;&lt;foreign-keys&gt;&lt;key app="EN" db-id="zxa00wf2opvf9oeeset50xz7ezpfwre2v20z"&gt;708&lt;/key&gt;&lt;/foreign-keys&gt;&lt;ref-type name="Report"&gt;27&lt;/ref-type&gt;&lt;contributors&gt;&lt;authors&gt;&lt;author&gt;NSW Centre for Public Health Nutrition,&lt;/author&gt;&lt;/authors&gt;&lt;/contributors&gt;&lt;titles&gt;&lt;title&gt;Food security options paper:  a planning framework and menu of options for policy and practice interventions&lt;/title&gt;&lt;/titles&gt;&lt;dates&gt;&lt;year&gt;2003&lt;/year&gt;&lt;/dates&gt;&lt;pub-location&gt;Sydney&lt;/pub-location&gt;&lt;publisher&gt;NSW Centre for Public Health Nutrition&lt;/publisher&gt;&lt;urls&gt;&lt;related-urls&gt;&lt;url&gt;http://sydney.edu.au/science/molecular_bioscience/cphn/pdfs/food_security.pdf&lt;/url&gt;&lt;/related-urls&gt;&lt;/urls&gt;&lt;/record&gt;&lt;/Cite&gt;&lt;/EndNote&gt;</w:instrText>
      </w:r>
      <w:r w:rsidR="00C12E71">
        <w:fldChar w:fldCharType="separate"/>
      </w:r>
      <w:r w:rsidR="00547316" w:rsidRPr="00547316">
        <w:rPr>
          <w:noProof/>
          <w:vertAlign w:val="superscript"/>
        </w:rPr>
        <w:t>85</w:t>
      </w:r>
      <w:r w:rsidR="00C12E71">
        <w:fldChar w:fldCharType="end"/>
      </w:r>
      <w:r w:rsidR="00C12E71">
        <w:t xml:space="preserve"> </w:t>
      </w:r>
      <w:r w:rsidR="00C12E71" w:rsidRPr="007C3CAF">
        <w:t xml:space="preserve">and some </w:t>
      </w:r>
      <w:r w:rsidR="00C12E71">
        <w:t>CaLD</w:t>
      </w:r>
      <w:r w:rsidR="00C12E71" w:rsidRPr="007C3CAF">
        <w:t xml:space="preserve"> communities</w:t>
      </w:r>
      <w:r w:rsidR="00C12E71">
        <w:t>.</w:t>
      </w:r>
      <w:r w:rsidR="00C12E71">
        <w:fldChar w:fldCharType="begin"/>
      </w:r>
      <w:r w:rsidR="00547316">
        <w:instrText xml:space="preserve"> ADDIN EN.CITE &lt;EndNote&gt;&lt;Cite&gt;&lt;Author&gt;Palacios&lt;/Author&gt;&lt;Year&gt;2014&lt;/Year&gt;&lt;RecNum&gt;1028&lt;/RecNum&gt;&lt;DisplayText&gt;&lt;style face="superscript"&gt;86&lt;/style&gt;&lt;/DisplayText&gt;&lt;record&gt;&lt;rec-number&gt;1028&lt;/rec-number&gt;&lt;foreign-keys&gt;&lt;key app="EN" db-id="zxa00wf2opvf9oeeset50xz7ezpfwre2v20z"&gt;1028&lt;/key&gt;&lt;/foreign-keys&gt;&lt;ref-type name="Report"&gt;27&lt;/ref-type&gt;&lt;contributors&gt;&lt;authors&gt;&lt;author&gt;Palacios, V&lt;/author&gt;&lt;author&gt;Eaton, D&lt;/author&gt;&lt;author&gt;O’Malley, H&lt;/author&gt;&lt;/authors&gt;&lt;/contributors&gt;&lt;titles&gt;&lt;title&gt;Perceptions, barriers and enablers of physical activity, food, alcohol and smoking among selected culturally and linguistically diverse ethnicity groups in WA&lt;/title&gt;&lt;/titles&gt;&lt;dates&gt;&lt;year&gt;2014&lt;/year&gt;&lt;/dates&gt;&lt;pub-location&gt;Perth&lt;/pub-location&gt;&lt;publisher&gt;Department of Health, Western Australia&lt;/publisher&gt;&lt;urls&gt;&lt;/urls&gt;&lt;/record&gt;&lt;/Cite&gt;&lt;/EndNote&gt;</w:instrText>
      </w:r>
      <w:r w:rsidR="00C12E71">
        <w:fldChar w:fldCharType="separate"/>
      </w:r>
      <w:r w:rsidR="00547316" w:rsidRPr="00547316">
        <w:rPr>
          <w:noProof/>
          <w:vertAlign w:val="superscript"/>
        </w:rPr>
        <w:t>86</w:t>
      </w:r>
      <w:r w:rsidR="00C12E71">
        <w:fldChar w:fldCharType="end"/>
      </w:r>
      <w:r w:rsidR="00C12E71" w:rsidRPr="007C3CAF">
        <w:t xml:space="preserve"> </w:t>
      </w:r>
    </w:p>
    <w:p w:rsidR="00C12E71" w:rsidRDefault="00C12E71" w:rsidP="00C12E71"/>
    <w:p w:rsidR="00C12E71" w:rsidRPr="007571D7" w:rsidRDefault="00C12E71" w:rsidP="00C12E71">
      <w:pPr>
        <w:rPr>
          <w:rFonts w:eastAsia="Arial"/>
          <w:color w:val="1F497D" w:themeColor="text2"/>
          <w:sz w:val="28"/>
          <w:szCs w:val="28"/>
        </w:rPr>
      </w:pPr>
      <w:r w:rsidRPr="007C3CAF">
        <w:t xml:space="preserve">Other barriers to healthy eating include limited </w:t>
      </w:r>
      <w:r>
        <w:t>access</w:t>
      </w:r>
      <w:r w:rsidRPr="007C3CAF">
        <w:t xml:space="preserve"> to food</w:t>
      </w:r>
      <w:r>
        <w:t xml:space="preserve"> outlets</w:t>
      </w:r>
      <w:r w:rsidRPr="007C3CAF">
        <w:t>; inadequate skills and facilities to store and prepare food; lack of time or mobility to shop for and prepare meals at home; and social isolation.</w:t>
      </w:r>
      <w:r>
        <w:fldChar w:fldCharType="begin"/>
      </w:r>
      <w:r w:rsidR="00547316">
        <w:instrText xml:space="preserve"> ADDIN EN.CITE &lt;EndNote&gt;&lt;Cite&gt;&lt;Author&gt;NSW Centre for Public Health Nutrition&lt;/Author&gt;&lt;Year&gt;2003&lt;/Year&gt;&lt;RecNum&gt;708&lt;/RecNum&gt;&lt;DisplayText&gt;&lt;style face="superscript"&gt;85&lt;/style&gt;&lt;/DisplayText&gt;&lt;record&gt;&lt;rec-number&gt;708&lt;/rec-number&gt;&lt;foreign-keys&gt;&lt;key app="EN" db-id="zxa00wf2opvf9oeeset50xz7ezpfwre2v20z"&gt;708&lt;/key&gt;&lt;/foreign-keys&gt;&lt;ref-type name="Report"&gt;27&lt;/ref-type&gt;&lt;contributors&gt;&lt;authors&gt;&lt;author&gt;NSW Centre for Public Health Nutrition,&lt;/author&gt;&lt;/authors&gt;&lt;/contributors&gt;&lt;titles&gt;&lt;title&gt;Food security options paper:  a planning framework and menu of options for policy and practice interventions&lt;/title&gt;&lt;/titles&gt;&lt;dates&gt;&lt;year&gt;2003&lt;/year&gt;&lt;/dates&gt;&lt;pub-location&gt;Sydney&lt;/pub-location&gt;&lt;publisher&gt;NSW Centre for Public Health Nutrition&lt;/publisher&gt;&lt;urls&gt;&lt;related-urls&gt;&lt;url&gt;http://sydney.edu.au/science/molecular_bioscience/cphn/pdfs/food_security.pdf&lt;/url&gt;&lt;/related-urls&gt;&lt;/urls&gt;&lt;/record&gt;&lt;/Cite&gt;&lt;/EndNote&gt;</w:instrText>
      </w:r>
      <w:r>
        <w:fldChar w:fldCharType="separate"/>
      </w:r>
      <w:r w:rsidR="00547316" w:rsidRPr="00547316">
        <w:rPr>
          <w:noProof/>
          <w:vertAlign w:val="superscript"/>
        </w:rPr>
        <w:t>85</w:t>
      </w:r>
      <w:r>
        <w:fldChar w:fldCharType="end"/>
      </w:r>
    </w:p>
    <w:p w:rsidR="004449DC" w:rsidRDefault="004449DC" w:rsidP="001866DB"/>
    <w:p w:rsidR="00467126" w:rsidRPr="00467126" w:rsidRDefault="00467126" w:rsidP="00467126">
      <w:pPr>
        <w:rPr>
          <w:rFonts w:eastAsia="Arial"/>
          <w:color w:val="808080" w:themeColor="background1" w:themeShade="80"/>
          <w:sz w:val="28"/>
          <w:szCs w:val="28"/>
        </w:rPr>
      </w:pPr>
      <w:r w:rsidRPr="00467126">
        <w:rPr>
          <w:rFonts w:eastAsia="Arial"/>
          <w:color w:val="808080" w:themeColor="background1" w:themeShade="80"/>
          <w:sz w:val="28"/>
          <w:szCs w:val="28"/>
        </w:rPr>
        <w:t xml:space="preserve">Increase the knowledge and skills necessary to choose a healthy diet </w:t>
      </w:r>
    </w:p>
    <w:p w:rsidR="005B3C51" w:rsidRDefault="005B3C51" w:rsidP="005B3C51"/>
    <w:p w:rsidR="005B3C51" w:rsidRPr="00BA3ED6" w:rsidRDefault="005B3C51" w:rsidP="005B3C51">
      <w:r w:rsidRPr="00BC0031">
        <w:t>Australians are increasingly exposed to conflicting nutrition messages and misinformation.</w:t>
      </w:r>
      <w:r>
        <w:fldChar w:fldCharType="begin"/>
      </w:r>
      <w:r>
        <w:instrText xml:space="preserve"> ADDIN EN.CITE &lt;EndNote&gt;&lt;Cite&gt;&lt;Author&gt;Lee&lt;/Author&gt;&lt;Year&gt;2013&lt;/Year&gt;&lt;RecNum&gt;1017&lt;/RecNum&gt;&lt;DisplayText&gt;&lt;style face="superscript"&gt;68&lt;/style&gt;&lt;/DisplayText&gt;&lt;record&gt;&lt;rec-number&gt;1017&lt;/rec-number&gt;&lt;foreign-keys&gt;&lt;key app="EN" db-id="zxa00wf2opvf9oeeset50xz7ezpfwre2v20z"&gt;1017&lt;/key&gt;&lt;/foreign-keys&gt;&lt;ref-type name="Report"&gt;27&lt;/ref-type&gt;&lt;contributors&gt;&lt;authors&gt;&lt;author&gt; Lee, AJ,&lt;/author&gt;&lt;author&gt;Baker, P, &lt;/author&gt;&lt;author&gt;Stanton, R, &lt;/author&gt;&lt;author&gt;Friel, S,  &lt;/author&gt;&lt;author&gt;Weightman, A.&lt;/author&gt;&lt;/authors&gt;&lt;/contributors&gt;&lt;titles&gt;&lt;title&gt;Scoping study to inform the development of the new national nutrition policy for Australia&lt;/title&gt;&lt;/titles&gt;&lt;dates&gt;&lt;year&gt;2013&lt;/year&gt;&lt;/dates&gt;&lt;pub-location&gt;Queensland&lt;/pub-location&gt;&lt;publisher&gt;Queensland University of Technology&lt;/publisher&gt;&lt;urls&gt;&lt;related-urls&gt;&lt;url&gt;http://eprints.qut.edu.au/93234/&lt;/url&gt;&lt;/related-urls&gt;&lt;/urls&gt;&lt;/record&gt;&lt;/Cite&gt;&lt;/EndNote&gt;</w:instrText>
      </w:r>
      <w:r>
        <w:fldChar w:fldCharType="separate"/>
      </w:r>
      <w:r w:rsidRPr="005B3C51">
        <w:rPr>
          <w:noProof/>
          <w:vertAlign w:val="superscript"/>
        </w:rPr>
        <w:t>68</w:t>
      </w:r>
      <w:r>
        <w:fldChar w:fldCharType="end"/>
      </w:r>
      <w:r w:rsidRPr="00BC0031">
        <w:t xml:space="preserve"> </w:t>
      </w:r>
      <w:r w:rsidRPr="00F578D9">
        <w:rPr>
          <w:color w:val="000000" w:themeColor="text1"/>
        </w:rPr>
        <w:t xml:space="preserve">The </w:t>
      </w:r>
      <w:r w:rsidRPr="005B3C51">
        <w:rPr>
          <w:rFonts w:eastAsiaTheme="majorEastAsia"/>
          <w:i/>
          <w:iCs/>
        </w:rPr>
        <w:t>Australian Dietary Guidelines</w:t>
      </w:r>
      <w:r w:rsidRPr="0014515F">
        <w:t xml:space="preserve"> </w:t>
      </w:r>
      <w:r>
        <w:t>(Box 8) are based on</w:t>
      </w:r>
      <w:r w:rsidRPr="0014515F">
        <w:t xml:space="preserve"> scientific evid</w:t>
      </w:r>
      <w:r w:rsidRPr="00E87655">
        <w:t>ence</w:t>
      </w:r>
      <w:r>
        <w:t>,</w:t>
      </w:r>
      <w:r>
        <w:fldChar w:fldCharType="begin"/>
      </w:r>
      <w:r>
        <w:instrText xml:space="preserve"> ADDIN EN.CITE &lt;EndNote&gt;&lt;Cite&gt;&lt;Author&gt;Australian Government&lt;/Author&gt;&lt;Year&gt;2011&lt;/Year&gt;&lt;RecNum&gt;995&lt;/RecNum&gt;&lt;DisplayText&gt;&lt;style face="superscript"&gt;87&lt;/style&gt;&lt;/DisplayText&gt;&lt;record&gt;&lt;rec-number&gt;995&lt;/rec-number&gt;&lt;foreign-keys&gt;&lt;key app="EN" db-id="zxa00wf2opvf9oeeset50xz7ezpfwre2v20z"&gt;995&lt;/key&gt;&lt;/foreign-keys&gt;&lt;ref-type name="Report"&gt;27&lt;/ref-type&gt;&lt;contributors&gt;&lt;authors&gt;&lt;author&gt;Department Of Health and Ageing,&lt;/author&gt;&lt;author&gt;Australian Government,&lt;/author&gt;&lt;author&gt;and the National Health and Medical Research Council,&lt;/author&gt;&lt;/authors&gt;&lt;secondary-authors&gt;&lt;author&gt;National Health and Medical Research Council,&lt;/author&gt;&lt;/secondary-authors&gt;&lt;/contributors&gt;&lt;titles&gt;&lt;title&gt;A review of the evidence to address targeted questions to inform the revision of the Australian Dietary Guidelines&lt;/title&gt;&lt;/titles&gt;&lt;dates&gt;&lt;year&gt;2011&lt;/year&gt;&lt;/dates&gt;&lt;pub-location&gt;Canberra&lt;/pub-location&gt;&lt;publisher&gt;Commonwealth of Australia&lt;/publisher&gt;&lt;urls&gt;&lt;related-urls&gt;&lt;url&gt;http://www.nhmrc.gov.au/_files_nhmrc/file/publications/n55d_australian_dietary_guidelines_evidence_report.pdf&lt;/url&gt;&lt;/related-urls&gt;&lt;/urls&gt;&lt;/record&gt;&lt;/Cite&gt;&lt;/EndNote&gt;</w:instrText>
      </w:r>
      <w:r>
        <w:fldChar w:fldCharType="separate"/>
      </w:r>
      <w:r w:rsidRPr="005B3C51">
        <w:rPr>
          <w:noProof/>
          <w:vertAlign w:val="superscript"/>
        </w:rPr>
        <w:t>87</w:t>
      </w:r>
      <w:r>
        <w:fldChar w:fldCharType="end"/>
      </w:r>
      <w:r>
        <w:t xml:space="preserve"> take account of  Australian eating patterns</w:t>
      </w:r>
      <w:r>
        <w:fldChar w:fldCharType="begin"/>
      </w:r>
      <w:r>
        <w:instrText xml:space="preserve"> ADDIN EN.CITE &lt;EndNote&gt;&lt;Cite&gt;&lt;Author&gt;Department Health and Ageing&lt;/Author&gt;&lt;Year&gt;2011&lt;/Year&gt;&lt;RecNum&gt;1003&lt;/RecNum&gt;&lt;DisplayText&gt;&lt;style face="superscript"&gt;88&lt;/style&gt;&lt;/DisplayText&gt;&lt;record&gt;&lt;rec-number&gt;1003&lt;/rec-number&gt;&lt;foreign-keys&gt;&lt;key app="EN" db-id="zxa00wf2opvf9oeeset50xz7ezpfwre2v20z"&gt;1003&lt;/key&gt;&lt;/foreign-keys&gt;&lt;ref-type name="Report"&gt;27&lt;/ref-type&gt;&lt;contributors&gt;&lt;authors&gt;&lt;author&gt;Department Health and Ageing,&lt;/author&gt;&lt;author&gt;Australian Government,&lt;/author&gt;&lt;author&gt;and the National Health and Medical Research Council,&lt;/author&gt;&lt;/authors&gt;&lt;/contributors&gt;&lt;titles&gt;&lt;title&gt;A modelling system to inform the revision of the Australian Guide to Healthy Eating&lt;/title&gt;&lt;/titles&gt;&lt;dates&gt;&lt;year&gt;2011&lt;/year&gt;&lt;/dates&gt;&lt;pub-location&gt;Canberra&lt;/pub-location&gt;&lt;publisher&gt;Commonwealth of Australia&lt;/publisher&gt;&lt;urls&gt;&lt;related-urls&gt;&lt;url&gt;https://www.eatforhealth.gov.au/sites/default/files/files/public_consultation/n55a_dietary_guidelines_food_modelling_111216.pdf&lt;/url&gt;&lt;/related-urls&gt;&lt;/urls&gt;&lt;/record&gt;&lt;/Cite&gt;&lt;/EndNote&gt;</w:instrText>
      </w:r>
      <w:r>
        <w:fldChar w:fldCharType="separate"/>
      </w:r>
      <w:r w:rsidRPr="005B3C51">
        <w:rPr>
          <w:noProof/>
          <w:vertAlign w:val="superscript"/>
        </w:rPr>
        <w:t>88</w:t>
      </w:r>
      <w:r>
        <w:fldChar w:fldCharType="end"/>
      </w:r>
      <w:r>
        <w:t xml:space="preserve"> and recommend the best approach to eating for a longer and healthier life.</w:t>
      </w:r>
      <w:r>
        <w:fldChar w:fldCharType="begin"/>
      </w:r>
      <w:r>
        <w:instrText xml:space="preserve"> ADDIN EN.CITE &lt;EndNote&gt;&lt;Cite&gt;&lt;Author&gt;National Health and Medical Research Council&lt;/Author&gt;&lt;Year&gt;2013&lt;/Year&gt;&lt;RecNum&gt;667&lt;/RecNum&gt;&lt;DisplayText&gt;&lt;style face="superscript"&gt;18&lt;/style&gt;&lt;/DisplayText&gt;&lt;record&gt;&lt;rec-number&gt;667&lt;/rec-number&gt;&lt;foreign-keys&gt;&lt;key app="EN" db-id="zxa00wf2opvf9oeeset50xz7ezpfwre2v20z"&gt;667&lt;/key&gt;&lt;/foreign-keys&gt;&lt;ref-type name="Report"&gt;27&lt;/ref-type&gt;&lt;contributors&gt;&lt;authors&gt;&lt;author&gt;National Health and Medical Research Council,&lt;/author&gt;&lt;/authors&gt;&lt;/contributors&gt;&lt;titles&gt;&lt;title&gt;Australian Dietary Guidelines&lt;/title&gt;&lt;/titles&gt;&lt;dates&gt;&lt;year&gt;2013&lt;/year&gt;&lt;/dates&gt;&lt;pub-location&gt;Canberra&lt;/pub-location&gt;&lt;publisher&gt;National Health and Medical Research Council&lt;/publisher&gt;&lt;urls&gt;&lt;related-urls&gt;&lt;url&gt;http://www.nhmrc.gov.au/_files_nhmrc/publications/attachments/n55_australian_dietary_guidelines_130530.pdf&lt;/url&gt;&lt;/related-urls&gt;&lt;/urls&gt;&lt;/record&gt;&lt;/Cite&gt;&lt;/EndNote&gt;</w:instrText>
      </w:r>
      <w:r>
        <w:fldChar w:fldCharType="separate"/>
      </w:r>
      <w:r w:rsidRPr="005B3C51">
        <w:rPr>
          <w:noProof/>
          <w:vertAlign w:val="superscript"/>
        </w:rPr>
        <w:t>18</w:t>
      </w:r>
      <w:r>
        <w:fldChar w:fldCharType="end"/>
      </w:r>
      <w:r w:rsidRPr="00BC0031">
        <w:t xml:space="preserve"> </w:t>
      </w:r>
      <w:r>
        <w:t xml:space="preserve">However, adherence to the Guidelines is generally poor, and there is a significant disparity </w:t>
      </w:r>
      <w:r w:rsidRPr="003E4288">
        <w:t>across economic status</w:t>
      </w:r>
      <w:r>
        <w:t>.</w:t>
      </w:r>
      <w:r>
        <w:fldChar w:fldCharType="begin">
          <w:fldData xml:space="preserve">PEVuZE5vdGU+PENpdGU+PEF1dGhvcj5CYWxsPC9BdXRob3I+PFllYXI+MjAwNDwvWWVhcj48UmVj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</w:fldData>
        </w:fldChar>
      </w:r>
      <w:r>
        <w:instrText xml:space="preserve"> ADDIN EN.CITE </w:instrText>
      </w:r>
      <w:r>
        <w:fldChar w:fldCharType="begin">
          <w:fldData xml:space="preserve">PEVuZE5vdGU+PENpdGU+PEF1dGhvcj5CYWxsPC9BdXRob3I+PFllYXI+MjAwNDwvWWVhcj48UmVj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</w:fldData>
        </w:fldChar>
      </w:r>
      <w:r>
        <w:instrText xml:space="preserve"> ADDIN EN.CITE.DATA </w:instrText>
      </w:r>
      <w:r>
        <w:fldChar w:fldCharType="end"/>
      </w:r>
      <w:r>
        <w:fldChar w:fldCharType="separate"/>
      </w:r>
      <w:r w:rsidRPr="005B3C51">
        <w:rPr>
          <w:noProof/>
          <w:vertAlign w:val="superscript"/>
        </w:rPr>
        <w:t>68, 89-91</w:t>
      </w:r>
      <w:r>
        <w:fldChar w:fldCharType="end"/>
      </w:r>
      <w:r>
        <w:t xml:space="preserve"> Socio-economic differences in nutrition knowledge, particularly diet-disease relationships, can contribute to inequalities in food purchasing choices.</w:t>
      </w:r>
      <w:r>
        <w:fldChar w:fldCharType="begin"/>
      </w:r>
      <w:r>
        <w:instrText xml:space="preserve"> ADDIN EN.CITE &lt;EndNote&gt;&lt;Cite&gt;&lt;Author&gt;Hendrie&lt;/Author&gt;&lt;Year&gt;2008&lt;/Year&gt;&lt;RecNum&gt;1012&lt;/RecNum&gt;&lt;DisplayText&gt;&lt;style face="superscript"&gt;92, 93&lt;/style&gt;&lt;/DisplayText&gt;&lt;record&gt;&lt;rec-number&gt;1012&lt;/rec-number&gt;&lt;foreign-keys&gt;&lt;key app="EN" db-id="zxa00wf2opvf9oeeset50xz7ezpfwre2v20z"&gt;1012&lt;/key&gt;&lt;/foreign-keys&gt;&lt;ref-type name="Journal Article"&gt;17&lt;/ref-type&gt;&lt;contributors&gt;&lt;authors&gt;&lt;author&gt;Hendrie, Gillian Anne&lt;/author&gt;&lt;author&gt;Coveney, John&lt;/author&gt;&lt;author&gt;Cox, David&lt;/author&gt;&lt;/authors&gt;&lt;/contributors&gt;&lt;titles&gt;&lt;title&gt;Exploring nutrition knowledge and the demographic variation in knowledge levels in an Australian community sample&lt;/title&gt;&lt;secondary-title&gt;Public Health Nutr&lt;/secondary-title&gt;&lt;/titles&gt;&lt;periodical&gt;&lt;full-title&gt;Public Health Nutr&lt;/full-title&gt;&lt;/periodical&gt;&lt;pages&gt;1365-1371&lt;/pages&gt;&lt;volume&gt;11&lt;/volume&gt;&lt;number&gt;12&lt;/number&gt;&lt;dates&gt;&lt;year&gt;2008&lt;/year&gt;&lt;/dates&gt;&lt;urls&gt;&lt;related-urls&gt;&lt;url&gt;http://www.ncbi.nlm.nih.gov/pubmed/18671887&lt;/url&gt;&lt;/related-urls&gt;&lt;/urls&gt;&lt;/record&gt;&lt;/Cite&gt;&lt;Cite&gt;&lt;Author&gt;McKinnon&lt;/Author&gt;&lt;Year&gt;2014&lt;/Year&gt;&lt;RecNum&gt;1021&lt;/RecNum&gt;&lt;record&gt;&lt;rec-number&gt;1021&lt;/rec-number&gt;&lt;foreign-keys&gt;&lt;key app="EN" db-id="zxa00wf2opvf9oeeset50xz7ezpfwre2v20z"&gt;1021&lt;/key&gt;&lt;/foreign-keys&gt;&lt;ref-type name="Journal Article"&gt;17&lt;/ref-type&gt;&lt;contributors&gt;&lt;authors&gt;&lt;author&gt;McKinnon, Loretta&lt;/author&gt;&lt;author&gt;Giskes, Katrina&lt;/author&gt;&lt;author&gt;Turrell, Gavin&lt;/author&gt;&lt;/authors&gt;&lt;/contributors&gt;&lt;titles&gt;&lt;title&gt;The contribution of three components of nutrition knowledge to socio-economic differences in food purchasing choices&lt;/title&gt;&lt;secondary-title&gt;Public health nutr&lt;/secondary-title&gt;&lt;/titles&gt;&lt;periodical&gt;&lt;full-title&gt;Public Health Nutr&lt;/full-title&gt;&lt;/periodical&gt;&lt;pages&gt;1814-1824&lt;/pages&gt;&lt;volume&gt;17&lt;/volume&gt;&lt;number&gt;8&lt;/number&gt;&lt;dates&gt;&lt;year&gt;2014&lt;/year&gt;&lt;/dates&gt;&lt;urls&gt;&lt;related-urls&gt;&lt;url&gt;http://www.ncbi.nlm.nih.gov/pubmed/23920283&lt;/url&gt;&lt;/related-urls&gt;&lt;/urls&gt;&lt;/record&gt;&lt;/Cite&gt;&lt;/EndNote&gt;</w:instrText>
      </w:r>
      <w:r>
        <w:fldChar w:fldCharType="separate"/>
      </w:r>
      <w:r w:rsidRPr="005B3C51">
        <w:rPr>
          <w:noProof/>
          <w:vertAlign w:val="superscript"/>
        </w:rPr>
        <w:t>92, 93</w:t>
      </w:r>
      <w:r>
        <w:fldChar w:fldCharType="end"/>
      </w:r>
      <w:r w:rsidRPr="00BC0031">
        <w:rPr>
          <w:color w:val="000000"/>
        </w:rPr>
        <w:t xml:space="preserve"> Low</w:t>
      </w:r>
      <w:r>
        <w:rPr>
          <w:color w:val="000000"/>
        </w:rPr>
        <w:t>er</w:t>
      </w:r>
      <w:r w:rsidRPr="00BC0031">
        <w:rPr>
          <w:color w:val="000000"/>
        </w:rPr>
        <w:t xml:space="preserve"> levels of nutrition knowledge have also </w:t>
      </w:r>
      <w:r w:rsidRPr="00BA3ED6">
        <w:t xml:space="preserve">been reported in the unemployed, the less educated and </w:t>
      </w:r>
      <w:r>
        <w:t xml:space="preserve">among </w:t>
      </w:r>
      <w:r w:rsidRPr="00BA3ED6">
        <w:t>men.</w:t>
      </w:r>
      <w:r>
        <w:fldChar w:fldCharType="begin"/>
      </w:r>
      <w:r>
        <w:instrText xml:space="preserve"> ADDIN EN.CITE &lt;EndNote&gt;&lt;Cite&gt;&lt;Author&gt;Pollard&lt;/Author&gt;&lt;Year&gt;2015&lt;/Year&gt;&lt;RecNum&gt;749&lt;/RecNum&gt;&lt;DisplayText&gt;&lt;style face="superscript"&gt;94&lt;/style&gt;&lt;/DisplayText&gt;&lt;record&gt;&lt;rec-number&gt;749&lt;/rec-number&gt;&lt;foreign-keys&gt;&lt;key app="EN" db-id="zxa00wf2opvf9oeeset50xz7ezpfwre2v20z"&gt;749&lt;/key&gt;&lt;/foreign-keys&gt;&lt;ref-type name="Report"&gt;27&lt;/ref-type&gt;&lt;contributors&gt;&lt;authors&gt;&lt;author&gt;Pollard, CM&lt;/author&gt;&lt;author&gt;Harray, AJ&lt;/author&gt;&lt;author&gt;Daly, A&lt;/author&gt;&lt;author&gt;Kerr, DA&lt;/author&gt;&lt;/authors&gt;&lt;/contributors&gt;&lt;titles&gt;&lt;title&gt;Nutrition Monitoring Survey Series 2012 key findings&lt;/title&gt;&lt;/titles&gt;&lt;dates&gt;&lt;year&gt;2015&lt;/year&gt;&lt;/dates&gt;&lt;pub-location&gt;Perth&lt;/pub-location&gt;&lt;publisher&gt;Department of Health, Western Australia&lt;/publisher&gt;&lt;urls&gt;&lt;related-urls&gt;&lt;url&gt;http://ww2.health.wa.gov.au/~/media/Files/Corporate/Reports%20and%20publications/Population%20surveys/13032-nutrition-monitoring-survey-series-2012.ashx&lt;/url&gt;&lt;/related-urls&gt;&lt;/urls&gt;&lt;/record&gt;&lt;/Cite&gt;&lt;/EndNote&gt;</w:instrText>
      </w:r>
      <w:r>
        <w:fldChar w:fldCharType="separate"/>
      </w:r>
      <w:r w:rsidRPr="005B3C51">
        <w:rPr>
          <w:noProof/>
          <w:vertAlign w:val="superscript"/>
        </w:rPr>
        <w:t>94</w:t>
      </w:r>
      <w:r>
        <w:fldChar w:fldCharType="end"/>
      </w:r>
      <w:r w:rsidRPr="00BA3ED6">
        <w:t xml:space="preserve"> Maternal diet quality, socioeconomic status and nutrition knowledge are important influencers of children’s dietary patterns.</w:t>
      </w:r>
      <w:r>
        <w:fldChar w:fldCharType="begin"/>
      </w:r>
      <w:r>
        <w:instrText xml:space="preserve"> ADDIN EN.CITE &lt;EndNote&gt;&lt;Cite&gt;&lt;Author&gt;McLeod&lt;/Author&gt;&lt;Year&gt;2011&lt;/Year&gt;&lt;RecNum&gt;1022&lt;/RecNum&gt;&lt;DisplayText&gt;&lt;style face="superscript"&gt;95, 96&lt;/style&gt;&lt;/DisplayText&gt;&lt;record&gt;&lt;rec-number&gt;1022&lt;/rec-number&gt;&lt;foreign-keys&gt;&lt;key app="EN" db-id="zxa00wf2opvf9oeeset50xz7ezpfwre2v20z"&gt;1022&lt;/key&gt;&lt;/foreign-keys&gt;&lt;ref-type name="Journal Article"&gt;17&lt;/ref-type&gt;&lt;contributors&gt;&lt;authors&gt;&lt;author&gt;McLeod, Emily R.&lt;/author&gt;&lt;author&gt;Campbell, Karen J.&lt;/author&gt;&lt;author&gt;Hesketh, Kylie D.&lt;/author&gt;&lt;/authors&gt;&lt;/contributors&gt;&lt;titles&gt;&lt;title&gt;Nutrition knowledge: a mediator between socioeconomic position and diet quality in Australian first-time mothers&lt;/title&gt;&lt;secondary-title&gt;J Am Diet Assoc&lt;/secondary-title&gt;&lt;/titles&gt;&lt;periodical&gt;&lt;full-title&gt;J Am Diet Assoc&lt;/full-title&gt;&lt;/periodical&gt;&lt;pages&gt;696-704&lt;/pages&gt;&lt;volume&gt;111&lt;/volume&gt;&lt;number&gt;5&lt;/number&gt;&lt;dates&gt;&lt;year&gt;2011&lt;/year&gt;&lt;/dates&gt;&lt;urls&gt;&lt;related-urls&gt;&lt;url&gt;http://www.sciencedirect.com/science/article/pii/S0002822311001350&lt;/url&gt;&lt;/related-urls&gt;&lt;/urls&gt;&lt;/record&gt;&lt;/Cite&gt;&lt;Cite&gt;&lt;Author&gt;Collins&lt;/Author&gt;&lt;Year&gt;2016&lt;/Year&gt;&lt;RecNum&gt;1002&lt;/RecNum&gt;&lt;record&gt;&lt;rec-number&gt;1002&lt;/rec-number&gt;&lt;foreign-keys&gt;&lt;key app="EN" db-id="zxa00wf2opvf9oeeset50xz7ezpfwre2v20z"&gt;1002&lt;/key&gt;&lt;/foreign-keys&gt;&lt;ref-type name="Journal Article"&gt;17&lt;/ref-type&gt;&lt;contributors&gt;&lt;authors&gt;&lt;author&gt;Collins, Laura J&lt;/author&gt;&lt;author&gt;Lacy, Kathleen E&lt;/author&gt;&lt;author&gt;Campbell, Karen J&lt;/author&gt;&lt;author&gt;McNaughton, Sarah A&lt;/author&gt;&lt;/authors&gt;&lt;/contributors&gt;&lt;titles&gt;&lt;title&gt;The predictors of diet quality among Australian children aged 3.5 years&lt;/title&gt;&lt;secondary-title&gt;J Acad Nutr Diet&lt;/secondary-title&gt;&lt;/titles&gt;&lt;periodical&gt;&lt;full-title&gt;J Acad Nutr Diet&lt;/full-title&gt;&lt;/periodical&gt;&lt;pages&gt;1114-1126&lt;/pages&gt;&lt;volume&gt;116&lt;/volume&gt;&lt;number&gt;7&lt;/number&gt;&lt;dates&gt;&lt;year&gt;2016&lt;/year&gt;&lt;/dates&gt;&lt;urls&gt;&lt;related-urls&gt;&lt;url&gt;http://www.andjrnl.org/article/S2212-2672(15)01812-2/abstract&lt;/url&gt;&lt;/related-urls&gt;&lt;/urls&gt;&lt;/record&gt;&lt;/Cite&gt;&lt;/EndNote&gt;</w:instrText>
      </w:r>
      <w:r>
        <w:fldChar w:fldCharType="separate"/>
      </w:r>
      <w:r w:rsidRPr="005B3C51">
        <w:rPr>
          <w:noProof/>
          <w:vertAlign w:val="superscript"/>
        </w:rPr>
        <w:t>95, 96</w:t>
      </w:r>
      <w:r>
        <w:fldChar w:fldCharType="end"/>
      </w:r>
    </w:p>
    <w:p w:rsidR="005B3C51" w:rsidRPr="00BA3ED6" w:rsidRDefault="005B3C51" w:rsidP="005B3C51"/>
    <w:p w:rsidR="005B3C51" w:rsidRPr="00BA3ED6" w:rsidRDefault="005B3C51" w:rsidP="005B3C51">
      <w:r>
        <w:t>Although m</w:t>
      </w:r>
      <w:r w:rsidRPr="00BA3ED6">
        <w:t>any individuals regard their diet as healthy</w:t>
      </w:r>
      <w:r>
        <w:t>,</w:t>
      </w:r>
      <w:r>
        <w:fldChar w:fldCharType="begin"/>
      </w:r>
      <w:r>
        <w:instrText xml:space="preserve"> ADDIN EN.CITE &lt;EndNote&gt;&lt;Cite&gt;&lt;Author&gt;Pollard&lt;/Author&gt;&lt;Year&gt;2015&lt;/Year&gt;&lt;RecNum&gt;749&lt;/RecNum&gt;&lt;DisplayText&gt;&lt;style face="superscript"&gt;94&lt;/style&gt;&lt;/DisplayText&gt;&lt;record&gt;&lt;rec-number&gt;749&lt;/rec-number&gt;&lt;foreign-keys&gt;&lt;key app="EN" db-id="zxa00wf2opvf9oeeset50xz7ezpfwre2v20z"&gt;749&lt;/key&gt;&lt;/foreign-keys&gt;&lt;ref-type name="Report"&gt;27&lt;/ref-type&gt;&lt;contributors&gt;&lt;authors&gt;&lt;author&gt;Pollard, CM&lt;/author&gt;&lt;author&gt;Harray, AJ&lt;/author&gt;&lt;author&gt;Daly, A&lt;/author&gt;&lt;author&gt;Kerr, DA&lt;/author&gt;&lt;/authors&gt;&lt;/contributors&gt;&lt;titles&gt;&lt;title&gt;Nutrition Monitoring Survey Series 2012 key findings&lt;/title&gt;&lt;/titles&gt;&lt;dates&gt;&lt;year&gt;2015&lt;/year&gt;&lt;/dates&gt;&lt;pub-location&gt;Perth&lt;/pub-location&gt;&lt;publisher&gt;Department of Health, Western Australia&lt;/publisher&gt;&lt;urls&gt;&lt;related-urls&gt;&lt;url&gt;http://ww2.health.wa.gov.au/~/media/Files/Corporate/Reports%20and%20publications/Population%20surveys/13032-nutrition-monitoring-survey-series-2012.ashx&lt;/url&gt;&lt;/related-urls&gt;&lt;/urls&gt;&lt;/record&gt;&lt;/Cite&gt;&lt;/EndNote&gt;</w:instrText>
      </w:r>
      <w:r>
        <w:fldChar w:fldCharType="separate"/>
      </w:r>
      <w:r w:rsidRPr="005B3C51">
        <w:rPr>
          <w:noProof/>
          <w:vertAlign w:val="superscript"/>
        </w:rPr>
        <w:t>94</w:t>
      </w:r>
      <w:r>
        <w:fldChar w:fldCharType="end"/>
      </w:r>
      <w:r w:rsidRPr="00BA3ED6">
        <w:t xml:space="preserve"> providing credible, reliable, easily-understood nutrition information, for example in the media, at point-of-sale and on food labels, can help people make more informed decisions about the foods they eat. Research shows that the majority of WA adults support the need for clear information through appropriate food labelling.</w:t>
      </w:r>
      <w:r>
        <w:fldChar w:fldCharType="begin"/>
      </w:r>
      <w:r>
        <w:instrText xml:space="preserve"> ADDIN EN.CITE &lt;EndNote&gt;&lt;Cite&gt;&lt;Author&gt;Pollard&lt;/Author&gt;&lt;Year&gt;2013&lt;/Year&gt;&lt;RecNum&gt;1034&lt;/RecNum&gt;&lt;DisplayText&gt;&lt;style face="superscript"&gt;97&lt;/style&gt;&lt;/DisplayText&gt;&lt;record&gt;&lt;rec-number&gt;1034&lt;/rec-number&gt;&lt;foreign-keys&gt;&lt;key app="EN" db-id="zxa00wf2opvf9oeeset50xz7ezpfwre2v20z"&gt;1034&lt;/key&gt;&lt;/foreign-keys&gt;&lt;ref-type name="Journal Article"&gt;17&lt;/ref-type&gt;&lt;contributors&gt;&lt;authors&gt;&lt;author&gt;Pollard, Christina M&lt;/author&gt;&lt;author&gt;Daly, Alison&lt;/author&gt;&lt;author&gt;Moore, Michael&lt;/author&gt;&lt;author&gt;Binns, Colin W&lt;/author&gt;&lt;/authors&gt;&lt;/contributors&gt;&lt;titles&gt;&lt;title&gt;Public say food regulatory policies to improve health in Western Australia are important: population survey results&lt;/title&gt;&lt;secondary-title&gt;Aust NZ J Publ Health&lt;/secondary-title&gt;&lt;/titles&gt;&lt;periodical&gt;&lt;full-title&gt;Aust NZ J Publ Health&lt;/full-title&gt;&lt;/periodical&gt;&lt;pages&gt;475-482&lt;/pages&gt;&lt;volume&gt;37&lt;/volume&gt;&lt;number&gt;5&lt;/number&gt;&lt;dates&gt;&lt;year&gt;2013&lt;/year&gt;&lt;/dates&gt;&lt;urls&gt;&lt;related-urls&gt;&lt;url&gt;http://onlinelibrary.wiley.com/doi/10.1111/1753-6405.12128/abstract&lt;/url&gt;&lt;/related-urls&gt;&lt;/urls&gt;&lt;/record&gt;&lt;/Cite&gt;&lt;/EndNote&gt;</w:instrText>
      </w:r>
      <w:r>
        <w:fldChar w:fldCharType="separate"/>
      </w:r>
      <w:r w:rsidRPr="005B3C51">
        <w:rPr>
          <w:noProof/>
          <w:vertAlign w:val="superscript"/>
        </w:rPr>
        <w:t>97</w:t>
      </w:r>
      <w:r>
        <w:fldChar w:fldCharType="end"/>
      </w:r>
    </w:p>
    <w:p w:rsidR="005B3C51" w:rsidRPr="00BA3ED6" w:rsidRDefault="005B3C51" w:rsidP="005B3C51"/>
    <w:p w:rsidR="005B3C51" w:rsidRPr="00BA3ED6" w:rsidRDefault="005B3C51" w:rsidP="005B3C51">
      <w:r w:rsidRPr="00BA3ED6">
        <w:t>Increasing food literacy skills such as food planning, shopping, meal preparation and confidence in cooking can help improve dietary choices.</w:t>
      </w:r>
      <w:r>
        <w:fldChar w:fldCharType="begin"/>
      </w:r>
      <w:r>
        <w:instrText xml:space="preserve"> ADDIN EN.CITE &lt;EndNote&gt;&lt;Cite&gt;&lt;Author&gt;Vidgen&lt;/Author&gt;&lt;Year&gt;2014&lt;/Year&gt;&lt;RecNum&gt;894&lt;/RecNum&gt;&lt;DisplayText&gt;&lt;style face="superscript"&gt;98&lt;/style&gt;&lt;/DisplayText&gt;&lt;record&gt;&lt;rec-number&gt;894&lt;/rec-number&gt;&lt;foreign-keys&gt;&lt;key app="EN" db-id="zxa00wf2opvf9oeeset50xz7ezpfwre2v20z"&gt;894&lt;/key&gt;&lt;/foreign-keys&gt;&lt;ref-type name="Journal Article"&gt;17&lt;/ref-type&gt;&lt;contributors&gt;&lt;authors&gt;&lt;author&gt;Vidgen, Helen Anna&lt;/author&gt;&lt;author&gt;Gallegos, Danielle&lt;/author&gt;&lt;/authors&gt;&lt;/contributors&gt;&lt;titles&gt;&lt;title&gt;Defining food literacy and its components&lt;/title&gt;&lt;secondary-title&gt;Appetite&lt;/secondary-title&gt;&lt;/titles&gt;&lt;pages&gt;50-59&lt;/pages&gt;&lt;volume&gt;76&lt;/volume&gt;&lt;dates&gt;&lt;year&gt;2014&lt;/year&gt;&lt;/dates&gt;&lt;urls&gt;&lt;related-urls&gt;&lt;url&gt;http://dx.doi.org/10.1016/j.appet.2014.01.010&lt;/url&gt;&lt;/related-urls&gt;&lt;/urls&gt;&lt;/record&gt;&lt;/Cite&gt;&lt;/EndNote&gt;</w:instrText>
      </w:r>
      <w:r>
        <w:fldChar w:fldCharType="separate"/>
      </w:r>
      <w:r w:rsidRPr="005B3C51">
        <w:rPr>
          <w:noProof/>
          <w:vertAlign w:val="superscript"/>
        </w:rPr>
        <w:t>98</w:t>
      </w:r>
      <w:r>
        <w:fldChar w:fldCharType="end"/>
      </w:r>
      <w:r w:rsidRPr="00BA3ED6">
        <w:t xml:space="preserve"> </w:t>
      </w:r>
      <w:r w:rsidRPr="00BA3ED6">
        <w:rPr>
          <w:rFonts w:eastAsiaTheme="minorHAnsi"/>
        </w:rPr>
        <w:t>There are concerns that there has been a population-wide reduction in food literacy skills with the increase in the need for convenience.</w:t>
      </w:r>
      <w:r>
        <w:rPr>
          <w:rFonts w:eastAsiaTheme="minorHAnsi"/>
        </w:rPr>
        <w:fldChar w:fldCharType="begin"/>
      </w:r>
      <w:r>
        <w:rPr>
          <w:rFonts w:eastAsiaTheme="minorHAnsi"/>
        </w:rPr>
        <w:instrText xml:space="preserve"> ADDIN EN.CITE &lt;EndNote&gt;&lt;Cite&gt;&lt;Author&gt;Soliah&lt;/Author&gt;&lt;Year&gt;2012&lt;/Year&gt;&lt;RecNum&gt;1040&lt;/RecNum&gt;&lt;DisplayText&gt;&lt;style face="superscript"&gt;99, 100&lt;/style&gt;&lt;/DisplayText&gt;&lt;record&gt;&lt;rec-number&gt;1040&lt;/rec-number&gt;&lt;foreign-keys&gt;&lt;key app="EN" db-id="zxa00wf2opvf9oeeset50xz7ezpfwre2v20z"&gt;1040&lt;/key&gt;&lt;/foreign-keys&gt;&lt;ref-type name="Journal Article"&gt;17&lt;/ref-type&gt;&lt;contributors&gt;&lt;authors&gt;&lt;author&gt;Soliah, Lu Ann Laurice&lt;/author&gt;&lt;author&gt;Walter, Janelle Marshall&lt;/author&gt;&lt;author&gt;Jones, Sheila Ann&lt;/author&gt;&lt;/authors&gt;&lt;/contributors&gt;&lt;titles&gt;&lt;title&gt;Benefits and barriers to healthful eating: what are the consequences of decreased food preparation ability?&lt;/title&gt;&lt;secondary-title&gt;Am J Lifestyle Med&lt;/secondary-title&gt;&lt;/titles&gt;&lt;periodical&gt;&lt;full-title&gt;Am J Lifestyle Med&lt;/full-title&gt;&lt;/periodical&gt;&lt;pages&gt;152-158&lt;/pages&gt;&lt;volume&gt;6&lt;/volume&gt;&lt;number&gt;2&lt;/number&gt;&lt;dates&gt;&lt;year&gt;2012&lt;/year&gt;&lt;/dates&gt;&lt;urls&gt;&lt;related-urls&gt;&lt;url&gt;http://ajl.sagepub.com/content/6/2/152.abstract&lt;/url&gt;&lt;/related-urls&gt;&lt;/urls&gt;&lt;/record&gt;&lt;/Cite&gt;&lt;Cite&gt;&lt;Author&gt;Australian Government&lt;/Author&gt;&lt;Year&gt;2014&lt;/Year&gt;&lt;RecNum&gt;994&lt;/RecNum&gt;&lt;record&gt;&lt;rec-number&gt;994&lt;/rec-number&gt;&lt;foreign-keys&gt;&lt;key app="EN" db-id="zxa00wf2opvf9oeeset50xz7ezpfwre2v20z"&gt;994&lt;/key&gt;&lt;/foreign-keys&gt;&lt;ref-type name="Report"&gt;27&lt;/ref-type&gt;&lt;contributors&gt;&lt;authors&gt;&lt;author&gt;Department of Agriculture,&lt;/author&gt;&lt;author&gt; Australian Government,&lt;/author&gt;&lt;/authors&gt;&lt;/contributors&gt;&lt;titles&gt;&lt;title&gt;Australian food statistics 2012–13&lt;/title&gt;&lt;/titles&gt;&lt;dates&gt;&lt;year&gt;2014&lt;/year&gt;&lt;/dates&gt;&lt;pub-location&gt;Canberra&lt;/pub-location&gt;&lt;publisher&gt;Commonwealth of Australia&lt;/publisher&gt;&lt;urls&gt;&lt;related-urls&gt;&lt;url&gt;http://www.agriculture.gov.au/SiteCollectionDocuments/ag-food/publications/food-stats/australian-food-statistics-2012-13.pdf&lt;/url&gt;&lt;/related-urls&gt;&lt;/urls&gt;&lt;/record&gt;&lt;/Cite&gt;&lt;/EndNote&gt;</w:instrText>
      </w:r>
      <w:r>
        <w:rPr>
          <w:rFonts w:eastAsiaTheme="minorHAnsi"/>
        </w:rPr>
        <w:fldChar w:fldCharType="separate"/>
      </w:r>
      <w:r w:rsidRPr="005B3C51">
        <w:rPr>
          <w:rFonts w:eastAsiaTheme="minorHAnsi"/>
          <w:noProof/>
          <w:vertAlign w:val="superscript"/>
        </w:rPr>
        <w:t>99, 100</w:t>
      </w:r>
      <w:r>
        <w:rPr>
          <w:rFonts w:eastAsiaTheme="minorHAnsi"/>
        </w:rPr>
        <w:fldChar w:fldCharType="end"/>
      </w:r>
      <w:r w:rsidRPr="00BA3ED6">
        <w:rPr>
          <w:rFonts w:eastAsiaTheme="minorHAnsi"/>
        </w:rPr>
        <w:t xml:space="preserve"> Although 95% of WA adults rate themselves as reasonably competent cooks, 72% report that information about ways to prepare healthy foods would assist them to make healthier choices, and 55% want to know more about cooking.</w:t>
      </w:r>
      <w:r>
        <w:rPr>
          <w:rFonts w:eastAsiaTheme="minorHAnsi"/>
        </w:rPr>
        <w:fldChar w:fldCharType="begin"/>
      </w:r>
      <w:r>
        <w:rPr>
          <w:rFonts w:eastAsiaTheme="minorHAnsi"/>
        </w:rPr>
        <w:instrText xml:space="preserve"> ADDIN EN.CITE &lt;EndNote&gt;&lt;Cite&gt;&lt;Author&gt;Begley&lt;/Author&gt;&lt;Year&gt;Forthcoming 2016&lt;/Year&gt;&lt;RecNum&gt;999&lt;/RecNum&gt;&lt;DisplayText&gt;&lt;style face="superscript"&gt;101, 102&lt;/style&gt;&lt;/DisplayText&gt;&lt;record&gt;&lt;rec-number&gt;999&lt;/rec-number&gt;&lt;foreign-keys&gt;&lt;key app="EN" db-id="zxa00wf2opvf9oeeset50xz7ezpfwre2v20z"&gt;999&lt;/key&gt;&lt;/foreign-keys&gt;&lt;ref-type name="Journal Article"&gt;17&lt;/ref-type&gt;&lt;contributors&gt;&lt;authors&gt;&lt;author&gt;Begley, AM&lt;/author&gt;&lt;author&gt;Meng, X&lt;/author&gt;&lt;author&gt;Pollard, CM&lt;/author&gt;&lt;/authors&gt;&lt;/contributors&gt;&lt;titles&gt;&lt;title&gt;Relationship between cooking skills and health indicators: informing future food literacy interventions?&lt;/title&gt;&lt;secondary-title&gt;Brit Food J&lt;/secondary-title&gt;&lt;/titles&gt;&lt;periodical&gt;&lt;full-title&gt;Brit Food J&lt;/full-title&gt;&lt;/periodical&gt;&lt;dates&gt;&lt;year&gt;Forthcoming 2016&lt;/year&gt;&lt;/dates&gt;&lt;urls&gt;&lt;/urls&gt;&lt;/record&gt;&lt;/Cite&gt;&lt;Cite&gt;&lt;Author&gt;Pollard&lt;/Author&gt;&lt;Year&gt;2015&lt;/Year&gt;&lt;RecNum&gt;1038&lt;/RecNum&gt;&lt;record&gt;&lt;rec-number&gt;1038&lt;/rec-number&gt;&lt;foreign-keys&gt;&lt;key app="EN" db-id="zxa00wf2opvf9oeeset50xz7ezpfwre2v20z"&gt;1038&lt;/key&gt;&lt;/foreign-keys&gt;&lt;ref-type name="Journal Article"&gt;17&lt;/ref-type&gt;&lt;contributors&gt;&lt;authors&gt;&lt;author&gt;Pollard, Christina Mary&lt;/author&gt;&lt;author&gt;Pulker, Claire Elizabeth&lt;/author&gt;&lt;author&gt;Meng, Xingqiong&lt;/author&gt;&lt;author&gt;Kerr, Deborah Anne&lt;/author&gt;&lt;author&gt;Scott, Jane Anne&lt;/author&gt;&lt;/authors&gt;&lt;/contributors&gt;&lt;titles&gt;&lt;title&gt;Who uses the internet as a source of nutrition and dietary information? An Australian population perspective&lt;/title&gt;&lt;secondary-title&gt;J Med Internet Res&lt;/secondary-title&gt;&lt;/titles&gt;&lt;periodical&gt;&lt;full-title&gt;J Med Internet Res&lt;/full-title&gt;&lt;/periodical&gt;&lt;pages&gt;e209&lt;/pages&gt;&lt;volume&gt;17&lt;/volume&gt;&lt;dates&gt;&lt;year&gt;2015&lt;/year&gt;&lt;/dates&gt;&lt;urls&gt;&lt;related-urls&gt;&lt;url&gt;http://www.ncbi.nlm.nih.gov/pmc/articles/PMC4642382/&lt;/url&gt;&lt;/related-urls&gt;&lt;/urls&gt;&lt;remote-database-name&gt;PMC&lt;/remote-database-name&gt;&lt;/record&gt;&lt;/Cite&gt;&lt;/EndNote&gt;</w:instrText>
      </w:r>
      <w:r>
        <w:rPr>
          <w:rFonts w:eastAsiaTheme="minorHAnsi"/>
        </w:rPr>
        <w:fldChar w:fldCharType="separate"/>
      </w:r>
      <w:r w:rsidRPr="005B3C51">
        <w:rPr>
          <w:rFonts w:eastAsiaTheme="minorHAnsi"/>
          <w:noProof/>
          <w:vertAlign w:val="superscript"/>
        </w:rPr>
        <w:t>101, 102</w:t>
      </w:r>
      <w:r>
        <w:rPr>
          <w:rFonts w:eastAsiaTheme="minorHAnsi"/>
        </w:rPr>
        <w:fldChar w:fldCharType="end"/>
      </w:r>
      <w:r w:rsidRPr="00BA3ED6">
        <w:rPr>
          <w:rFonts w:eastAsiaTheme="minorHAnsi"/>
        </w:rPr>
        <w:t xml:space="preserve"> Low food literacy may contribute to consumption of highly-processed foods.</w:t>
      </w:r>
      <w:r>
        <w:rPr>
          <w:rFonts w:eastAsiaTheme="minorHAnsi"/>
        </w:rPr>
        <w:fldChar w:fldCharType="begin"/>
      </w:r>
      <w:r>
        <w:rPr>
          <w:rFonts w:eastAsiaTheme="minorHAnsi"/>
        </w:rPr>
        <w:instrText xml:space="preserve"> ADDIN EN.CITE &lt;EndNote&gt;&lt;Cite&gt;&lt;Author&gt;The LDCP Food Skills Team&lt;/Author&gt;&lt;Year&gt;2013&lt;/Year&gt;&lt;RecNum&gt;1005&lt;/RecNum&gt;&lt;DisplayText&gt;&lt;style face="superscript"&gt;103&lt;/style&gt;&lt;/DisplayText&gt;&lt;record&gt;&lt;rec-number&gt;1005&lt;/rec-number&gt;&lt;foreign-keys&gt;&lt;key app="EN" db-id="zxa00wf2opvf9oeeset50xz7ezpfwre2v20z"&gt;1005&lt;/key&gt;&lt;/foreign-keys&gt;&lt;ref-type name="Report"&gt;27&lt;/ref-type&gt;&lt;contributors&gt;&lt;authors&gt;&lt;author&gt;The LDCP Food Skills Team,&lt;/author&gt;&lt;/authors&gt;&lt;/contributors&gt;&lt;titles&gt;&lt;title&gt;Making something out of nothing: food literacy among youth, young pregnant women and young parents who are at risk for poor health&lt;/title&gt;&lt;/titles&gt;&lt;dates&gt;&lt;year&gt;2013&lt;/year&gt;&lt;/dates&gt;&lt;pub-location&gt;Ontario, Canada&lt;/pub-location&gt;&lt;publisher&gt;Public Health Ontario&lt;/publisher&gt;&lt;urls&gt;&lt;related-urls&gt;&lt;url&gt;http://foodsecurecanada.org/resources-news/resources-research/making-something-out-nothing-food-literacy-among-youth-young-0&lt;/url&gt;&lt;/related-urls&gt;&lt;/urls&gt;&lt;/record&gt;&lt;/Cite&gt;&lt;/EndNote&gt;</w:instrText>
      </w:r>
      <w:r>
        <w:rPr>
          <w:rFonts w:eastAsiaTheme="minorHAnsi"/>
        </w:rPr>
        <w:fldChar w:fldCharType="separate"/>
      </w:r>
      <w:r w:rsidRPr="005B3C51">
        <w:rPr>
          <w:rFonts w:eastAsiaTheme="minorHAnsi"/>
          <w:noProof/>
          <w:vertAlign w:val="superscript"/>
        </w:rPr>
        <w:t>103</w:t>
      </w:r>
      <w:r>
        <w:rPr>
          <w:rFonts w:eastAsiaTheme="minorHAnsi"/>
        </w:rPr>
        <w:fldChar w:fldCharType="end"/>
      </w:r>
      <w:r w:rsidRPr="00BA3ED6">
        <w:rPr>
          <w:rFonts w:eastAsiaTheme="minorHAnsi"/>
        </w:rPr>
        <w:t xml:space="preserve"> </w:t>
      </w:r>
    </w:p>
    <w:p w:rsidR="005B3C51" w:rsidRDefault="005B3C51" w:rsidP="004449DC">
      <w:pPr>
        <w:widowControl/>
        <w:spacing w:after="200" w:line="276" w:lineRule="auto"/>
      </w:pPr>
    </w:p>
    <w:p w:rsidR="001866DB" w:rsidRDefault="004449DC" w:rsidP="004449DC">
      <w:pPr>
        <w:widowControl/>
        <w:spacing w:after="200" w:line="276" w:lineRule="auto"/>
        <w:rPr>
          <w:b/>
        </w:rPr>
      </w:pPr>
      <w:r>
        <w:br w:type="page"/>
      </w:r>
    </w:p>
    <w:tbl>
      <w:tblPr>
        <w:tblStyle w:val="TableGrid"/>
        <w:tblW w:w="0" w:type="auto"/>
        <w:shd w:val="clear" w:color="auto" w:fill="F2F2F2" w:themeFill="background1" w:themeFillShade="F2"/>
        <w:tblLook w:val="04A0" w:firstRow="1" w:lastRow="0" w:firstColumn="1" w:lastColumn="0" w:noHBand="0" w:noVBand="1"/>
      </w:tblPr>
      <w:tblGrid>
        <w:gridCol w:w="9266"/>
      </w:tblGrid>
      <w:tr w:rsidR="00BF290F" w:rsidTr="00C4431E">
        <w:tc>
          <w:tcPr>
            <w:tcW w:w="9266" w:type="dxa"/>
            <w:shd w:val="clear" w:color="auto" w:fill="F2F2F2" w:themeFill="background1" w:themeFillShade="F2"/>
          </w:tcPr>
          <w:p w:rsidR="00BF290F" w:rsidRPr="001D44F0" w:rsidRDefault="00BF290F" w:rsidP="00BF290F">
            <w:pPr>
              <w:shd w:val="clear" w:color="auto" w:fill="F2F2F2" w:themeFill="background1" w:themeFillShade="F2"/>
              <w:rPr>
                <w:b/>
                <w:color w:val="808080" w:themeColor="background1" w:themeShade="80"/>
                <w:sz w:val="26"/>
                <w:szCs w:val="26"/>
              </w:rPr>
            </w:pPr>
            <w:r w:rsidRPr="001D44F0">
              <w:rPr>
                <w:b/>
                <w:color w:val="808080" w:themeColor="background1" w:themeShade="80"/>
                <w:sz w:val="26"/>
                <w:szCs w:val="26"/>
              </w:rPr>
              <w:lastRenderedPageBreak/>
              <w:t xml:space="preserve">Box 8:   </w:t>
            </w:r>
            <w:r w:rsidRPr="001D44F0">
              <w:rPr>
                <w:b/>
                <w:i/>
                <w:color w:val="808080" w:themeColor="background1" w:themeShade="80"/>
                <w:sz w:val="26"/>
                <w:szCs w:val="26"/>
              </w:rPr>
              <w:t>Australian Dietary Guidelines</w:t>
            </w:r>
            <w:r w:rsidRPr="001D44F0">
              <w:rPr>
                <w:b/>
                <w:color w:val="808080" w:themeColor="background1" w:themeShade="80"/>
                <w:sz w:val="26"/>
                <w:szCs w:val="26"/>
              </w:rPr>
              <w:fldChar w:fldCharType="begin"/>
            </w:r>
            <w:r w:rsidR="00547316">
              <w:rPr>
                <w:b/>
                <w:color w:val="808080" w:themeColor="background1" w:themeShade="80"/>
                <w:sz w:val="26"/>
                <w:szCs w:val="26"/>
              </w:rPr>
              <w:instrText xml:space="preserve"> ADDIN EN.CITE &lt;EndNote&gt;&lt;Cite&gt;&lt;Author&gt;National Health and Medical Research Council&lt;/Author&gt;&lt;Year&gt;2013&lt;/Year&gt;&lt;RecNum&gt;16&lt;/RecNum&gt;&lt;DisplayText&gt;&lt;style face="superscript"&gt;78&lt;/style&gt;&lt;/DisplayText&gt;&lt;record&gt;&lt;rec-number&gt;16&lt;/rec-number&gt;&lt;foreign-keys&gt;&lt;key app="EN" db-id="zxa00wf2opvf9oeeset50xz7ezpfwre2v20z"&gt;16&lt;/key&gt;&lt;/foreign-keys&gt;&lt;ref-type name="Report"&gt;27&lt;/ref-type&gt;&lt;contributors&gt;&lt;authors&gt;&lt;author&gt;National Health and Medical Research Council,&lt;/author&gt;&lt;/authors&gt;&lt;/contributors&gt;&lt;titles&gt;&lt;title&gt;Eat for health: Australian Dietary Guidelines. Providing the scientific evidence for healthier Australian diets&lt;/title&gt;&lt;/titles&gt;&lt;dates&gt;&lt;year&gt;2013&lt;/year&gt;&lt;/dates&gt;&lt;pub-location&gt;Canberra&lt;/pub-location&gt;&lt;publisher&gt;National Health and Medical Research Council&lt;/publisher&gt;&lt;urls&gt;&lt;related-urls&gt;&lt;url&gt;http://www.nhmrc.gov.au/guidelines-publications/n55&lt;/url&gt;&lt;/related-urls&gt;&lt;/urls&gt;&lt;/record&gt;&lt;/Cite&gt;&lt;/EndNote&gt;</w:instrText>
            </w:r>
            <w:r w:rsidRPr="001D44F0">
              <w:rPr>
                <w:b/>
                <w:color w:val="808080" w:themeColor="background1" w:themeShade="80"/>
                <w:sz w:val="26"/>
                <w:szCs w:val="26"/>
              </w:rPr>
              <w:fldChar w:fldCharType="separate"/>
            </w:r>
            <w:r w:rsidR="00547316" w:rsidRPr="00547316">
              <w:rPr>
                <w:b/>
                <w:noProof/>
                <w:color w:val="808080" w:themeColor="background1" w:themeShade="80"/>
                <w:sz w:val="26"/>
                <w:szCs w:val="26"/>
                <w:vertAlign w:val="superscript"/>
              </w:rPr>
              <w:t>78</w:t>
            </w:r>
            <w:r w:rsidRPr="001D44F0">
              <w:rPr>
                <w:b/>
                <w:color w:val="808080" w:themeColor="background1" w:themeShade="80"/>
                <w:sz w:val="26"/>
                <w:szCs w:val="26"/>
              </w:rPr>
              <w:fldChar w:fldCharType="end"/>
            </w:r>
          </w:p>
          <w:p w:rsidR="00BF290F" w:rsidRPr="001D44F0" w:rsidRDefault="00BF290F" w:rsidP="00BF290F">
            <w:pPr>
              <w:shd w:val="clear" w:color="auto" w:fill="F2F2F2" w:themeFill="background1" w:themeFillShade="F2"/>
              <w:rPr>
                <w:b/>
                <w:color w:val="808080" w:themeColor="background1" w:themeShade="80"/>
              </w:rPr>
            </w:pPr>
          </w:p>
          <w:p w:rsidR="00BF290F" w:rsidRPr="001D44F0" w:rsidRDefault="00BF290F" w:rsidP="00BF290F">
            <w:pPr>
              <w:shd w:val="clear" w:color="auto" w:fill="F2F2F2" w:themeFill="background1" w:themeFillShade="F2"/>
              <w:rPr>
                <w:b/>
                <w:color w:val="808080" w:themeColor="background1" w:themeShade="80"/>
              </w:rPr>
            </w:pPr>
            <w:r w:rsidRPr="001D44F0">
              <w:rPr>
                <w:b/>
                <w:color w:val="808080" w:themeColor="background1" w:themeShade="80"/>
              </w:rPr>
              <w:t>Guideline 1: To achieve and maintain a healthy weight, be physically active and choose amounts of nutritious food and drinks to meet your energy needs.</w:t>
            </w:r>
          </w:p>
          <w:p w:rsidR="00BF290F" w:rsidRPr="001D44F0" w:rsidRDefault="00BF290F" w:rsidP="00BF290F">
            <w:pPr>
              <w:widowControl/>
              <w:numPr>
                <w:ilvl w:val="0"/>
                <w:numId w:val="29"/>
              </w:numPr>
              <w:shd w:val="clear" w:color="auto" w:fill="F2F2F2" w:themeFill="background1" w:themeFillShade="F2"/>
              <w:spacing w:after="100" w:afterAutospacing="1" w:line="236" w:lineRule="atLeast"/>
              <w:rPr>
                <w:color w:val="808080" w:themeColor="background1" w:themeShade="80"/>
              </w:rPr>
            </w:pPr>
            <w:r w:rsidRPr="001D44F0">
              <w:rPr>
                <w:color w:val="808080" w:themeColor="background1" w:themeShade="80"/>
              </w:rPr>
              <w:t>Children and adolescents should eat sufficient nutritious foods to grow and develop normally. They should be physically active every day and their growth should be checked regularly</w:t>
            </w:r>
          </w:p>
          <w:p w:rsidR="00BF290F" w:rsidRPr="001D44F0" w:rsidRDefault="00BF290F" w:rsidP="00BF290F">
            <w:pPr>
              <w:widowControl/>
              <w:numPr>
                <w:ilvl w:val="0"/>
                <w:numId w:val="29"/>
              </w:numPr>
              <w:shd w:val="clear" w:color="auto" w:fill="F2F2F2" w:themeFill="background1" w:themeFillShade="F2"/>
              <w:spacing w:after="100" w:afterAutospacing="1" w:line="236" w:lineRule="atLeast"/>
              <w:rPr>
                <w:color w:val="808080" w:themeColor="background1" w:themeShade="80"/>
              </w:rPr>
            </w:pPr>
            <w:r w:rsidRPr="001D44F0">
              <w:rPr>
                <w:color w:val="808080" w:themeColor="background1" w:themeShade="80"/>
              </w:rPr>
              <w:t>Older people should eat nutritious foods and keep physically active to help maintain muscle strength and a healthy weight</w:t>
            </w:r>
          </w:p>
          <w:p w:rsidR="00BF290F" w:rsidRPr="001D44F0" w:rsidRDefault="00BF290F" w:rsidP="00BF290F">
            <w:pPr>
              <w:shd w:val="clear" w:color="auto" w:fill="F2F2F2" w:themeFill="background1" w:themeFillShade="F2"/>
              <w:rPr>
                <w:b/>
                <w:color w:val="808080" w:themeColor="background1" w:themeShade="80"/>
              </w:rPr>
            </w:pPr>
            <w:bookmarkStart w:id="24" w:name="Guideline_2"/>
            <w:bookmarkEnd w:id="24"/>
            <w:r w:rsidRPr="001D44F0">
              <w:rPr>
                <w:b/>
                <w:color w:val="808080" w:themeColor="background1" w:themeShade="80"/>
              </w:rPr>
              <w:t>Guideline 2: Enjoy a wide variety of nutritious foods from these five groups every day:</w:t>
            </w:r>
          </w:p>
          <w:p w:rsidR="00BF290F" w:rsidRPr="001D44F0" w:rsidRDefault="00BF290F" w:rsidP="00BF290F">
            <w:pPr>
              <w:widowControl/>
              <w:numPr>
                <w:ilvl w:val="0"/>
                <w:numId w:val="30"/>
              </w:numPr>
              <w:shd w:val="clear" w:color="auto" w:fill="F2F2F2" w:themeFill="background1" w:themeFillShade="F2"/>
              <w:spacing w:after="100" w:afterAutospacing="1" w:line="236" w:lineRule="atLeast"/>
              <w:ind w:left="360"/>
              <w:rPr>
                <w:color w:val="808080" w:themeColor="background1" w:themeShade="80"/>
              </w:rPr>
            </w:pPr>
            <w:r w:rsidRPr="001D44F0">
              <w:rPr>
                <w:color w:val="808080" w:themeColor="background1" w:themeShade="80"/>
              </w:rPr>
              <w:t>Plenty of vegetables, including different types and colours, and legumes/beans</w:t>
            </w:r>
          </w:p>
          <w:p w:rsidR="00BF290F" w:rsidRPr="001D44F0" w:rsidRDefault="00BF290F" w:rsidP="00BF290F">
            <w:pPr>
              <w:widowControl/>
              <w:numPr>
                <w:ilvl w:val="0"/>
                <w:numId w:val="30"/>
              </w:numPr>
              <w:shd w:val="clear" w:color="auto" w:fill="F2F2F2" w:themeFill="background1" w:themeFillShade="F2"/>
              <w:spacing w:before="100" w:beforeAutospacing="1" w:after="100" w:afterAutospacing="1" w:line="236" w:lineRule="atLeast"/>
              <w:ind w:left="360"/>
              <w:rPr>
                <w:color w:val="808080" w:themeColor="background1" w:themeShade="80"/>
              </w:rPr>
            </w:pPr>
            <w:r w:rsidRPr="001D44F0">
              <w:rPr>
                <w:color w:val="808080" w:themeColor="background1" w:themeShade="80"/>
              </w:rPr>
              <w:t>Fruit</w:t>
            </w:r>
          </w:p>
          <w:p w:rsidR="00BF290F" w:rsidRPr="001D44F0" w:rsidRDefault="00BF290F" w:rsidP="00BF290F">
            <w:pPr>
              <w:widowControl/>
              <w:numPr>
                <w:ilvl w:val="0"/>
                <w:numId w:val="30"/>
              </w:numPr>
              <w:shd w:val="clear" w:color="auto" w:fill="F2F2F2" w:themeFill="background1" w:themeFillShade="F2"/>
              <w:spacing w:before="100" w:beforeAutospacing="1" w:after="100" w:afterAutospacing="1" w:line="236" w:lineRule="atLeast"/>
              <w:ind w:left="360"/>
              <w:rPr>
                <w:color w:val="808080" w:themeColor="background1" w:themeShade="80"/>
              </w:rPr>
            </w:pPr>
            <w:r w:rsidRPr="001D44F0">
              <w:rPr>
                <w:color w:val="808080" w:themeColor="background1" w:themeShade="80"/>
              </w:rPr>
              <w:t>Grain (cereal) foods, mostly wholegrain and/or high cereal fibre varieties, such as breads, cereals, rice, pasta, noodles, polenta, couscous, oats, quinoa and barley</w:t>
            </w:r>
          </w:p>
          <w:p w:rsidR="00BF290F" w:rsidRPr="001D44F0" w:rsidRDefault="00BF290F" w:rsidP="00BF290F">
            <w:pPr>
              <w:widowControl/>
              <w:numPr>
                <w:ilvl w:val="0"/>
                <w:numId w:val="30"/>
              </w:numPr>
              <w:shd w:val="clear" w:color="auto" w:fill="F2F2F2" w:themeFill="background1" w:themeFillShade="F2"/>
              <w:spacing w:before="100" w:beforeAutospacing="1" w:after="100" w:afterAutospacing="1" w:line="236" w:lineRule="atLeast"/>
              <w:ind w:left="360"/>
              <w:rPr>
                <w:color w:val="808080" w:themeColor="background1" w:themeShade="80"/>
              </w:rPr>
            </w:pPr>
            <w:r w:rsidRPr="001D44F0">
              <w:rPr>
                <w:color w:val="808080" w:themeColor="background1" w:themeShade="80"/>
              </w:rPr>
              <w:t>Lean meats and poultry, fish, eggs, tofu, nuts and seeds, and legumes/beans</w:t>
            </w:r>
          </w:p>
          <w:p w:rsidR="00BF290F" w:rsidRPr="001D44F0" w:rsidRDefault="00BF290F" w:rsidP="00BF290F">
            <w:pPr>
              <w:widowControl/>
              <w:numPr>
                <w:ilvl w:val="0"/>
                <w:numId w:val="30"/>
              </w:numPr>
              <w:shd w:val="clear" w:color="auto" w:fill="F2F2F2" w:themeFill="background1" w:themeFillShade="F2"/>
              <w:spacing w:before="100" w:beforeAutospacing="1" w:line="236" w:lineRule="atLeast"/>
              <w:ind w:left="360"/>
              <w:rPr>
                <w:color w:val="808080" w:themeColor="background1" w:themeShade="80"/>
              </w:rPr>
            </w:pPr>
            <w:r w:rsidRPr="001D44F0">
              <w:rPr>
                <w:color w:val="808080" w:themeColor="background1" w:themeShade="80"/>
              </w:rPr>
              <w:t>Milk, yoghurt, cheese and/or their alternatives, mostly reduced fat (reduced fat milks are not suitable for children under the age of 2 years)</w:t>
            </w:r>
          </w:p>
          <w:p w:rsidR="00BF290F" w:rsidRPr="001D44F0" w:rsidRDefault="00BF290F" w:rsidP="00BF290F">
            <w:pPr>
              <w:widowControl/>
              <w:numPr>
                <w:ilvl w:val="0"/>
                <w:numId w:val="30"/>
              </w:numPr>
              <w:shd w:val="clear" w:color="auto" w:fill="F2F2F2" w:themeFill="background1" w:themeFillShade="F2"/>
              <w:spacing w:before="100" w:beforeAutospacing="1" w:line="236" w:lineRule="atLeast"/>
              <w:ind w:left="360"/>
              <w:rPr>
                <w:color w:val="808080" w:themeColor="background1" w:themeShade="80"/>
              </w:rPr>
            </w:pPr>
            <w:r w:rsidRPr="001D44F0">
              <w:rPr>
                <w:color w:val="808080" w:themeColor="background1" w:themeShade="80"/>
              </w:rPr>
              <w:t>And drink plenty of water</w:t>
            </w:r>
          </w:p>
          <w:p w:rsidR="00BF290F" w:rsidRPr="001D44F0" w:rsidRDefault="00BF290F" w:rsidP="00BF290F">
            <w:pPr>
              <w:shd w:val="clear" w:color="auto" w:fill="F2F2F2" w:themeFill="background1" w:themeFillShade="F2"/>
              <w:rPr>
                <w:b/>
                <w:color w:val="808080" w:themeColor="background1" w:themeShade="80"/>
              </w:rPr>
            </w:pPr>
            <w:bookmarkStart w:id="25" w:name="Guideline_3"/>
            <w:bookmarkEnd w:id="25"/>
          </w:p>
          <w:p w:rsidR="00BF290F" w:rsidRPr="001D44F0" w:rsidRDefault="00BF290F" w:rsidP="00BF290F">
            <w:pPr>
              <w:shd w:val="clear" w:color="auto" w:fill="F2F2F2" w:themeFill="background1" w:themeFillShade="F2"/>
              <w:rPr>
                <w:b/>
                <w:color w:val="808080" w:themeColor="background1" w:themeShade="80"/>
              </w:rPr>
            </w:pPr>
            <w:r w:rsidRPr="001D44F0">
              <w:rPr>
                <w:b/>
                <w:color w:val="808080" w:themeColor="background1" w:themeShade="80"/>
              </w:rPr>
              <w:t>Guideline 3: Limit intake of foods containing saturated fat, added salt, added sugars and alcohol.</w:t>
            </w:r>
          </w:p>
          <w:p w:rsidR="00BF290F" w:rsidRPr="001D44F0" w:rsidRDefault="00BF290F" w:rsidP="00BF290F">
            <w:pPr>
              <w:pStyle w:val="ListParagraph"/>
              <w:widowControl/>
              <w:numPr>
                <w:ilvl w:val="0"/>
                <w:numId w:val="33"/>
              </w:numPr>
              <w:shd w:val="clear" w:color="auto" w:fill="F2F2F2" w:themeFill="background1" w:themeFillShade="F2"/>
              <w:rPr>
                <w:color w:val="808080" w:themeColor="background1" w:themeShade="80"/>
              </w:rPr>
            </w:pPr>
            <w:r w:rsidRPr="001D44F0">
              <w:rPr>
                <w:color w:val="808080" w:themeColor="background1" w:themeShade="80"/>
              </w:rPr>
              <w:t>Limit intake of foods high in saturated fat such as many biscuits, cakes, pastries,</w:t>
            </w:r>
            <w:r w:rsidRPr="001D44F0">
              <w:rPr>
                <w:color w:val="808080" w:themeColor="background1" w:themeShade="80"/>
              </w:rPr>
              <w:br/>
              <w:t>pies, processed meats, commercial burgers, pizza, fried foods, potato chips,</w:t>
            </w:r>
            <w:r w:rsidRPr="001D44F0">
              <w:rPr>
                <w:color w:val="808080" w:themeColor="background1" w:themeShade="80"/>
              </w:rPr>
              <w:br/>
              <w:t>crisps and other savoury snacks</w:t>
            </w:r>
          </w:p>
          <w:p w:rsidR="00BF290F" w:rsidRPr="001D44F0" w:rsidRDefault="00BF290F" w:rsidP="00BF290F">
            <w:pPr>
              <w:widowControl/>
              <w:numPr>
                <w:ilvl w:val="0"/>
                <w:numId w:val="31"/>
              </w:numPr>
              <w:shd w:val="clear" w:color="auto" w:fill="F2F2F2" w:themeFill="background1" w:themeFillShade="F2"/>
              <w:spacing w:line="236" w:lineRule="atLeast"/>
              <w:rPr>
                <w:color w:val="808080" w:themeColor="background1" w:themeShade="80"/>
              </w:rPr>
            </w:pPr>
            <w:r w:rsidRPr="001D44F0">
              <w:rPr>
                <w:color w:val="808080" w:themeColor="background1" w:themeShade="80"/>
              </w:rPr>
              <w:t>Replace high fat foods which contain predominantly saturated fats such as butter, cream, cooking margarine, coconut and palm oil with foods which contain predominantly polyunsaturated and monounsaturated fats such as oils, spreads, nut butters/pastes and avocado</w:t>
            </w:r>
          </w:p>
          <w:p w:rsidR="00BF290F" w:rsidRPr="001D44F0" w:rsidRDefault="00BF290F" w:rsidP="00BF290F">
            <w:pPr>
              <w:widowControl/>
              <w:numPr>
                <w:ilvl w:val="0"/>
                <w:numId w:val="31"/>
              </w:numPr>
              <w:shd w:val="clear" w:color="auto" w:fill="F2F2F2" w:themeFill="background1" w:themeFillShade="F2"/>
              <w:spacing w:line="236" w:lineRule="atLeast"/>
              <w:rPr>
                <w:color w:val="808080" w:themeColor="background1" w:themeShade="80"/>
              </w:rPr>
            </w:pPr>
            <w:r w:rsidRPr="001D44F0">
              <w:rPr>
                <w:color w:val="808080" w:themeColor="background1" w:themeShade="80"/>
              </w:rPr>
              <w:t>Low fat diets are not suitable for children under the age of 2 years.</w:t>
            </w:r>
          </w:p>
          <w:p w:rsidR="00BF290F" w:rsidRPr="001D44F0" w:rsidRDefault="00BF290F" w:rsidP="00BF290F">
            <w:pPr>
              <w:pStyle w:val="ListParagraph"/>
              <w:widowControl/>
              <w:numPr>
                <w:ilvl w:val="0"/>
                <w:numId w:val="33"/>
              </w:numPr>
              <w:shd w:val="clear" w:color="auto" w:fill="F2F2F2" w:themeFill="background1" w:themeFillShade="F2"/>
              <w:rPr>
                <w:color w:val="808080" w:themeColor="background1" w:themeShade="80"/>
              </w:rPr>
            </w:pPr>
            <w:r w:rsidRPr="001D44F0">
              <w:rPr>
                <w:color w:val="808080" w:themeColor="background1" w:themeShade="80"/>
              </w:rPr>
              <w:t>Limit intake of foods and drinks containing added salt</w:t>
            </w:r>
          </w:p>
          <w:p w:rsidR="00BF290F" w:rsidRPr="001D44F0" w:rsidRDefault="00BF290F" w:rsidP="00BF290F">
            <w:pPr>
              <w:widowControl/>
              <w:numPr>
                <w:ilvl w:val="0"/>
                <w:numId w:val="32"/>
              </w:numPr>
              <w:shd w:val="clear" w:color="auto" w:fill="F2F2F2" w:themeFill="background1" w:themeFillShade="F2"/>
              <w:spacing w:line="236" w:lineRule="atLeast"/>
              <w:rPr>
                <w:color w:val="808080" w:themeColor="background1" w:themeShade="80"/>
              </w:rPr>
            </w:pPr>
            <w:r w:rsidRPr="001D44F0">
              <w:rPr>
                <w:color w:val="808080" w:themeColor="background1" w:themeShade="80"/>
              </w:rPr>
              <w:t>Read labels to choose lower sodium options among similar foods.</w:t>
            </w:r>
          </w:p>
          <w:p w:rsidR="00BF290F" w:rsidRPr="001D44F0" w:rsidRDefault="00BF290F" w:rsidP="00BF290F">
            <w:pPr>
              <w:widowControl/>
              <w:numPr>
                <w:ilvl w:val="0"/>
                <w:numId w:val="32"/>
              </w:numPr>
              <w:shd w:val="clear" w:color="auto" w:fill="F2F2F2" w:themeFill="background1" w:themeFillShade="F2"/>
              <w:spacing w:line="236" w:lineRule="atLeast"/>
              <w:rPr>
                <w:color w:val="808080" w:themeColor="background1" w:themeShade="80"/>
              </w:rPr>
            </w:pPr>
            <w:r w:rsidRPr="001D44F0">
              <w:rPr>
                <w:color w:val="808080" w:themeColor="background1" w:themeShade="80"/>
              </w:rPr>
              <w:t>Do not add salt to foods in cooking or at the table</w:t>
            </w:r>
          </w:p>
          <w:p w:rsidR="00BF290F" w:rsidRPr="001D44F0" w:rsidRDefault="00BF290F" w:rsidP="00BF290F">
            <w:pPr>
              <w:pStyle w:val="ListParagraph"/>
              <w:widowControl/>
              <w:numPr>
                <w:ilvl w:val="0"/>
                <w:numId w:val="33"/>
              </w:numPr>
              <w:shd w:val="clear" w:color="auto" w:fill="F2F2F2" w:themeFill="background1" w:themeFillShade="F2"/>
              <w:rPr>
                <w:color w:val="808080" w:themeColor="background1" w:themeShade="80"/>
              </w:rPr>
            </w:pPr>
            <w:r w:rsidRPr="001D44F0">
              <w:rPr>
                <w:color w:val="808080" w:themeColor="background1" w:themeShade="80"/>
              </w:rPr>
              <w:t>Limit intake of foods and drinks containing added sugars such as confectionary, sugar-sweetened soft drinks and cordials, fruit drinks, vitamin waters, energy and</w:t>
            </w:r>
            <w:r w:rsidRPr="001D44F0">
              <w:rPr>
                <w:color w:val="808080" w:themeColor="background1" w:themeShade="80"/>
              </w:rPr>
              <w:br/>
              <w:t>sports drinks</w:t>
            </w:r>
          </w:p>
          <w:p w:rsidR="00BF290F" w:rsidRPr="001D44F0" w:rsidRDefault="00BF290F" w:rsidP="00BF290F">
            <w:pPr>
              <w:pStyle w:val="ListParagraph"/>
              <w:widowControl/>
              <w:numPr>
                <w:ilvl w:val="0"/>
                <w:numId w:val="33"/>
              </w:numPr>
              <w:shd w:val="clear" w:color="auto" w:fill="F2F2F2" w:themeFill="background1" w:themeFillShade="F2"/>
              <w:spacing w:before="72" w:after="72"/>
              <w:rPr>
                <w:color w:val="808080" w:themeColor="background1" w:themeShade="80"/>
              </w:rPr>
            </w:pPr>
            <w:r w:rsidRPr="001D44F0">
              <w:rPr>
                <w:color w:val="808080" w:themeColor="background1" w:themeShade="80"/>
              </w:rPr>
              <w:t>If you choose to drink alcohol, limit intake. For women who are pregnant, planning a pregnancy or breastfeeding, not drinking alcohol is the safest option.</w:t>
            </w:r>
          </w:p>
          <w:p w:rsidR="00BF290F" w:rsidRPr="001D44F0" w:rsidRDefault="00BF290F" w:rsidP="00BF290F">
            <w:pPr>
              <w:shd w:val="clear" w:color="auto" w:fill="F2F2F2" w:themeFill="background1" w:themeFillShade="F2"/>
              <w:rPr>
                <w:b/>
                <w:color w:val="808080" w:themeColor="background1" w:themeShade="80"/>
              </w:rPr>
            </w:pPr>
            <w:bookmarkStart w:id="26" w:name="Guideline_4"/>
            <w:bookmarkEnd w:id="26"/>
          </w:p>
          <w:p w:rsidR="00BF290F" w:rsidRPr="001D44F0" w:rsidRDefault="00BF290F" w:rsidP="00BF290F">
            <w:pPr>
              <w:shd w:val="clear" w:color="auto" w:fill="F2F2F2" w:themeFill="background1" w:themeFillShade="F2"/>
              <w:rPr>
                <w:b/>
                <w:color w:val="808080" w:themeColor="background1" w:themeShade="80"/>
              </w:rPr>
            </w:pPr>
            <w:r w:rsidRPr="001D44F0">
              <w:rPr>
                <w:b/>
                <w:color w:val="808080" w:themeColor="background1" w:themeShade="80"/>
              </w:rPr>
              <w:t>Guideline 4: Encourage, support and promote breastfeeding</w:t>
            </w:r>
            <w:bookmarkStart w:id="27" w:name="Guideline_5"/>
            <w:bookmarkEnd w:id="27"/>
          </w:p>
          <w:p w:rsidR="00BF290F" w:rsidRPr="001D44F0" w:rsidRDefault="00BF290F" w:rsidP="00BF290F">
            <w:pPr>
              <w:shd w:val="clear" w:color="auto" w:fill="F2F2F2" w:themeFill="background1" w:themeFillShade="F2"/>
              <w:rPr>
                <w:b/>
                <w:color w:val="808080" w:themeColor="background1" w:themeShade="80"/>
              </w:rPr>
            </w:pPr>
          </w:p>
          <w:p w:rsidR="00BF290F" w:rsidRPr="001D44F0" w:rsidRDefault="00BF290F" w:rsidP="00BF290F">
            <w:pPr>
              <w:shd w:val="clear" w:color="auto" w:fill="F2F2F2" w:themeFill="background1" w:themeFillShade="F2"/>
            </w:pPr>
            <w:r w:rsidRPr="001D44F0">
              <w:rPr>
                <w:b/>
                <w:color w:val="808080" w:themeColor="background1" w:themeShade="80"/>
              </w:rPr>
              <w:t>Guideline 5: Care for your food; prepare and store it safely</w:t>
            </w:r>
          </w:p>
          <w:p w:rsidR="00BF290F" w:rsidRDefault="00BF290F" w:rsidP="00E84CE2">
            <w:pPr>
              <w:rPr>
                <w:b/>
                <w:color w:val="808080" w:themeColor="background1" w:themeShade="80"/>
                <w:sz w:val="26"/>
                <w:szCs w:val="26"/>
              </w:rPr>
            </w:pPr>
          </w:p>
        </w:tc>
      </w:tr>
    </w:tbl>
    <w:p w:rsidR="001866DB" w:rsidRDefault="001866DB" w:rsidP="006E4621"/>
    <w:p w:rsidR="005927C1" w:rsidRDefault="005927C1">
      <w:pPr>
        <w:widowControl/>
        <w:spacing w:after="200" w:line="276" w:lineRule="auto"/>
      </w:pPr>
      <w:r>
        <w:br w:type="page"/>
      </w:r>
    </w:p>
    <w:p w:rsidR="008F53D0" w:rsidRPr="002B4DDD" w:rsidRDefault="008F53D0" w:rsidP="008F53D0">
      <w:pPr>
        <w:pStyle w:val="Heading2"/>
      </w:pPr>
      <w:bookmarkStart w:id="28" w:name="_Toc462049321"/>
      <w:r w:rsidRPr="002B4DDD">
        <w:lastRenderedPageBreak/>
        <w:t xml:space="preserve">Strategic </w:t>
      </w:r>
      <w:r>
        <w:t>d</w:t>
      </w:r>
      <w:r w:rsidRPr="002B4DDD">
        <w:t>irections for healthier eating in WA</w:t>
      </w:r>
      <w:bookmarkEnd w:id="19"/>
      <w:bookmarkEnd w:id="28"/>
    </w:p>
    <w:p w:rsidR="008F53D0" w:rsidRDefault="008F53D0" w:rsidP="008F53D0"/>
    <w:tbl>
      <w:tblPr>
        <w:tblStyle w:val="TableGrid"/>
        <w:tblW w:w="0" w:type="auto"/>
        <w:tblLook w:val="04A0" w:firstRow="1" w:lastRow="0" w:firstColumn="1" w:lastColumn="0" w:noHBand="0" w:noVBand="1"/>
      </w:tblPr>
      <w:tblGrid>
        <w:gridCol w:w="9242"/>
      </w:tblGrid>
      <w:tr w:rsidR="008F53D0" w:rsidRPr="00B81B3D" w:rsidTr="00051965">
        <w:trPr>
          <w:trHeight w:val="384"/>
        </w:trPr>
        <w:tc>
          <w:tcPr>
            <w:tcW w:w="9242" w:type="dxa"/>
            <w:shd w:val="clear" w:color="auto" w:fill="808080" w:themeFill="background1" w:themeFillShade="80"/>
          </w:tcPr>
          <w:p w:rsidR="008F53D0" w:rsidRPr="00B81B3D" w:rsidRDefault="008F53D0" w:rsidP="00B81B3D">
            <w:pPr>
              <w:rPr>
                <w:b/>
                <w:color w:val="FFFFFF" w:themeColor="background1"/>
              </w:rPr>
            </w:pPr>
            <w:r w:rsidRPr="00B81B3D">
              <w:rPr>
                <w:b/>
                <w:color w:val="FFFFFF" w:themeColor="background1"/>
              </w:rPr>
              <w:t xml:space="preserve">Healthy policies </w:t>
            </w:r>
          </w:p>
        </w:tc>
      </w:tr>
      <w:tr w:rsidR="008F53D0" w:rsidTr="006D0C8F">
        <w:tc>
          <w:tcPr>
            <w:tcW w:w="9242" w:type="dxa"/>
          </w:tcPr>
          <w:p w:rsidR="008F53D0" w:rsidRPr="004A4555" w:rsidRDefault="00995174" w:rsidP="00CE2FEF">
            <w:pPr>
              <w:pStyle w:val="ListParagraph"/>
              <w:numPr>
                <w:ilvl w:val="0"/>
                <w:numId w:val="12"/>
              </w:numPr>
            </w:pPr>
            <w:r>
              <w:t>Encourage</w:t>
            </w:r>
            <w:r w:rsidR="001F19CA">
              <w:t>, shape</w:t>
            </w:r>
            <w:r>
              <w:t xml:space="preserve"> and s</w:t>
            </w:r>
            <w:r w:rsidR="008F53D0" w:rsidRPr="004A4555">
              <w:t xml:space="preserve">upport the development and implementation of </w:t>
            </w:r>
            <w:r w:rsidR="005F6849">
              <w:t>public policies across the food system</w:t>
            </w:r>
            <w:r w:rsidR="00E05D33" w:rsidRPr="004A4555">
              <w:rPr>
                <w:rStyle w:val="FootnoteReference"/>
                <w:rFonts w:eastAsiaTheme="minorEastAsia"/>
              </w:rPr>
              <w:footnoteReference w:id="4"/>
            </w:r>
            <w:r w:rsidR="005F6849">
              <w:t xml:space="preserve"> </w:t>
            </w:r>
            <w:r w:rsidR="001E406F">
              <w:t>to improve the availability and accessibility of healthy foods and reduce that of less health</w:t>
            </w:r>
            <w:r w:rsidR="00786AC0">
              <w:t>y</w:t>
            </w:r>
            <w:r w:rsidR="001E406F">
              <w:t xml:space="preserve"> foods</w:t>
            </w:r>
          </w:p>
          <w:p w:rsidR="008F53D0" w:rsidRPr="004A4555" w:rsidRDefault="008F53D0" w:rsidP="00CE2FEF">
            <w:pPr>
              <w:pStyle w:val="ListParagraph"/>
              <w:numPr>
                <w:ilvl w:val="0"/>
                <w:numId w:val="12"/>
              </w:numPr>
            </w:pPr>
            <w:r w:rsidRPr="004A4555">
              <w:t>Encourage and support the development and implementation of food and nutrition policies within key settings</w:t>
            </w:r>
          </w:p>
          <w:p w:rsidR="008F53D0" w:rsidRPr="005F53E5" w:rsidRDefault="008F53D0" w:rsidP="00C345E7">
            <w:pPr>
              <w:pStyle w:val="ListParagraph"/>
              <w:numPr>
                <w:ilvl w:val="0"/>
                <w:numId w:val="12"/>
              </w:numPr>
            </w:pPr>
            <w:r w:rsidRPr="004A4555">
              <w:t>Strengthen and elevate the priority o</w:t>
            </w:r>
            <w:r>
              <w:t>f</w:t>
            </w:r>
            <w:r w:rsidRPr="004A4555">
              <w:t xml:space="preserve"> breastfeeding policies</w:t>
            </w:r>
            <w:r w:rsidR="00E02C11">
              <w:t>, including support for breastfeeding mothers,</w:t>
            </w:r>
            <w:r w:rsidRPr="004A4555">
              <w:t xml:space="preserve"> in health services, child care services, </w:t>
            </w:r>
            <w:r>
              <w:t>workplaces and community venues</w:t>
            </w:r>
          </w:p>
        </w:tc>
      </w:tr>
      <w:tr w:rsidR="008F53D0" w:rsidTr="00051965">
        <w:tc>
          <w:tcPr>
            <w:tcW w:w="9242" w:type="dxa"/>
            <w:shd w:val="clear" w:color="auto" w:fill="808080" w:themeFill="background1" w:themeFillShade="80"/>
          </w:tcPr>
          <w:p w:rsidR="008F53D0" w:rsidRPr="005F53E5" w:rsidRDefault="008F53D0" w:rsidP="00B81B3D">
            <w:r w:rsidRPr="00B81B3D">
              <w:rPr>
                <w:b/>
                <w:color w:val="FFFFFF" w:themeColor="background1"/>
              </w:rPr>
              <w:t>Legislation and regulation</w:t>
            </w:r>
          </w:p>
        </w:tc>
      </w:tr>
      <w:tr w:rsidR="008F53D0" w:rsidTr="006D0C8F">
        <w:tc>
          <w:tcPr>
            <w:tcW w:w="9242" w:type="dxa"/>
          </w:tcPr>
          <w:p w:rsidR="008F53D0" w:rsidRPr="005F53E5" w:rsidRDefault="008F53D0" w:rsidP="00CE2FEF">
            <w:pPr>
              <w:pStyle w:val="ListParagraph"/>
              <w:numPr>
                <w:ilvl w:val="0"/>
                <w:numId w:val="12"/>
              </w:numPr>
            </w:pPr>
            <w:r w:rsidRPr="005F53E5">
              <w:t xml:space="preserve">Support food regulation to protect and promote public health consistent with the </w:t>
            </w:r>
            <w:r w:rsidRPr="004A4555">
              <w:rPr>
                <w:i/>
              </w:rPr>
              <w:t>Australian Dietary Guidelines</w:t>
            </w:r>
          </w:p>
          <w:p w:rsidR="008F53D0" w:rsidRPr="005F53E5" w:rsidRDefault="008F53D0" w:rsidP="00CE2FEF">
            <w:pPr>
              <w:pStyle w:val="ListParagraph"/>
              <w:numPr>
                <w:ilvl w:val="0"/>
                <w:numId w:val="12"/>
              </w:numPr>
            </w:pPr>
            <w:r w:rsidRPr="005F53E5">
              <w:t>Support food regulation to improve the nutrition content of food products through reformulation and portion control; and assist consumer</w:t>
            </w:r>
            <w:r w:rsidR="001125AC">
              <w:t>s to make informed food choices</w:t>
            </w:r>
          </w:p>
          <w:p w:rsidR="00A0460B" w:rsidRPr="005F53E5" w:rsidRDefault="008F53D0" w:rsidP="00F70540">
            <w:pPr>
              <w:pStyle w:val="ListParagraph"/>
              <w:numPr>
                <w:ilvl w:val="0"/>
                <w:numId w:val="12"/>
              </w:numPr>
            </w:pPr>
            <w:r w:rsidRPr="005F53E5">
              <w:t xml:space="preserve">Support regulations and policy to ensure </w:t>
            </w:r>
            <w:r w:rsidR="00B87037">
              <w:t xml:space="preserve">that </w:t>
            </w:r>
            <w:r w:rsidRPr="005F53E5">
              <w:t xml:space="preserve">food advertising and promotion is not </w:t>
            </w:r>
            <w:r w:rsidR="00D06A83">
              <w:t>misleading or deceptive</w:t>
            </w:r>
            <w:r w:rsidRPr="005F53E5">
              <w:t>, and to reduce exposure to the marketing and promotion of ultra-processed discretionary foods and d</w:t>
            </w:r>
            <w:r>
              <w:t xml:space="preserve">rinks, particularly </w:t>
            </w:r>
            <w:r w:rsidR="007736B1">
              <w:t>to</w:t>
            </w:r>
            <w:r>
              <w:t xml:space="preserve"> children</w:t>
            </w:r>
          </w:p>
        </w:tc>
      </w:tr>
      <w:tr w:rsidR="008F53D0" w:rsidTr="00051965">
        <w:tc>
          <w:tcPr>
            <w:tcW w:w="9242" w:type="dxa"/>
            <w:shd w:val="clear" w:color="auto" w:fill="808080" w:themeFill="background1" w:themeFillShade="80"/>
          </w:tcPr>
          <w:p w:rsidR="008F53D0" w:rsidRPr="005F53E5" w:rsidRDefault="008F53D0" w:rsidP="00B81B3D">
            <w:r w:rsidRPr="00B81B3D">
              <w:rPr>
                <w:b/>
                <w:color w:val="FFFFFF" w:themeColor="background1"/>
              </w:rPr>
              <w:t>Economic interventions</w:t>
            </w:r>
          </w:p>
        </w:tc>
      </w:tr>
      <w:tr w:rsidR="008F53D0" w:rsidTr="006D0C8F">
        <w:tc>
          <w:tcPr>
            <w:tcW w:w="9242" w:type="dxa"/>
          </w:tcPr>
          <w:p w:rsidR="00E02C11" w:rsidRDefault="00747CFA" w:rsidP="00E02C11">
            <w:pPr>
              <w:pStyle w:val="ListParagraph"/>
              <w:numPr>
                <w:ilvl w:val="0"/>
                <w:numId w:val="10"/>
              </w:numPr>
            </w:pPr>
            <w:r w:rsidRPr="00E02C11">
              <w:t>Investigate and consider</w:t>
            </w:r>
            <w:r w:rsidR="008F53D0" w:rsidRPr="00E02C11">
              <w:t xml:space="preserve"> fiscal policies </w:t>
            </w:r>
            <w:r w:rsidRPr="00E02C11">
              <w:t xml:space="preserve">with potential to </w:t>
            </w:r>
            <w:r w:rsidR="001A1A5C" w:rsidRPr="00E02C11">
              <w:t>increase</w:t>
            </w:r>
            <w:r w:rsidR="009D791F" w:rsidRPr="00E02C11">
              <w:t xml:space="preserve"> the consumption of</w:t>
            </w:r>
            <w:r w:rsidR="008F53D0" w:rsidRPr="00E02C11">
              <w:t xml:space="preserve"> healthy foods</w:t>
            </w:r>
            <w:r w:rsidR="001A1A5C" w:rsidRPr="00E02C11">
              <w:t>, and improve the availability and accessibility of health</w:t>
            </w:r>
            <w:r w:rsidR="00786AC0" w:rsidRPr="00E02C11">
              <w:t>y</w:t>
            </w:r>
            <w:r w:rsidR="001A1A5C" w:rsidRPr="00E02C11">
              <w:t xml:space="preserve"> food</w:t>
            </w:r>
            <w:r w:rsidR="00786AC0" w:rsidRPr="00E02C11">
              <w:t>s</w:t>
            </w:r>
            <w:r w:rsidR="001A1A5C" w:rsidRPr="00E02C11">
              <w:t xml:space="preserve"> and reduce that of less healthy foods</w:t>
            </w:r>
          </w:p>
          <w:p w:rsidR="00B04323" w:rsidRPr="00E02C11" w:rsidRDefault="00B04323" w:rsidP="00D854A9">
            <w:pPr>
              <w:pStyle w:val="ListParagraph"/>
              <w:numPr>
                <w:ilvl w:val="0"/>
                <w:numId w:val="10"/>
              </w:numPr>
            </w:pPr>
            <w:r w:rsidRPr="00E02C11">
              <w:t>Reinforce the health and economic benefits of breastfeeding, a</w:t>
            </w:r>
            <w:r w:rsidR="00D854A9">
              <w:t>nd investigate</w:t>
            </w:r>
            <w:r w:rsidR="004355E7" w:rsidRPr="00E02C11">
              <w:t xml:space="preserve"> </w:t>
            </w:r>
            <w:r w:rsidRPr="00E02C11">
              <w:t>fiscal policies that support breastfeeding mothers</w:t>
            </w:r>
            <w:r w:rsidR="00577232" w:rsidRPr="00E02C11">
              <w:t xml:space="preserve"> </w:t>
            </w:r>
          </w:p>
        </w:tc>
      </w:tr>
      <w:tr w:rsidR="008F53D0" w:rsidTr="00051965">
        <w:tc>
          <w:tcPr>
            <w:tcW w:w="9242" w:type="dxa"/>
            <w:shd w:val="clear" w:color="auto" w:fill="808080" w:themeFill="background1" w:themeFillShade="80"/>
          </w:tcPr>
          <w:p w:rsidR="008F53D0" w:rsidRPr="005F53E5" w:rsidRDefault="008F53D0" w:rsidP="00B81B3D">
            <w:r w:rsidRPr="00B81B3D">
              <w:rPr>
                <w:b/>
                <w:color w:val="FFFFFF" w:themeColor="background1"/>
              </w:rPr>
              <w:t>Supportive environments</w:t>
            </w:r>
          </w:p>
        </w:tc>
      </w:tr>
      <w:tr w:rsidR="008F53D0" w:rsidTr="006D0C8F">
        <w:tc>
          <w:tcPr>
            <w:tcW w:w="9242" w:type="dxa"/>
          </w:tcPr>
          <w:p w:rsidR="008F53D0" w:rsidRPr="005F53E5" w:rsidRDefault="008F53D0" w:rsidP="00CE2FEF">
            <w:pPr>
              <w:pStyle w:val="ListParagraph"/>
              <w:numPr>
                <w:ilvl w:val="0"/>
                <w:numId w:val="10"/>
              </w:numPr>
            </w:pPr>
            <w:r w:rsidRPr="005F53E5">
              <w:t>Work with key food system stakeholders to improve the availability, relative affordability, acceptability an</w:t>
            </w:r>
            <w:r>
              <w:t>d promotion of nutritious foods</w:t>
            </w:r>
          </w:p>
          <w:p w:rsidR="008F53D0" w:rsidRPr="005F53E5" w:rsidRDefault="008F53D0" w:rsidP="00CE2FEF">
            <w:pPr>
              <w:pStyle w:val="ListParagraph"/>
              <w:numPr>
                <w:ilvl w:val="0"/>
                <w:numId w:val="10"/>
              </w:numPr>
            </w:pPr>
            <w:r w:rsidRPr="005F53E5">
              <w:t>Work across government and key sectors to influence planning to ensure urban design promotes and supp</w:t>
            </w:r>
            <w:r>
              <w:t>orts healthy dietary patterns</w:t>
            </w:r>
          </w:p>
          <w:p w:rsidR="008F53D0" w:rsidRPr="005F53E5" w:rsidRDefault="008F53D0" w:rsidP="00CE2FEF">
            <w:pPr>
              <w:pStyle w:val="ListParagraph"/>
              <w:numPr>
                <w:ilvl w:val="0"/>
                <w:numId w:val="10"/>
              </w:numPr>
            </w:pPr>
            <w:r w:rsidRPr="005F53E5">
              <w:t xml:space="preserve">Facilitate the creation of health-promoting environments that encourage healthy dietary patterns and </w:t>
            </w:r>
            <w:r w:rsidR="007116BD">
              <w:t xml:space="preserve">support </w:t>
            </w:r>
            <w:r w:rsidRPr="005F53E5">
              <w:t>breastfeeding in key settings</w:t>
            </w:r>
          </w:p>
          <w:p w:rsidR="008F53D0" w:rsidRPr="005F53E5" w:rsidRDefault="008F53D0" w:rsidP="00CE2FEF">
            <w:pPr>
              <w:pStyle w:val="ListParagraph"/>
              <w:numPr>
                <w:ilvl w:val="0"/>
                <w:numId w:val="10"/>
              </w:numPr>
            </w:pPr>
            <w:r w:rsidRPr="005F53E5">
              <w:t>Support and implement initiatives that limit exposure to the marketing</w:t>
            </w:r>
            <w:r w:rsidR="007116BD">
              <w:t xml:space="preserve"> and promotion</w:t>
            </w:r>
            <w:r w:rsidRPr="005F53E5">
              <w:t xml:space="preserve"> of ultra-processed discretionary food and drinks, and encourage promotion of healthy products</w:t>
            </w:r>
          </w:p>
          <w:p w:rsidR="008F53D0" w:rsidRPr="005F53E5" w:rsidRDefault="008F53D0" w:rsidP="00CE2FEF">
            <w:pPr>
              <w:pStyle w:val="ListParagraph"/>
              <w:numPr>
                <w:ilvl w:val="0"/>
                <w:numId w:val="10"/>
              </w:numPr>
            </w:pPr>
            <w:r w:rsidRPr="005F53E5">
              <w:t>Investigate, develop and implement effective strategies to improve access to quality, affordable nutriti</w:t>
            </w:r>
            <w:r>
              <w:t>ous foods to ensure food equity</w:t>
            </w:r>
          </w:p>
        </w:tc>
      </w:tr>
      <w:tr w:rsidR="008F53D0" w:rsidTr="00051965">
        <w:tc>
          <w:tcPr>
            <w:tcW w:w="9242" w:type="dxa"/>
            <w:shd w:val="clear" w:color="auto" w:fill="808080" w:themeFill="background1" w:themeFillShade="80"/>
          </w:tcPr>
          <w:p w:rsidR="008F53D0" w:rsidRPr="005F53E5" w:rsidRDefault="008F53D0" w:rsidP="00B81B3D">
            <w:r w:rsidRPr="00B81B3D">
              <w:rPr>
                <w:b/>
                <w:color w:val="FFFFFF" w:themeColor="background1"/>
              </w:rPr>
              <w:t xml:space="preserve">Public awareness and engagement </w:t>
            </w:r>
          </w:p>
        </w:tc>
      </w:tr>
      <w:tr w:rsidR="008F53D0" w:rsidTr="006D0C8F">
        <w:tc>
          <w:tcPr>
            <w:tcW w:w="9242" w:type="dxa"/>
          </w:tcPr>
          <w:p w:rsidR="008F53D0" w:rsidRPr="005F53E5" w:rsidRDefault="008F53D0" w:rsidP="00CE2FEF">
            <w:pPr>
              <w:pStyle w:val="ListParagraph"/>
              <w:numPr>
                <w:ilvl w:val="0"/>
                <w:numId w:val="10"/>
              </w:numPr>
            </w:pPr>
            <w:r w:rsidRPr="005F53E5">
              <w:t>Invest in sustained, high quality statewide public education campaigns and programs that increase awareness, skills, beliefs and attitudes regarding a healthy dietary pattern</w:t>
            </w:r>
          </w:p>
          <w:p w:rsidR="008F53D0" w:rsidRPr="005F53E5" w:rsidRDefault="008F53D0" w:rsidP="00CE2FEF">
            <w:pPr>
              <w:pStyle w:val="ListParagraph"/>
              <w:numPr>
                <w:ilvl w:val="0"/>
                <w:numId w:val="10"/>
              </w:numPr>
            </w:pPr>
            <w:r w:rsidRPr="005F53E5">
              <w:lastRenderedPageBreak/>
              <w:t>Increase access to reliable, practical, culturally-appropriate nutrition information about the healthy eating patterns needed at all</w:t>
            </w:r>
            <w:r>
              <w:t xml:space="preserve"> stages of life for good health</w:t>
            </w:r>
            <w:r w:rsidRPr="005F53E5">
              <w:t xml:space="preserve"> </w:t>
            </w:r>
          </w:p>
        </w:tc>
      </w:tr>
      <w:tr w:rsidR="008F53D0" w:rsidTr="00051965">
        <w:tc>
          <w:tcPr>
            <w:tcW w:w="9242" w:type="dxa"/>
            <w:shd w:val="clear" w:color="auto" w:fill="808080" w:themeFill="background1" w:themeFillShade="80"/>
          </w:tcPr>
          <w:p w:rsidR="008F53D0" w:rsidRPr="005F53E5" w:rsidRDefault="008F53D0" w:rsidP="00B81B3D">
            <w:r w:rsidRPr="00B81B3D">
              <w:rPr>
                <w:b/>
                <w:color w:val="FFFFFF" w:themeColor="background1"/>
              </w:rPr>
              <w:lastRenderedPageBreak/>
              <w:t>Community development</w:t>
            </w:r>
          </w:p>
        </w:tc>
      </w:tr>
      <w:tr w:rsidR="008F53D0" w:rsidTr="006D0C8F">
        <w:tc>
          <w:tcPr>
            <w:tcW w:w="9242" w:type="dxa"/>
          </w:tcPr>
          <w:p w:rsidR="008F53D0" w:rsidRPr="00354697" w:rsidRDefault="008F53D0" w:rsidP="00CE2FEF">
            <w:pPr>
              <w:pStyle w:val="ListParagraph"/>
              <w:numPr>
                <w:ilvl w:val="0"/>
                <w:numId w:val="11"/>
              </w:numPr>
            </w:pPr>
            <w:r w:rsidRPr="00354697">
              <w:t xml:space="preserve">Engage with the community and key stakeholders, including </w:t>
            </w:r>
            <w:r w:rsidR="00DA7849">
              <w:t>L</w:t>
            </w:r>
            <w:r w:rsidRPr="00354697">
              <w:t xml:space="preserve">ocal </w:t>
            </w:r>
            <w:r w:rsidR="00DA7849">
              <w:t>G</w:t>
            </w:r>
            <w:r w:rsidRPr="00354697">
              <w:t>overnment</w:t>
            </w:r>
            <w:r w:rsidR="00DA7849">
              <w:t>s</w:t>
            </w:r>
            <w:r w:rsidRPr="00354697">
              <w:t>, to identify and prioritise actions that support healthy dietary patterns</w:t>
            </w:r>
            <w:r w:rsidR="00304C7A">
              <w:t xml:space="preserve"> and community food security</w:t>
            </w:r>
          </w:p>
          <w:p w:rsidR="008F53D0" w:rsidRPr="005F53E5" w:rsidRDefault="00304C7A" w:rsidP="00CE2FEF">
            <w:pPr>
              <w:pStyle w:val="ListParagraph"/>
              <w:numPr>
                <w:ilvl w:val="0"/>
                <w:numId w:val="11"/>
              </w:numPr>
            </w:pPr>
            <w:r>
              <w:t xml:space="preserve">Work with Local Governments to develop Local Public </w:t>
            </w:r>
            <w:r w:rsidR="0097174E">
              <w:t xml:space="preserve">Health </w:t>
            </w:r>
            <w:r>
              <w:t>Plans which include support for healthier eating</w:t>
            </w:r>
          </w:p>
        </w:tc>
      </w:tr>
      <w:tr w:rsidR="008F53D0" w:rsidTr="00051965">
        <w:tc>
          <w:tcPr>
            <w:tcW w:w="9242" w:type="dxa"/>
            <w:shd w:val="clear" w:color="auto" w:fill="808080" w:themeFill="background1" w:themeFillShade="80"/>
          </w:tcPr>
          <w:p w:rsidR="008F53D0" w:rsidRPr="005F53E5" w:rsidRDefault="008F53D0" w:rsidP="00E04212">
            <w:r w:rsidRPr="00B81B3D">
              <w:rPr>
                <w:b/>
                <w:color w:val="FFFFFF" w:themeColor="background1"/>
              </w:rPr>
              <w:t>Targeted interventions</w:t>
            </w:r>
          </w:p>
        </w:tc>
      </w:tr>
      <w:tr w:rsidR="008F53D0" w:rsidTr="006D0C8F">
        <w:tc>
          <w:tcPr>
            <w:tcW w:w="9242" w:type="dxa"/>
          </w:tcPr>
          <w:p w:rsidR="008F53D0" w:rsidRPr="005F53E5" w:rsidRDefault="008F53D0" w:rsidP="00CE2FEF">
            <w:pPr>
              <w:pStyle w:val="ListParagraph"/>
              <w:numPr>
                <w:ilvl w:val="0"/>
                <w:numId w:val="13"/>
              </w:numPr>
            </w:pPr>
            <w:r w:rsidRPr="005F53E5">
              <w:t>Support initiatives that increase the availability, accessibility and affordability of nutritious food, particularly among those groups mo</w:t>
            </w:r>
            <w:r>
              <w:t>st vulnerable to poor nutrition</w:t>
            </w:r>
          </w:p>
          <w:p w:rsidR="008F53D0" w:rsidRPr="00B06DCC" w:rsidRDefault="008F53D0" w:rsidP="00CE2FEF">
            <w:pPr>
              <w:pStyle w:val="ListParagraph"/>
              <w:numPr>
                <w:ilvl w:val="0"/>
                <w:numId w:val="13"/>
              </w:numPr>
            </w:pPr>
            <w:r w:rsidRPr="005F53E5">
              <w:t xml:space="preserve">Invest in programs that increase food and nutrition knowledge and skills of </w:t>
            </w:r>
            <w:r w:rsidRPr="00B06DCC">
              <w:t>parents, children and other groups mo</w:t>
            </w:r>
            <w:r>
              <w:t>st vulnerable to poor nutrition</w:t>
            </w:r>
          </w:p>
          <w:p w:rsidR="00D453BE" w:rsidRDefault="00D453BE" w:rsidP="00CE2FEF">
            <w:pPr>
              <w:pStyle w:val="ListParagraph"/>
              <w:numPr>
                <w:ilvl w:val="0"/>
                <w:numId w:val="13"/>
              </w:numPr>
            </w:pPr>
            <w:r>
              <w:t xml:space="preserve">Integrate messages about </w:t>
            </w:r>
            <w:r w:rsidR="00D854A9">
              <w:t>healthy eating with</w:t>
            </w:r>
            <w:r>
              <w:t xml:space="preserve"> other healthy lifestyle initiatives, and develop links between programs and services which are targeted at specific populations who are more likely to be at risk of poor nutrition</w:t>
            </w:r>
          </w:p>
          <w:p w:rsidR="008F53D0" w:rsidRPr="005F53E5" w:rsidRDefault="008F53D0" w:rsidP="00CE2FEF">
            <w:pPr>
              <w:pStyle w:val="ListParagraph"/>
              <w:numPr>
                <w:ilvl w:val="0"/>
                <w:numId w:val="13"/>
              </w:numPr>
            </w:pPr>
            <w:r w:rsidRPr="005F53E5">
              <w:t>Complement population approaches with targeted programs that are culturally</w:t>
            </w:r>
            <w:r w:rsidR="00EC6A69">
              <w:t>-</w:t>
            </w:r>
            <w:r w:rsidRPr="005F53E5">
              <w:t xml:space="preserve"> appropriate and or meet the needs of those at higher risk of poor nutrition (such as pregnant women and new mothers, adolescents, Aboriginal people and C</w:t>
            </w:r>
            <w:r>
              <w:t>a</w:t>
            </w:r>
            <w:r w:rsidRPr="005F53E5">
              <w:t>L</w:t>
            </w:r>
            <w:r>
              <w:t>D groups with poorer nutrition)</w:t>
            </w:r>
          </w:p>
        </w:tc>
      </w:tr>
      <w:tr w:rsidR="008F53D0" w:rsidTr="00051965">
        <w:tc>
          <w:tcPr>
            <w:tcW w:w="9242" w:type="dxa"/>
            <w:shd w:val="clear" w:color="auto" w:fill="808080" w:themeFill="background1" w:themeFillShade="80"/>
          </w:tcPr>
          <w:p w:rsidR="008F53D0" w:rsidRPr="005F53E5" w:rsidRDefault="008F53D0" w:rsidP="00E04212">
            <w:r w:rsidRPr="00B81B3D">
              <w:rPr>
                <w:b/>
                <w:color w:val="FFFFFF" w:themeColor="background1"/>
              </w:rPr>
              <w:t xml:space="preserve">Strategic coordination, building partnerships and </w:t>
            </w:r>
            <w:r w:rsidR="009A1728" w:rsidRPr="00B81B3D">
              <w:rPr>
                <w:b/>
                <w:color w:val="FFFFFF" w:themeColor="background1"/>
              </w:rPr>
              <w:t>workforce development</w:t>
            </w:r>
          </w:p>
        </w:tc>
      </w:tr>
      <w:tr w:rsidR="008F53D0" w:rsidTr="006D0C8F">
        <w:tc>
          <w:tcPr>
            <w:tcW w:w="9242" w:type="dxa"/>
          </w:tcPr>
          <w:p w:rsidR="008F53D0" w:rsidRPr="005F53E5" w:rsidRDefault="008F53D0" w:rsidP="00010F00">
            <w:pPr>
              <w:pStyle w:val="ListParagraph"/>
              <w:numPr>
                <w:ilvl w:val="0"/>
                <w:numId w:val="13"/>
              </w:numPr>
            </w:pPr>
            <w:r w:rsidRPr="005F53E5">
              <w:t xml:space="preserve">Strengthen existing and develop new </w:t>
            </w:r>
            <w:r w:rsidR="00D05B08">
              <w:t>partnerships across all sectors to ensure a comprehensive, consistent and effective approach to</w:t>
            </w:r>
            <w:r w:rsidRPr="005F53E5">
              <w:t xml:space="preserve"> promot</w:t>
            </w:r>
            <w:r w:rsidR="00D05B08">
              <w:t>ing</w:t>
            </w:r>
            <w:r w:rsidRPr="005F53E5">
              <w:t xml:space="preserve"> </w:t>
            </w:r>
            <w:r>
              <w:t>healthy eating</w:t>
            </w:r>
          </w:p>
          <w:p w:rsidR="008F53D0" w:rsidRPr="005F53E5" w:rsidRDefault="008F53D0" w:rsidP="00010F00">
            <w:pPr>
              <w:pStyle w:val="ListParagraph"/>
              <w:numPr>
                <w:ilvl w:val="0"/>
                <w:numId w:val="13"/>
              </w:numPr>
            </w:pPr>
            <w:r w:rsidRPr="005F53E5">
              <w:t>Strengthen, upskill and support relevant parts of the workforce (nutrition, public health, food industry and other non-health) to address public health nutrition in their programs</w:t>
            </w:r>
            <w:r>
              <w:t>, services, policies and plans</w:t>
            </w:r>
          </w:p>
          <w:p w:rsidR="008F53D0" w:rsidRPr="005F53E5" w:rsidRDefault="008F53D0" w:rsidP="00010F00">
            <w:pPr>
              <w:pStyle w:val="ListParagraph"/>
              <w:numPr>
                <w:ilvl w:val="0"/>
                <w:numId w:val="13"/>
              </w:numPr>
            </w:pPr>
            <w:r w:rsidRPr="005F53E5">
              <w:t>Continue to collect evidence to inform new approaches and monitor the effectiveness of existing initiatives targetin</w:t>
            </w:r>
            <w:r>
              <w:t>g nutrition and eating patterns</w:t>
            </w:r>
          </w:p>
          <w:p w:rsidR="008F53D0" w:rsidRPr="005F53E5" w:rsidRDefault="008F53D0" w:rsidP="00010F00">
            <w:pPr>
              <w:pStyle w:val="ListParagraph"/>
              <w:numPr>
                <w:ilvl w:val="0"/>
                <w:numId w:val="13"/>
              </w:numPr>
            </w:pPr>
            <w:r w:rsidRPr="005F53E5">
              <w:t>Support continued population monitoring and surveillance of nutrition and food consumption an</w:t>
            </w:r>
            <w:r>
              <w:t>d related environmental factors</w:t>
            </w:r>
            <w:r w:rsidRPr="005F53E5">
              <w:t xml:space="preserve"> </w:t>
            </w:r>
          </w:p>
        </w:tc>
      </w:tr>
    </w:tbl>
    <w:p w:rsidR="008F53D0" w:rsidRDefault="008F53D0" w:rsidP="008F53D0"/>
    <w:p w:rsidR="000A68C8" w:rsidRDefault="000A68C8" w:rsidP="002C1F22">
      <w:pPr>
        <w:rPr>
          <w:rFonts w:eastAsiaTheme="majorEastAsia"/>
        </w:rPr>
      </w:pPr>
      <w:r>
        <w:br w:type="page"/>
      </w:r>
    </w:p>
    <w:p w:rsidR="00DF295F" w:rsidRPr="006A438C" w:rsidRDefault="00DF295F" w:rsidP="00DF295F">
      <w:pPr>
        <w:pStyle w:val="Heading1"/>
      </w:pPr>
      <w:bookmarkStart w:id="29" w:name="_Toc462049322"/>
      <w:r>
        <w:lastRenderedPageBreak/>
        <w:t>A more active WA</w:t>
      </w:r>
      <w:bookmarkEnd w:id="20"/>
      <w:bookmarkEnd w:id="29"/>
      <w:r>
        <w:t xml:space="preserve"> </w:t>
      </w:r>
    </w:p>
    <w:p w:rsidR="00DF295F" w:rsidRPr="00213C69" w:rsidRDefault="00DF295F" w:rsidP="00DF295F">
      <w:pPr>
        <w:rPr>
          <w:i/>
        </w:rPr>
      </w:pPr>
    </w:p>
    <w:p w:rsidR="00BB0F0A" w:rsidRPr="00934C74" w:rsidRDefault="00BB0F0A" w:rsidP="00540459">
      <w:pPr>
        <w:shd w:val="clear" w:color="auto" w:fill="F2F2F2" w:themeFill="background1" w:themeFillShade="F2"/>
        <w:rPr>
          <w:i/>
          <w:iCs/>
          <w:color w:val="808080" w:themeColor="background1" w:themeShade="80"/>
        </w:rPr>
      </w:pPr>
      <w:bookmarkStart w:id="30" w:name="_Toc454180220"/>
      <w:r w:rsidRPr="00934C74">
        <w:rPr>
          <w:i/>
          <w:iCs/>
          <w:color w:val="808080" w:themeColor="background1" w:themeShade="80"/>
        </w:rPr>
        <w:t>“The potential benefits of physical activity to health are huge. If a medication existed which had a similar effect, it would be regarded as a ‘wonder drug’ or ‘miracle cure’”</w:t>
      </w:r>
      <w:r w:rsidR="00A23B21" w:rsidRPr="00934C74">
        <w:rPr>
          <w:i/>
          <w:iCs/>
          <w:color w:val="808080" w:themeColor="background1" w:themeShade="80"/>
        </w:rPr>
        <w:t>—</w:t>
      </w:r>
      <w:r w:rsidR="00FB0C7F" w:rsidRPr="00934C74">
        <w:rPr>
          <w:color w:val="808080" w:themeColor="background1" w:themeShade="80"/>
        </w:rPr>
        <w:t xml:space="preserve">Sir Liam Donaldson, UK </w:t>
      </w:r>
      <w:r w:rsidR="00A23B21" w:rsidRPr="00934C74">
        <w:rPr>
          <w:color w:val="808080" w:themeColor="background1" w:themeShade="80"/>
        </w:rPr>
        <w:t>Chief Medical Officer, 2010</w:t>
      </w:r>
      <w:r w:rsidR="00EF2AD6" w:rsidRPr="00934C74">
        <w:rPr>
          <w:color w:val="808080" w:themeColor="background1" w:themeShade="80"/>
        </w:rPr>
        <w:fldChar w:fldCharType="begin"/>
      </w:r>
      <w:r w:rsidR="005B3C51">
        <w:rPr>
          <w:color w:val="808080" w:themeColor="background1" w:themeShade="80"/>
        </w:rPr>
        <w:instrText xml:space="preserve"> ADDIN EN.CITE &lt;EndNote&gt;&lt;Cite&gt;&lt;Author&gt;Department of Health [UK]&lt;/Author&gt;&lt;Year&gt;2010&lt;/Year&gt;&lt;RecNum&gt;1102&lt;/RecNum&gt;&lt;DisplayText&gt;&lt;style face="superscript"&gt;104&lt;/style&gt;&lt;/DisplayText&gt;&lt;record&gt;&lt;rec-number&gt;1102&lt;/rec-number&gt;&lt;foreign-keys&gt;&lt;key app="EN" db-id="zxa00wf2opvf9oeeset50xz7ezpfwre2v20z"&gt;1102&lt;/key&gt;&lt;/foreign-keys&gt;&lt;ref-type name="Report"&gt;27&lt;/ref-type&gt;&lt;contributors&gt;&lt;authors&gt;&lt;author&gt;Department of Health [UK],&lt;/author&gt;&lt;/authors&gt;&lt;/contributors&gt;&lt;titles&gt;&lt;title&gt;2009 Annual Report of the Chief Medical Officer&lt;/title&gt;&lt;/titles&gt;&lt;dates&gt;&lt;year&gt;2010&lt;/year&gt;&lt;/dates&gt;&lt;pub-location&gt;London&lt;/pub-location&gt;&lt;publisher&gt;Department of Health&lt;/publisher&gt;&lt;urls&gt;&lt;related-urls&gt;&lt;url&gt;http://www.sthc.co.uk/Documents/CMO_Report_2009.pdf?bcsi_scan_c221d61a0ea4ff4c=0&amp;amp;bcsi_scan_filename=CMO_Report_2009.pdf &lt;/url&gt;&lt;/related-urls&gt;&lt;/urls&gt;&lt;/record&gt;&lt;/Cite&gt;&lt;/EndNote&gt;</w:instrText>
      </w:r>
      <w:r w:rsidR="00EF2AD6" w:rsidRPr="00934C74">
        <w:rPr>
          <w:color w:val="808080" w:themeColor="background1" w:themeShade="80"/>
        </w:rPr>
        <w:fldChar w:fldCharType="separate"/>
      </w:r>
      <w:r w:rsidR="005B3C51" w:rsidRPr="005B3C51">
        <w:rPr>
          <w:noProof/>
          <w:color w:val="808080" w:themeColor="background1" w:themeShade="80"/>
          <w:vertAlign w:val="superscript"/>
        </w:rPr>
        <w:t>104</w:t>
      </w:r>
      <w:r w:rsidR="00EF2AD6" w:rsidRPr="00934C74">
        <w:rPr>
          <w:color w:val="808080" w:themeColor="background1" w:themeShade="80"/>
        </w:rPr>
        <w:fldChar w:fldCharType="end"/>
      </w:r>
      <w:r w:rsidR="00A23B21" w:rsidRPr="00934C74">
        <w:rPr>
          <w:color w:val="808080" w:themeColor="background1" w:themeShade="80"/>
        </w:rPr>
        <w:t xml:space="preserve"> </w:t>
      </w:r>
    </w:p>
    <w:p w:rsidR="00BB0F0A" w:rsidRDefault="00BB0F0A" w:rsidP="00BB0F0A">
      <w:pPr>
        <w:rPr>
          <w:rFonts w:ascii="Calibri" w:hAnsi="Calibri"/>
          <w:i/>
          <w:iCs/>
          <w:sz w:val="22"/>
          <w:szCs w:val="22"/>
        </w:rPr>
      </w:pPr>
    </w:p>
    <w:p w:rsidR="00BB0F0A" w:rsidRDefault="00BB0F0A" w:rsidP="00BB0F0A">
      <w:r>
        <w:rPr>
          <w:rFonts w:ascii="Calibri" w:hAnsi="Calibri"/>
          <w:i/>
          <w:iCs/>
          <w:sz w:val="22"/>
          <w:szCs w:val="22"/>
        </w:rPr>
        <w:t> </w:t>
      </w:r>
    </w:p>
    <w:p w:rsidR="00DF295F" w:rsidRDefault="00DF295F" w:rsidP="00DF295F">
      <w:pPr>
        <w:pStyle w:val="Heading2"/>
      </w:pPr>
      <w:bookmarkStart w:id="31" w:name="_Toc462049323"/>
      <w:r w:rsidRPr="006A438C">
        <w:t xml:space="preserve">A snapshot of </w:t>
      </w:r>
      <w:r w:rsidR="00080841">
        <w:t xml:space="preserve">physical </w:t>
      </w:r>
      <w:r>
        <w:t xml:space="preserve">activity and sedentary behaviour in </w:t>
      </w:r>
      <w:bookmarkEnd w:id="30"/>
      <w:r w:rsidR="00BD44DB">
        <w:t>WA</w:t>
      </w:r>
      <w:bookmarkEnd w:id="31"/>
    </w:p>
    <w:p w:rsidR="00DF295F" w:rsidRPr="00563731" w:rsidRDefault="00DF295F" w:rsidP="00DF295F"/>
    <w:p w:rsidR="00DF295F" w:rsidRDefault="00DF295F" w:rsidP="00CE2FEF">
      <w:pPr>
        <w:pStyle w:val="ListParagraph"/>
        <w:numPr>
          <w:ilvl w:val="0"/>
          <w:numId w:val="14"/>
        </w:numPr>
        <w:ind w:left="426"/>
      </w:pPr>
      <w:r w:rsidRPr="006A6AC7">
        <w:t>In 201</w:t>
      </w:r>
      <w:r>
        <w:t>5</w:t>
      </w:r>
      <w:r w:rsidRPr="006A6AC7">
        <w:t xml:space="preserve">, </w:t>
      </w:r>
      <w:r w:rsidR="00333B08">
        <w:t>nearly two-thirds (</w:t>
      </w:r>
      <w:r w:rsidRPr="006A6AC7">
        <w:t>64%</w:t>
      </w:r>
      <w:r w:rsidR="00333B08">
        <w:t>)</w:t>
      </w:r>
      <w:r w:rsidRPr="006A6AC7">
        <w:t xml:space="preserve"> of </w:t>
      </w:r>
      <w:r w:rsidR="008A1D6F">
        <w:t>people</w:t>
      </w:r>
      <w:r w:rsidR="0075243A">
        <w:t xml:space="preserve"> in WA</w:t>
      </w:r>
      <w:r w:rsidRPr="006A6AC7">
        <w:t xml:space="preserve"> aged 18 years and over reported being sufficiently active</w:t>
      </w:r>
      <w:r>
        <w:t xml:space="preserve"> for good health</w:t>
      </w:r>
      <w:r w:rsidRPr="006A6AC7">
        <w:t xml:space="preserve"> (according to </w:t>
      </w:r>
      <w:r w:rsidRPr="00043187">
        <w:rPr>
          <w:i/>
        </w:rPr>
        <w:t xml:space="preserve">Australia’s </w:t>
      </w:r>
      <w:r w:rsidR="000D3308">
        <w:rPr>
          <w:i/>
        </w:rPr>
        <w:t>p</w:t>
      </w:r>
      <w:r w:rsidRPr="00043187">
        <w:rPr>
          <w:i/>
        </w:rPr>
        <w:t xml:space="preserve">hysical </w:t>
      </w:r>
      <w:r w:rsidR="000D3308">
        <w:rPr>
          <w:i/>
        </w:rPr>
        <w:t>a</w:t>
      </w:r>
      <w:r w:rsidRPr="00043187">
        <w:rPr>
          <w:i/>
        </w:rPr>
        <w:t xml:space="preserve">ctivity and </w:t>
      </w:r>
      <w:r w:rsidR="000D3308">
        <w:rPr>
          <w:i/>
        </w:rPr>
        <w:t>s</w:t>
      </w:r>
      <w:r w:rsidRPr="00043187">
        <w:rPr>
          <w:i/>
        </w:rPr>
        <w:t xml:space="preserve">edentary </w:t>
      </w:r>
      <w:r w:rsidR="000D3308">
        <w:rPr>
          <w:i/>
        </w:rPr>
        <w:t>b</w:t>
      </w:r>
      <w:r w:rsidRPr="00043187">
        <w:rPr>
          <w:i/>
        </w:rPr>
        <w:t xml:space="preserve">ehaviour </w:t>
      </w:r>
      <w:r w:rsidR="000D3308">
        <w:rPr>
          <w:i/>
        </w:rPr>
        <w:t>g</w:t>
      </w:r>
      <w:r w:rsidRPr="00043187">
        <w:rPr>
          <w:i/>
        </w:rPr>
        <w:t>uidelines</w:t>
      </w:r>
      <w:r w:rsidR="00043187">
        <w:t>—</w:t>
      </w:r>
      <w:r>
        <w:t xml:space="preserve">Box </w:t>
      </w:r>
      <w:r w:rsidR="00BD7B1F">
        <w:t>9</w:t>
      </w:r>
      <w:r w:rsidR="00271990">
        <w:t>)</w:t>
      </w:r>
      <w:r w:rsidRPr="006A6AC7">
        <w:t>.</w:t>
      </w:r>
      <w:r>
        <w:t xml:space="preserve"> This has increased </w:t>
      </w:r>
      <w:r w:rsidR="00100386">
        <w:t xml:space="preserve">significantly </w:t>
      </w:r>
      <w:r>
        <w:t>since 2007</w:t>
      </w:r>
      <w:r w:rsidR="00D13904">
        <w:t xml:space="preserve"> (56%)</w:t>
      </w:r>
      <w:r w:rsidR="003F3C39">
        <w:t>.</w:t>
      </w:r>
      <w:r w:rsidR="00850472">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50472">
        <w:fldChar w:fldCharType="separate"/>
      </w:r>
      <w:r w:rsidR="009F7E7C" w:rsidRPr="009F7E7C">
        <w:rPr>
          <w:noProof/>
          <w:vertAlign w:val="superscript"/>
        </w:rPr>
        <w:t>20</w:t>
      </w:r>
      <w:r w:rsidR="00850472">
        <w:fldChar w:fldCharType="end"/>
      </w:r>
    </w:p>
    <w:p w:rsidR="00DF295F" w:rsidRDefault="00DF295F" w:rsidP="00B42C21">
      <w:pPr>
        <w:pStyle w:val="ListParagraph"/>
        <w:ind w:left="426"/>
      </w:pPr>
    </w:p>
    <w:p w:rsidR="006D3558" w:rsidRDefault="0075243A" w:rsidP="00E1452E">
      <w:pPr>
        <w:pStyle w:val="ListParagraph"/>
        <w:numPr>
          <w:ilvl w:val="0"/>
          <w:numId w:val="14"/>
        </w:numPr>
        <w:ind w:left="426"/>
      </w:pPr>
      <w:r>
        <w:t>In WA in 2015, m</w:t>
      </w:r>
      <w:r w:rsidR="006A73BF">
        <w:t>ales</w:t>
      </w:r>
      <w:r>
        <w:t xml:space="preserve"> aged 18 and over</w:t>
      </w:r>
      <w:r w:rsidR="006A73BF">
        <w:t xml:space="preserve"> were more likely to be sufficiently active than females (68% compared with 59%).</w:t>
      </w:r>
      <w:r w:rsidR="008817B9">
        <w:fldChar w:fldCharType="begin"/>
      </w:r>
      <w:r w:rsidR="008817B9">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817B9">
        <w:fldChar w:fldCharType="separate"/>
      </w:r>
      <w:r w:rsidR="008817B9" w:rsidRPr="009F7E7C">
        <w:rPr>
          <w:noProof/>
          <w:vertAlign w:val="superscript"/>
        </w:rPr>
        <w:t>20</w:t>
      </w:r>
      <w:r w:rsidR="008817B9">
        <w:fldChar w:fldCharType="end"/>
      </w:r>
    </w:p>
    <w:p w:rsidR="00D13904" w:rsidRDefault="00D13904" w:rsidP="00E1452E">
      <w:pPr>
        <w:pStyle w:val="ListParagraph"/>
        <w:ind w:left="426"/>
      </w:pPr>
    </w:p>
    <w:p w:rsidR="00774087" w:rsidRDefault="00774087" w:rsidP="00E1452E">
      <w:pPr>
        <w:pStyle w:val="ListParagraph"/>
        <w:numPr>
          <w:ilvl w:val="0"/>
          <w:numId w:val="14"/>
        </w:numPr>
        <w:ind w:left="426"/>
      </w:pPr>
      <w:r>
        <w:t>The prevalence of males</w:t>
      </w:r>
      <w:r w:rsidR="008A1D6F">
        <w:t xml:space="preserve"> aged 18 and over who</w:t>
      </w:r>
      <w:r>
        <w:t xml:space="preserve"> me</w:t>
      </w:r>
      <w:r w:rsidR="008A1D6F">
        <w:t>t</w:t>
      </w:r>
      <w:r>
        <w:t xml:space="preserve"> sufficient levels of physical activity in 2015 (68%) was higher than in 2007 (60%). The prevalence of females meeting sufficient levels of physical activity in 2015 (60%) was </w:t>
      </w:r>
      <w:r w:rsidR="008A1D6F">
        <w:t xml:space="preserve">also </w:t>
      </w:r>
      <w:r>
        <w:t>higher than in 2007 (53%).</w:t>
      </w:r>
      <w:r w:rsidR="008817B9">
        <w:fldChar w:fldCharType="begin"/>
      </w:r>
      <w:r w:rsidR="008817B9">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817B9">
        <w:fldChar w:fldCharType="separate"/>
      </w:r>
      <w:r w:rsidR="008817B9" w:rsidRPr="009F7E7C">
        <w:rPr>
          <w:noProof/>
          <w:vertAlign w:val="superscript"/>
        </w:rPr>
        <w:t>20</w:t>
      </w:r>
      <w:r w:rsidR="008817B9">
        <w:fldChar w:fldCharType="end"/>
      </w:r>
    </w:p>
    <w:p w:rsidR="00774087" w:rsidRDefault="00774087" w:rsidP="00E1452E">
      <w:pPr>
        <w:pStyle w:val="ListParagraph"/>
        <w:ind w:left="426"/>
      </w:pPr>
    </w:p>
    <w:p w:rsidR="00DF295F" w:rsidRPr="00813D1B" w:rsidRDefault="00774087" w:rsidP="00E1452E">
      <w:pPr>
        <w:pStyle w:val="ListParagraph"/>
        <w:numPr>
          <w:ilvl w:val="0"/>
          <w:numId w:val="14"/>
        </w:numPr>
        <w:ind w:left="426"/>
      </w:pPr>
      <w:r>
        <w:t xml:space="preserve">One in four </w:t>
      </w:r>
      <w:r w:rsidR="00E3294E">
        <w:t xml:space="preserve">(26%) adults aged 65 years and over reported </w:t>
      </w:r>
      <w:r w:rsidR="00E1452E">
        <w:t xml:space="preserve">doing </w:t>
      </w:r>
      <w:r w:rsidR="00E3294E">
        <w:t xml:space="preserve">no physical activity in </w:t>
      </w:r>
      <w:r w:rsidR="0075243A">
        <w:t>WA</w:t>
      </w:r>
      <w:r w:rsidR="000077A4">
        <w:t xml:space="preserve"> in 2015</w:t>
      </w:r>
      <w:r w:rsidR="00DF295F" w:rsidRPr="008F1C3E">
        <w:t>.</w:t>
      </w:r>
      <w:r w:rsidR="008817B9">
        <w:fldChar w:fldCharType="begin"/>
      </w:r>
      <w:r w:rsidR="008817B9">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817B9">
        <w:fldChar w:fldCharType="separate"/>
      </w:r>
      <w:r w:rsidR="008817B9" w:rsidRPr="009F7E7C">
        <w:rPr>
          <w:noProof/>
          <w:vertAlign w:val="superscript"/>
        </w:rPr>
        <w:t>20</w:t>
      </w:r>
      <w:r w:rsidR="008817B9">
        <w:fldChar w:fldCharType="end"/>
      </w:r>
    </w:p>
    <w:p w:rsidR="00DF295F" w:rsidRDefault="00DF295F" w:rsidP="00B42C21">
      <w:pPr>
        <w:pStyle w:val="ListParagraph"/>
        <w:ind w:left="426"/>
      </w:pPr>
    </w:p>
    <w:p w:rsidR="00DF295F" w:rsidRPr="006A6AC7" w:rsidRDefault="00DF295F" w:rsidP="00CE2FEF">
      <w:pPr>
        <w:pStyle w:val="ListParagraph"/>
        <w:numPr>
          <w:ilvl w:val="0"/>
          <w:numId w:val="14"/>
        </w:numPr>
        <w:ind w:left="426"/>
      </w:pPr>
      <w:r w:rsidRPr="006A6AC7">
        <w:t>In 201</w:t>
      </w:r>
      <w:r>
        <w:t>5</w:t>
      </w:r>
      <w:r w:rsidR="0075243A">
        <w:t xml:space="preserve"> in WA</w:t>
      </w:r>
      <w:r w:rsidR="000077A4">
        <w:t>, 43% of people aged 18 and over</w:t>
      </w:r>
      <w:r w:rsidRPr="006A6AC7">
        <w:t xml:space="preserve"> reported spending most of their day sitting</w:t>
      </w:r>
      <w:r w:rsidR="00100386">
        <w:t>.</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p>
    <w:p w:rsidR="00DF295F" w:rsidRDefault="00DF295F" w:rsidP="00B42C21">
      <w:pPr>
        <w:pStyle w:val="ListParagraph"/>
        <w:ind w:left="426"/>
      </w:pPr>
    </w:p>
    <w:p w:rsidR="00DF295F" w:rsidRPr="00423FA7" w:rsidRDefault="00DF295F" w:rsidP="00CE2FEF">
      <w:pPr>
        <w:pStyle w:val="ListParagraph"/>
        <w:numPr>
          <w:ilvl w:val="0"/>
          <w:numId w:val="14"/>
        </w:numPr>
        <w:ind w:left="426"/>
      </w:pPr>
      <w:r w:rsidRPr="00423FA7">
        <w:t xml:space="preserve">In </w:t>
      </w:r>
      <w:r w:rsidR="0003123F">
        <w:t xml:space="preserve">WA in </w:t>
      </w:r>
      <w:r w:rsidRPr="00423FA7">
        <w:t xml:space="preserve">2015, </w:t>
      </w:r>
      <w:r w:rsidR="00B67D77">
        <w:t xml:space="preserve">38% of </w:t>
      </w:r>
      <w:r w:rsidRPr="00423FA7">
        <w:t>children aged 5</w:t>
      </w:r>
      <w:r w:rsidR="00241B4F" w:rsidRPr="00423FA7">
        <w:t>–</w:t>
      </w:r>
      <w:r w:rsidRPr="00423FA7">
        <w:t>15 years were suff</w:t>
      </w:r>
      <w:r w:rsidR="00B67D77">
        <w:t>iciently active for good health.</w:t>
      </w:r>
      <w:r w:rsidR="0028766D">
        <w:fldChar w:fldCharType="begin"/>
      </w:r>
      <w:r w:rsidR="0028766D">
        <w:instrText xml:space="preserve"> ADDIN EN.CITE &lt;EndNote&gt;&lt;Cite&gt;&lt;Author&gt;Epidemiology Branch&lt;/Author&gt;&lt;Year&gt;2016&lt;/Year&gt;&lt;RecNum&gt;970&lt;/RecNum&gt;&lt;DisplayText&gt;&lt;style face="superscript"&gt;22&lt;/style&gt;&lt;/DisplayText&gt;&lt;record&gt;&lt;rec-number&gt;970&lt;/rec-number&gt;&lt;foreign-keys&gt;&lt;key app="EN" db-id="zxa00wf2opvf9oeeset50xz7ezpfwre2v20z"&gt;970&lt;/key&gt;&lt;/foreign-keys&gt;&lt;ref-type name="Report"&gt;27&lt;/ref-type&gt;&lt;contributors&gt;&lt;authors&gt;&lt;author&gt;Epidemiology Branch,&lt;/author&gt;&lt;/authors&gt;&lt;/contributors&gt;&lt;titles&gt;&lt;title&gt;Lifestyle risk factor and chronic health condition information for WA children and adults, 2002–15, HWSS&lt;/title&gt;&lt;/titles&gt;&lt;dates&gt;&lt;year&gt;2016&lt;/year&gt;&lt;/dates&gt;&lt;pub-location&gt;Perth&lt;/pub-location&gt;&lt;publisher&gt;Department of Health, Western Australia&lt;/publisher&gt;&lt;urls&gt;&lt;/urls&gt;&lt;/record&gt;&lt;/Cite&gt;&lt;/EndNote&gt;</w:instrText>
      </w:r>
      <w:r w:rsidR="0028766D">
        <w:fldChar w:fldCharType="separate"/>
      </w:r>
      <w:r w:rsidR="0028766D" w:rsidRPr="0028766D">
        <w:rPr>
          <w:noProof/>
          <w:vertAlign w:val="superscript"/>
        </w:rPr>
        <w:t>22</w:t>
      </w:r>
      <w:r w:rsidR="0028766D">
        <w:fldChar w:fldCharType="end"/>
      </w:r>
      <w:r w:rsidR="00246B43" w:rsidRPr="00423FA7">
        <w:t xml:space="preserve"> </w:t>
      </w:r>
    </w:p>
    <w:p w:rsidR="00DF295F" w:rsidRPr="00423FA7" w:rsidRDefault="00DF295F" w:rsidP="00B42C21">
      <w:pPr>
        <w:pStyle w:val="ListParagraph"/>
        <w:ind w:left="426"/>
      </w:pPr>
    </w:p>
    <w:p w:rsidR="00DF295F" w:rsidRPr="00423FA7" w:rsidRDefault="00DF295F" w:rsidP="00CE2FEF">
      <w:pPr>
        <w:pStyle w:val="ListParagraph"/>
        <w:numPr>
          <w:ilvl w:val="0"/>
          <w:numId w:val="14"/>
        </w:numPr>
        <w:ind w:left="426"/>
      </w:pPr>
      <w:r w:rsidRPr="00423FA7">
        <w:t xml:space="preserve">Boys </w:t>
      </w:r>
      <w:r w:rsidR="0066712B" w:rsidRPr="00423FA7">
        <w:t>aged 2</w:t>
      </w:r>
      <w:r w:rsidR="008E0185" w:rsidRPr="00423FA7">
        <w:t>–</w:t>
      </w:r>
      <w:r w:rsidR="0066712B" w:rsidRPr="00423FA7">
        <w:t xml:space="preserve">15 years </w:t>
      </w:r>
      <w:r w:rsidRPr="00423FA7">
        <w:t>were more likely to be sufficiently active than girls</w:t>
      </w:r>
      <w:r w:rsidR="0066712B" w:rsidRPr="00423FA7">
        <w:t xml:space="preserve"> in 2015</w:t>
      </w:r>
      <w:r w:rsidRPr="00423FA7">
        <w:t xml:space="preserve"> (4</w:t>
      </w:r>
      <w:r w:rsidR="0066712B" w:rsidRPr="00423FA7">
        <w:t>9</w:t>
      </w:r>
      <w:r w:rsidRPr="00423FA7">
        <w:t>% compared to 28%).</w:t>
      </w:r>
      <w:r w:rsidR="008E4A1B" w:rsidRPr="00423FA7">
        <w:fldChar w:fldCharType="begin"/>
      </w:r>
      <w:r w:rsidR="009F7E7C" w:rsidRPr="00423FA7">
        <w:instrText xml:space="preserve"> ADDIN EN.CITE &lt;EndNote&gt;&lt;Cite&gt;&lt;Author&gt;Epidemiology Branch&lt;/Author&gt;&lt;Year&gt;2016&lt;/Year&gt;&lt;RecNum&gt;970&lt;/RecNum&gt;&lt;DisplayText&gt;&lt;style face="superscript"&gt;22&lt;/style&gt;&lt;/DisplayText&gt;&lt;record&gt;&lt;rec-number&gt;970&lt;/rec-number&gt;&lt;foreign-keys&gt;&lt;key app="EN" db-id="zxa00wf2opvf9oeeset50xz7ezpfwre2v20z"&gt;970&lt;/key&gt;&lt;/foreign-keys&gt;&lt;ref-type name="Report"&gt;27&lt;/ref-type&gt;&lt;contributors&gt;&lt;authors&gt;&lt;author&gt;Epidemiology Branch,&lt;/author&gt;&lt;/authors&gt;&lt;/contributors&gt;&lt;titles&gt;&lt;title&gt;Lifestyle risk factor and chronic health condition information for WA children and adults, 2002–15, HWSS&lt;/title&gt;&lt;/titles&gt;&lt;dates&gt;&lt;year&gt;2016&lt;/year&gt;&lt;/dates&gt;&lt;pub-location&gt;Perth&lt;/pub-location&gt;&lt;publisher&gt;Department of Health, Western Australia&lt;/publisher&gt;&lt;urls&gt;&lt;/urls&gt;&lt;/record&gt;&lt;/Cite&gt;&lt;/EndNote&gt;</w:instrText>
      </w:r>
      <w:r w:rsidR="008E4A1B" w:rsidRPr="00423FA7">
        <w:fldChar w:fldCharType="separate"/>
      </w:r>
      <w:r w:rsidR="009F7E7C" w:rsidRPr="00423FA7">
        <w:rPr>
          <w:noProof/>
          <w:vertAlign w:val="superscript"/>
        </w:rPr>
        <w:t>22</w:t>
      </w:r>
      <w:r w:rsidR="008E4A1B" w:rsidRPr="00423FA7">
        <w:fldChar w:fldCharType="end"/>
      </w:r>
      <w:r w:rsidRPr="00423FA7">
        <w:t xml:space="preserve"> </w:t>
      </w:r>
    </w:p>
    <w:p w:rsidR="00DF295F" w:rsidRDefault="00DF295F" w:rsidP="00B42C21">
      <w:pPr>
        <w:ind w:left="426"/>
      </w:pPr>
    </w:p>
    <w:p w:rsidR="00DF295F" w:rsidRPr="006A6AC7" w:rsidRDefault="00DF295F" w:rsidP="00CE2FEF">
      <w:pPr>
        <w:pStyle w:val="ListParagraph"/>
        <w:numPr>
          <w:ilvl w:val="0"/>
          <w:numId w:val="14"/>
        </w:numPr>
        <w:ind w:left="426"/>
      </w:pPr>
      <w:r w:rsidRPr="006A6AC7">
        <w:t xml:space="preserve">Over one third (35%) </w:t>
      </w:r>
      <w:r>
        <w:t xml:space="preserve">of children aged </w:t>
      </w:r>
      <w:r w:rsidR="009F4C19">
        <w:t>0</w:t>
      </w:r>
      <w:r w:rsidR="00CF5F98">
        <w:t>–</w:t>
      </w:r>
      <w:r>
        <w:t xml:space="preserve">15 years </w:t>
      </w:r>
      <w:r w:rsidRPr="006A6AC7">
        <w:t>exceeded the</w:t>
      </w:r>
      <w:r w:rsidR="009F4C19">
        <w:t>ir</w:t>
      </w:r>
      <w:r w:rsidRPr="006A6AC7">
        <w:t xml:space="preserve"> age-related recommendations for electronic media use</w:t>
      </w:r>
      <w:r>
        <w:t xml:space="preserve"> in 2014</w:t>
      </w:r>
      <w:r w:rsidRPr="006A6AC7">
        <w:t>, with c</w:t>
      </w:r>
      <w:r>
        <w:t>hildren aged 2</w:t>
      </w:r>
      <w:r w:rsidR="002B433E">
        <w:t>–</w:t>
      </w:r>
      <w:r>
        <w:t>4 years</w:t>
      </w:r>
      <w:r w:rsidR="0099210E">
        <w:t xml:space="preserve"> </w:t>
      </w:r>
      <w:r w:rsidR="009F4C19">
        <w:t xml:space="preserve">the most likely to exceed these </w:t>
      </w:r>
      <w:r>
        <w:t>(64%).</w:t>
      </w:r>
      <w:r w:rsidR="008E4A1B">
        <w:fldChar w:fldCharType="begin"/>
      </w:r>
      <w:r w:rsidR="009F7E7C">
        <w:instrText xml:space="preserve"> ADDIN EN.CITE &lt;EndNote&gt;&lt;Cite&gt;&lt;Author&gt;Tomlin&lt;/Author&gt;&lt;Year&gt;2015&lt;/Year&gt;&lt;RecNum&gt;1041&lt;/RecNum&gt;&lt;DisplayText&gt;&lt;style face="superscript"&gt;21&lt;/style&gt;&lt;/DisplayText&gt;&lt;record&gt;&lt;rec-number&gt;1041&lt;/rec-number&gt;&lt;foreign-keys&gt;&lt;key app="EN" db-id="zxa00wf2opvf9oeeset50xz7ezpfwre2v20z"&gt;1041&lt;/key&gt;&lt;/foreign-keys&gt;&lt;ref-type name="Report"&gt;27&lt;/ref-type&gt;&lt;contributors&gt;&lt;authors&gt;&lt;author&gt;Tomlin, S., &lt;/author&gt;&lt;author&gt;Radomiljac, A.,&lt;/author&gt;&lt;author&gt;Kay, A. &lt;/author&gt;&lt;/authors&gt;&lt;secondary-authors&gt;&lt;author&gt;Department of Health, Western Australia.&lt;/author&gt;&lt;/secondary-authors&gt;&lt;/contributors&gt;&lt;titles&gt;&lt;title&gt;Health and wellbeing of children in Western Australia in 2014, overview and trends&lt;/title&gt;&lt;/titles&gt;&lt;dates&gt;&lt;year&gt;2015&lt;/year&gt;&lt;/dates&gt;&lt;pub-location&gt;Perth&lt;/pub-location&gt;&lt;publisher&gt;Department of Health, Western Australia&lt;/publisher&gt;&lt;urls&gt;&lt;related-urls&gt;&lt;url&gt;http://ww2.health.wa.gov.au/~/media/Files/Corporate/Reports%20and%20publications/Population%20surveys/Health-wellbeing-Children-WA-2014-OandT.ashx&lt;/url&gt;&lt;/related-urls&gt;&lt;/urls&gt;&lt;/record&gt;&lt;/Cite&gt;&lt;/EndNote&gt;</w:instrText>
      </w:r>
      <w:r w:rsidR="008E4A1B">
        <w:fldChar w:fldCharType="separate"/>
      </w:r>
      <w:r w:rsidR="009F7E7C" w:rsidRPr="009F7E7C">
        <w:rPr>
          <w:noProof/>
          <w:vertAlign w:val="superscript"/>
        </w:rPr>
        <w:t>21</w:t>
      </w:r>
      <w:r w:rsidR="008E4A1B">
        <w:fldChar w:fldCharType="end"/>
      </w:r>
    </w:p>
    <w:p w:rsidR="00DF295F" w:rsidRDefault="00DF295F" w:rsidP="00B42C21">
      <w:pPr>
        <w:pStyle w:val="ListParagraph"/>
        <w:ind w:left="426"/>
      </w:pPr>
    </w:p>
    <w:p w:rsidR="001E7525" w:rsidRPr="00906C60" w:rsidRDefault="001E7525" w:rsidP="00CE2FEF">
      <w:pPr>
        <w:pStyle w:val="ListParagraph"/>
        <w:numPr>
          <w:ilvl w:val="0"/>
          <w:numId w:val="14"/>
        </w:numPr>
        <w:ind w:left="426"/>
      </w:pPr>
      <w:r w:rsidRPr="00906C60">
        <w:t>In 201</w:t>
      </w:r>
      <w:r>
        <w:t>5,</w:t>
      </w:r>
      <w:r w:rsidRPr="00906C60">
        <w:t xml:space="preserve"> </w:t>
      </w:r>
      <w:r>
        <w:t>adults</w:t>
      </w:r>
      <w:r w:rsidRPr="00906C60">
        <w:t xml:space="preserve"> </w:t>
      </w:r>
      <w:r>
        <w:t>living in</w:t>
      </w:r>
      <w:r w:rsidRPr="00906C60">
        <w:t xml:space="preserve"> the </w:t>
      </w:r>
      <w:r>
        <w:t>most dis</w:t>
      </w:r>
      <w:r w:rsidRPr="00906C60">
        <w:t xml:space="preserve">advantaged areas of </w:t>
      </w:r>
      <w:r>
        <w:t>WA</w:t>
      </w:r>
      <w:r w:rsidRPr="00906C60">
        <w:t xml:space="preserve"> were less likely to be physically active </w:t>
      </w:r>
      <w:r>
        <w:t>than those in</w:t>
      </w:r>
      <w:r w:rsidRPr="00906C60">
        <w:t xml:space="preserve"> </w:t>
      </w:r>
      <w:r w:rsidR="00643802">
        <w:t>the least disadvantaged</w:t>
      </w:r>
      <w:r>
        <w:t xml:space="preserve"> areas (55% compared to 70%).</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p>
    <w:p w:rsidR="001E7525" w:rsidRDefault="001E7525" w:rsidP="00B42C21">
      <w:pPr>
        <w:pStyle w:val="ListParagraph"/>
        <w:ind w:left="426"/>
      </w:pPr>
    </w:p>
    <w:p w:rsidR="00803130" w:rsidRDefault="00DF295F" w:rsidP="00CE2FEF">
      <w:pPr>
        <w:pStyle w:val="ListParagraph"/>
        <w:numPr>
          <w:ilvl w:val="0"/>
          <w:numId w:val="14"/>
        </w:numPr>
        <w:ind w:left="426"/>
      </w:pPr>
      <w:r w:rsidRPr="00906C60">
        <w:t>In 2012</w:t>
      </w:r>
      <w:r w:rsidR="00CF5F98">
        <w:t>–</w:t>
      </w:r>
      <w:r w:rsidRPr="00906C60">
        <w:t xml:space="preserve">13, just </w:t>
      </w:r>
      <w:r w:rsidR="001F1B81">
        <w:t xml:space="preserve">under </w:t>
      </w:r>
      <w:r w:rsidRPr="00906C60">
        <w:t xml:space="preserve">40% of </w:t>
      </w:r>
      <w:r w:rsidR="002B433E">
        <w:t>Aboriginal</w:t>
      </w:r>
      <w:r w:rsidRPr="00906C60">
        <w:t xml:space="preserve"> </w:t>
      </w:r>
      <w:r w:rsidR="00080841" w:rsidRPr="00906C60">
        <w:t xml:space="preserve">adults </w:t>
      </w:r>
      <w:r w:rsidR="00080841">
        <w:t>living</w:t>
      </w:r>
      <w:r w:rsidR="001E7525">
        <w:t xml:space="preserve"> </w:t>
      </w:r>
      <w:r w:rsidRPr="00906C60">
        <w:t xml:space="preserve">in non-remote areas </w:t>
      </w:r>
      <w:r w:rsidR="001E7525">
        <w:t xml:space="preserve">of Australia </w:t>
      </w:r>
      <w:r w:rsidRPr="00906C60">
        <w:t>were sufficiently active. Similar to the non-</w:t>
      </w:r>
      <w:r w:rsidR="002B433E">
        <w:t>Aboriginal</w:t>
      </w:r>
      <w:r w:rsidR="002B433E" w:rsidRPr="00906C60">
        <w:t xml:space="preserve"> </w:t>
      </w:r>
      <w:r w:rsidRPr="00906C60">
        <w:t>popu</w:t>
      </w:r>
      <w:r>
        <w:t xml:space="preserve">lation, rates </w:t>
      </w:r>
      <w:r w:rsidR="002B433E">
        <w:t xml:space="preserve">of physical activity </w:t>
      </w:r>
      <w:r w:rsidR="00803130">
        <w:t>declined with age.</w:t>
      </w:r>
      <w:r w:rsidR="008E4A1B">
        <w:fldChar w:fldCharType="begin"/>
      </w:r>
      <w:r w:rsidR="005B3C51">
        <w:instrText xml:space="preserve"> ADDIN EN.CITE &lt;EndNote&gt;&lt;Cite&gt;&lt;Author&gt;Australian Bureau of Statistics&lt;/Author&gt;&lt;Year&gt;2013&lt;/Year&gt;&lt;RecNum&gt;93&lt;/RecNum&gt;&lt;DisplayText&gt;&lt;style face="superscript"&gt;105&lt;/style&gt;&lt;/DisplayText&gt;&lt;record&gt;&lt;rec-number&gt;93&lt;/rec-number&gt;&lt;foreign-keys&gt;&lt;key app="EN" db-id="zxa00wf2opvf9oeeset50xz7ezpfwre2v20z"&gt;93&lt;/key&gt;&lt;/foreign-keys&gt;&lt;ref-type name="Report"&gt;27&lt;/ref-type&gt;&lt;contributors&gt;&lt;authors&gt;&lt;author&gt;Australian Bureau of Statistics,&lt;/author&gt;&lt;/authors&gt;&lt;/contributors&gt;&lt;titles&gt;&lt;title&gt;4727.0.55.001 - Australian Aboriginal and Torres Strait Islander Health Survey: first results, 2012-13&lt;/title&gt;&lt;/titles&gt;&lt;dates&gt;&lt;year&gt;2013&lt;/year&gt;&lt;/dates&gt;&lt;pub-location&gt;Canberra&lt;/pub-location&gt;&lt;publisher&gt;Australian Bureau of Statistics&lt;/publisher&gt;&lt;urls&gt;&lt;related-urls&gt;&lt;url&gt;http://www.abs.gov.au/ausstats/abs@.nsf/mf/4727.0.55.001&lt;/url&gt;&lt;/related-urls&gt;&lt;/urls&gt;&lt;/record&gt;&lt;/Cite&gt;&lt;/EndNote&gt;</w:instrText>
      </w:r>
      <w:r w:rsidR="008E4A1B">
        <w:fldChar w:fldCharType="separate"/>
      </w:r>
      <w:r w:rsidR="005B3C51" w:rsidRPr="005B3C51">
        <w:rPr>
          <w:noProof/>
          <w:vertAlign w:val="superscript"/>
        </w:rPr>
        <w:t>105</w:t>
      </w:r>
      <w:r w:rsidR="008E4A1B">
        <w:fldChar w:fldCharType="end"/>
      </w:r>
    </w:p>
    <w:p w:rsidR="00DF295F" w:rsidRDefault="00DF295F" w:rsidP="00B42C21">
      <w:pPr>
        <w:ind w:left="426"/>
      </w:pPr>
    </w:p>
    <w:p w:rsidR="007A3DB8" w:rsidRDefault="00DF295F" w:rsidP="007A3DB8">
      <w:pPr>
        <w:pStyle w:val="ListParagraph"/>
        <w:numPr>
          <w:ilvl w:val="0"/>
          <w:numId w:val="14"/>
        </w:numPr>
        <w:ind w:left="426"/>
      </w:pPr>
      <w:r w:rsidRPr="00906C60">
        <w:lastRenderedPageBreak/>
        <w:t xml:space="preserve">In 2014, 61% of </w:t>
      </w:r>
      <w:r w:rsidR="001E7525">
        <w:t>Australian adults</w:t>
      </w:r>
      <w:r w:rsidRPr="00906C60">
        <w:t xml:space="preserve"> with a disability participated in sport and physical recreation, compared </w:t>
      </w:r>
      <w:r w:rsidR="00AE3B9E">
        <w:t>to</w:t>
      </w:r>
      <w:r w:rsidR="00AE3B9E" w:rsidRPr="00906C60">
        <w:t xml:space="preserve"> </w:t>
      </w:r>
      <w:r>
        <w:t>76% of those with no disability.</w:t>
      </w:r>
      <w:r w:rsidR="008E4A1B">
        <w:fldChar w:fldCharType="begin"/>
      </w:r>
      <w:r w:rsidR="005B3C51">
        <w:instrText xml:space="preserve"> ADDIN EN.CITE &lt;EndNote&gt;&lt;Cite&gt;&lt;Author&gt;Australian Bureau of Statistics&lt;/Author&gt;&lt;Year&gt;2015&lt;/Year&gt;&lt;RecNum&gt;95&lt;/RecNum&gt;&lt;DisplayText&gt;&lt;style face="superscript"&gt;106&lt;/style&gt;&lt;/DisplayText&gt;&lt;record&gt;&lt;rec-number&gt;95&lt;/rec-number&gt;&lt;foreign-keys&gt;&lt;key app="EN" db-id="zxa00wf2opvf9oeeset50xz7ezpfwre2v20z"&gt;95&lt;/key&gt;&lt;/foreign-keys&gt;&lt;ref-type name="Report"&gt;27&lt;/ref-type&gt;&lt;contributors&gt;&lt;authors&gt;&lt;author&gt;Australian Bureau of Statistics,&lt;/author&gt;&lt;/authors&gt;&lt;/contributors&gt;&lt;titles&gt;&lt;title&gt;4159.0 - General Social Survey, summary results, Australia 2014&lt;/title&gt;&lt;/titles&gt;&lt;dates&gt;&lt;year&gt;2015&lt;/year&gt;&lt;/dates&gt;&lt;pub-location&gt;Canberra&lt;/pub-location&gt;&lt;publisher&gt;Australian Bureau of Statistics&lt;/publisher&gt;&lt;urls&gt;&lt;related-urls&gt;&lt;url&gt;http://www.abs.gov.au/ausstats/abs@.nsf/mf/4159.0&lt;/url&gt;&lt;/related-urls&gt;&lt;/urls&gt;&lt;/record&gt;&lt;/Cite&gt;&lt;/EndNote&gt;</w:instrText>
      </w:r>
      <w:r w:rsidR="008E4A1B">
        <w:fldChar w:fldCharType="separate"/>
      </w:r>
      <w:r w:rsidR="005B3C51" w:rsidRPr="005B3C51">
        <w:rPr>
          <w:noProof/>
          <w:vertAlign w:val="superscript"/>
        </w:rPr>
        <w:t>106</w:t>
      </w:r>
      <w:r w:rsidR="008E4A1B">
        <w:fldChar w:fldCharType="end"/>
      </w:r>
    </w:p>
    <w:p w:rsidR="007A3DB8" w:rsidRDefault="007A3DB8" w:rsidP="004F1690"/>
    <w:p w:rsidR="007A2D5A" w:rsidRPr="007A3DB8" w:rsidRDefault="007A2D5A" w:rsidP="004F1690"/>
    <w:p w:rsidR="007A2D5A" w:rsidRPr="004842E5" w:rsidRDefault="007A2D5A" w:rsidP="007A2D5A">
      <w:pPr>
        <w:pStyle w:val="Heading2"/>
      </w:pPr>
      <w:bookmarkStart w:id="32" w:name="_Toc462049324"/>
      <w:r w:rsidRPr="004842E5">
        <w:t xml:space="preserve">Priorities for </w:t>
      </w:r>
      <w:r>
        <w:t>a more active</w:t>
      </w:r>
      <w:r w:rsidRPr="004842E5">
        <w:t xml:space="preserve"> </w:t>
      </w:r>
      <w:r>
        <w:t>WA</w:t>
      </w:r>
      <w:bookmarkEnd w:id="32"/>
      <w:r>
        <w:t xml:space="preserve"> </w:t>
      </w:r>
    </w:p>
    <w:p w:rsidR="007A2D5A" w:rsidRDefault="007A2D5A" w:rsidP="007A2D5A">
      <w:pPr>
        <w:rPr>
          <w:rFonts w:eastAsia="Arial"/>
          <w:color w:val="1F497D" w:themeColor="text2"/>
          <w:sz w:val="28"/>
          <w:szCs w:val="28"/>
        </w:rPr>
      </w:pPr>
    </w:p>
    <w:p w:rsidR="007A2D5A" w:rsidRPr="00F733C7" w:rsidRDefault="007A2D5A" w:rsidP="007A2D5A">
      <w:pPr>
        <w:rPr>
          <w:rFonts w:eastAsia="Arial"/>
          <w:color w:val="808080" w:themeColor="background1" w:themeShade="80"/>
          <w:sz w:val="28"/>
          <w:szCs w:val="28"/>
        </w:rPr>
      </w:pPr>
      <w:r w:rsidRPr="00F733C7">
        <w:rPr>
          <w:rFonts w:eastAsia="Arial"/>
          <w:color w:val="808080" w:themeColor="background1" w:themeShade="80"/>
          <w:sz w:val="28"/>
          <w:szCs w:val="28"/>
        </w:rPr>
        <w:t xml:space="preserve">Create environments that support physical activity and reduced sedentary behavior </w:t>
      </w:r>
    </w:p>
    <w:p w:rsidR="007A2D5A" w:rsidRDefault="007A2D5A" w:rsidP="007A2D5A"/>
    <w:p w:rsidR="007A2D5A" w:rsidRPr="002973B0" w:rsidRDefault="007A2D5A" w:rsidP="007A2D5A">
      <w:pPr>
        <w:rPr>
          <w:vertAlign w:val="superscript"/>
        </w:rPr>
      </w:pPr>
      <w:r>
        <w:t>Over past decades, lifestyles have changed for much of the population. The emergence of more passive forms of entertainment, labour-saving devices, more sedentary occupations, higher density housing and increased car use have fundamentally changed how much time people spend being physically active at home, at work, during travel and in their recreational pursuits.</w:t>
      </w:r>
      <w:r>
        <w:fldChar w:fldCharType="begin"/>
      </w:r>
      <w:r w:rsidR="005B3C51">
        <w:instrText xml:space="preserve"> ADDIN EN.CITE &lt;EndNote&gt;&lt;Cite&gt;&lt;Author&gt;Garrard&lt;/Author&gt;&lt;Year&gt;2009&lt;/Year&gt;&lt;RecNum&gt;460&lt;/RecNum&gt;&lt;DisplayText&gt;&lt;style face="superscript"&gt;107&lt;/style&gt;&lt;/DisplayText&gt;&lt;record&gt;&lt;rec-number&gt;460&lt;/rec-number&gt;&lt;foreign-keys&gt;&lt;key app="EN" db-id="zxa00wf2opvf9oeeset50xz7ezpfwre2v20z"&gt;460&lt;/key&gt;&lt;/foreign-keys&gt;&lt;ref-type name="Report"&gt;27&lt;/ref-type&gt;&lt;contributors&gt;&lt;authors&gt;&lt;author&gt;Garrard, J&lt;/author&gt;&lt;/authors&gt;&lt;/contributors&gt;&lt;titles&gt;&lt;title&gt;Taking action on obesogenic environments: building a culture of active connected communities.  An options paper prepared by Dr Jan Garrard for the National Preventative Health Taskforce&lt;/title&gt;&lt;/titles&gt;&lt;dates&gt;&lt;year&gt;2009&lt;/year&gt;&lt;/dates&gt;&lt;pub-location&gt;Canberra&lt;/pub-location&gt;&lt;publisher&gt;National Preventative Health Taskforce&lt;/publisher&gt;&lt;urls&gt;&lt;related-urls&gt;&lt;url&gt;http://www.health.gov.au/internet/preventativehealth/publishing.nsf/Content/0FBE203C1C547A82CA257529000231BF/$File/commpaper-obes-env-garrard.pdf&lt;/url&gt;&lt;/related-urls&gt;&lt;/urls&gt;&lt;/record&gt;&lt;/Cite&gt;&lt;/EndNote&gt;</w:instrText>
      </w:r>
      <w:r>
        <w:fldChar w:fldCharType="separate"/>
      </w:r>
      <w:r w:rsidR="005B3C51" w:rsidRPr="005B3C51">
        <w:rPr>
          <w:noProof/>
          <w:vertAlign w:val="superscript"/>
        </w:rPr>
        <w:t>107</w:t>
      </w:r>
      <w:r>
        <w:fldChar w:fldCharType="end"/>
      </w:r>
    </w:p>
    <w:p w:rsidR="007A2D5A" w:rsidRDefault="007A2D5A" w:rsidP="007A2D5A"/>
    <w:p w:rsidR="007A2D5A" w:rsidRDefault="007A2D5A" w:rsidP="007A2D5A">
      <w:r>
        <w:t>Given this, many different factors need to be addressed in order to create a more supportive environment for increasing physical activity and reducing sedentary behaviour.</w:t>
      </w:r>
      <w:r>
        <w:fldChar w:fldCharType="begin"/>
      </w:r>
      <w:r w:rsidR="005B3C51">
        <w:instrText xml:space="preserve"> ADDIN EN.CITE &lt;EndNote&gt;&lt;Cite&gt;&lt;Author&gt;World Health Organization&lt;/Author&gt;&lt;Year&gt;2013&lt;/Year&gt;&lt;RecNum&gt;916&lt;/RecNum&gt;&lt;DisplayText&gt;&lt;style face="superscript"&gt;57, 108&lt;/style&gt;&lt;/DisplayText&gt;&lt;record&gt;&lt;rec-number&gt;916&lt;/rec-number&gt;&lt;foreign-keys&gt;&lt;key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Organization&lt;/publisher&gt;&lt;urls&gt;&lt;related-urls&gt;&lt;url&gt;http://www.who.int/nmh/events/ncd_action_plan/en/&lt;/url&gt;&lt;/related-urls&gt;&lt;/urls&gt;&lt;/record&gt;&lt;/Cite&gt;&lt;Cite&gt;&lt;Author&gt;National Heart Foundation&lt;/Author&gt;&lt;Year&gt;2014&lt;/Year&gt;&lt;RecNum&gt;1046&lt;/RecNum&gt;&lt;record&gt;&lt;rec-number&gt;1046&lt;/rec-number&gt;&lt;foreign-keys&gt;&lt;key app="EN" db-id="zxa00wf2opvf9oeeset50xz7ezpfwre2v20z"&gt;1046&lt;/key&gt;&lt;/foreign-keys&gt;&lt;ref-type name="Report"&gt;27&lt;/ref-type&gt;&lt;contributors&gt;&lt;authors&gt;&lt;author&gt;National Heart Foundation of Australia,&lt;/author&gt;&lt;/authors&gt;&lt;/contributors&gt;&lt;titles&gt;&lt;title&gt;Blueprint for an active Australia, 2nd edition&lt;/title&gt;&lt;/titles&gt;&lt;dates&gt;&lt;year&gt;2014&lt;/year&gt;&lt;/dates&gt;&lt;pub-location&gt;Melbourne&lt;/pub-location&gt;&lt;publisher&gt;National Heart Foundation of Australia&lt;/publisher&gt;&lt;urls&gt;&lt;related-urls&gt;&lt;url&gt;http://heartfoundation.org.au/images/uploads/publications/Blueprint-for-an-active-Australia-second-edition.pdf&lt;/url&gt;&lt;/related-urls&gt;&lt;/urls&gt;&lt;/record&gt;&lt;/Cite&gt;&lt;/EndNote&gt;</w:instrText>
      </w:r>
      <w:r>
        <w:fldChar w:fldCharType="separate"/>
      </w:r>
      <w:r w:rsidR="005B3C51" w:rsidRPr="005B3C51">
        <w:rPr>
          <w:noProof/>
          <w:vertAlign w:val="superscript"/>
        </w:rPr>
        <w:t>57, 108</w:t>
      </w:r>
      <w:r>
        <w:fldChar w:fldCharType="end"/>
      </w:r>
      <w:r>
        <w:t xml:space="preserve"> Creating environments that support physical activity requires: good town planning and urban design that enables a variety of daily activities within walking distance of where people live, work and play; active travel infrastructure for walking, cycling and public transport use; and the provision of high-quality parks and public open spaces.</w:t>
      </w:r>
      <w:r>
        <w:fldChar w:fldCharType="begin">
          <w:fldData xml:space="preserve">PEVuZE5vdGU+PENpdGU+PEF1dGhvcj5OYXRpb25hbCBIZWFydCBGb3VuZGF0aW9uPC9BdXRob3I+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</w:fldData>
        </w:fldChar>
      </w:r>
      <w:r w:rsidR="005B3C51">
        <w:instrText xml:space="preserve"> ADDIN EN.CITE </w:instrText>
      </w:r>
      <w:r w:rsidR="005B3C51">
        <w:fldChar w:fldCharType="begin">
          <w:fldData xml:space="preserve">PEVuZE5vdGU+PENpdGU+PEF1dGhvcj5OYXRpb25hbCBIZWFydCBGb3VuZGF0aW9uPC9BdXRob3I+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</w:fldData>
        </w:fldChar>
      </w:r>
      <w:r w:rsidR="005B3C51">
        <w:instrText xml:space="preserve"> ADDIN EN.CITE.DATA </w:instrText>
      </w:r>
      <w:r w:rsidR="005B3C51">
        <w:fldChar w:fldCharType="end"/>
      </w:r>
      <w:r>
        <w:fldChar w:fldCharType="separate"/>
      </w:r>
      <w:r w:rsidR="005B3C51" w:rsidRPr="005B3C51">
        <w:rPr>
          <w:noProof/>
          <w:vertAlign w:val="superscript"/>
        </w:rPr>
        <w:t>109-113</w:t>
      </w:r>
      <w:r>
        <w:fldChar w:fldCharType="end"/>
      </w:r>
    </w:p>
    <w:p w:rsidR="007A2D5A" w:rsidRPr="00E574DC" w:rsidRDefault="007A2D5A" w:rsidP="007A2D5A"/>
    <w:p w:rsidR="007A2D5A" w:rsidRDefault="007A2D5A" w:rsidP="007A2D5A">
      <w:r>
        <w:t>The</w:t>
      </w:r>
      <w:r w:rsidRPr="005F4B42">
        <w:t xml:space="preserve"> number of </w:t>
      </w:r>
      <w:r>
        <w:t>health-promoting child and adult settings that support physical activity and reduced sedentary behavior can be increased through influencing organisational policy and physical environments, providing education and information, and building partnerships and services.</w:t>
      </w:r>
      <w:r>
        <w:fldChar w:fldCharType="begin"/>
      </w:r>
      <w:r>
        <w:instrText xml:space="preserve"> ADDIN EN.CITE &lt;EndNote&gt;&lt;Cite&gt;&lt;Author&gt;World Health Organization&lt;/Author&gt;&lt;Year&gt;2013&lt;/Year&gt;&lt;RecNum&gt;916&lt;/RecNum&gt;&lt;DisplayText&gt;&lt;style face="superscript"&gt;57&lt;/style&gt;&lt;/DisplayText&gt;&lt;record&gt;&lt;rec-number&gt;916&lt;/rec-number&gt;&lt;foreign-keys&gt;&lt;key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Organization&lt;/publisher&gt;&lt;urls&gt;&lt;related-urls&gt;&lt;url&gt;http://www.who.int/nmh/events/ncd_action_plan/en/&lt;/url&gt;&lt;/related-urls&gt;&lt;/urls&gt;&lt;/record&gt;&lt;/Cite&gt;&lt;/EndNote&gt;</w:instrText>
      </w:r>
      <w:r>
        <w:fldChar w:fldCharType="separate"/>
      </w:r>
      <w:r w:rsidRPr="00547316">
        <w:rPr>
          <w:noProof/>
          <w:vertAlign w:val="superscript"/>
        </w:rPr>
        <w:t>57</w:t>
      </w:r>
      <w:r>
        <w:fldChar w:fldCharType="end"/>
      </w:r>
      <w:r>
        <w:t xml:space="preserve"> </w:t>
      </w:r>
    </w:p>
    <w:p w:rsidR="007A2D5A" w:rsidRPr="00250960" w:rsidRDefault="007A2D5A" w:rsidP="007A2D5A"/>
    <w:p w:rsidR="007A2D5A" w:rsidRPr="00F733C7" w:rsidRDefault="007A2D5A" w:rsidP="007A2D5A">
      <w:pPr>
        <w:rPr>
          <w:rFonts w:eastAsia="Arial"/>
          <w:color w:val="808080" w:themeColor="background1" w:themeShade="80"/>
          <w:sz w:val="28"/>
          <w:szCs w:val="28"/>
        </w:rPr>
      </w:pPr>
      <w:r w:rsidRPr="00F733C7">
        <w:rPr>
          <w:rFonts w:eastAsia="Arial"/>
          <w:color w:val="808080" w:themeColor="background1" w:themeShade="80"/>
          <w:sz w:val="28"/>
          <w:szCs w:val="28"/>
        </w:rPr>
        <w:t xml:space="preserve">Reduce barriers and increase opportunities for physical activity across all populations </w:t>
      </w:r>
    </w:p>
    <w:p w:rsidR="007A2D5A" w:rsidRDefault="007A2D5A" w:rsidP="007A2D5A"/>
    <w:p w:rsidR="007A2D5A" w:rsidRPr="00084DF1" w:rsidRDefault="007A2D5A" w:rsidP="007A2D5A">
      <w:pPr>
        <w:rPr>
          <w:vertAlign w:val="superscript"/>
        </w:rPr>
      </w:pPr>
      <w:r w:rsidRPr="002973B0">
        <w:t xml:space="preserve">There are many barriers to participation in physical activity including cost, </w:t>
      </w:r>
      <w:r>
        <w:t xml:space="preserve">lack of </w:t>
      </w:r>
      <w:r w:rsidRPr="002973B0">
        <w:t>a</w:t>
      </w:r>
      <w:r>
        <w:t>ccess to appropriate facilities</w:t>
      </w:r>
      <w:r w:rsidRPr="002973B0">
        <w:t>, long work</w:t>
      </w:r>
      <w:r>
        <w:t>ing</w:t>
      </w:r>
      <w:r w:rsidRPr="002973B0">
        <w:t xml:space="preserve"> hours, perceived or real threats to safety, a lack of social support </w:t>
      </w:r>
      <w:r>
        <w:t>and insufficient</w:t>
      </w:r>
      <w:r w:rsidRPr="002973B0">
        <w:t xml:space="preserve"> culturally</w:t>
      </w:r>
      <w:r>
        <w:t>-</w:t>
      </w:r>
      <w:r w:rsidRPr="002973B0">
        <w:t>inclusive</w:t>
      </w:r>
      <w:r>
        <w:t xml:space="preserve"> activities.</w:t>
      </w:r>
      <w:r>
        <w:fldChar w:fldCharType="begin"/>
      </w:r>
      <w:r w:rsidR="005B3C51">
        <w:instrText xml:space="preserve"> ADDIN EN.CITE &lt;EndNote&gt;&lt;Cite&gt;&lt;Author&gt;National Heart Foundation&lt;/Author&gt;&lt;Year&gt;2014&lt;/Year&gt;&lt;RecNum&gt;1046&lt;/RecNum&gt;&lt;DisplayText&gt;&lt;style face="superscript"&gt;108&lt;/style&gt;&lt;/DisplayText&gt;&lt;record&gt;&lt;rec-number&gt;1046&lt;/rec-number&gt;&lt;foreign-keys&gt;&lt;key app="EN" db-id="zxa00wf2opvf9oeeset50xz7ezpfwre2v20z"&gt;1046&lt;/key&gt;&lt;/foreign-keys&gt;&lt;ref-type name="Report"&gt;27&lt;/ref-type&gt;&lt;contributors&gt;&lt;authors&gt;&lt;author&gt;National Heart Foundation of Australia,&lt;/author&gt;&lt;/authors&gt;&lt;/contributors&gt;&lt;titles&gt;&lt;title&gt;Blueprint for an active Australia, 2nd edition&lt;/title&gt;&lt;/titles&gt;&lt;dates&gt;&lt;year&gt;2014&lt;/year&gt;&lt;/dates&gt;&lt;pub-location&gt;Melbourne&lt;/pub-location&gt;&lt;publisher&gt;National Heart Foundation of Australia&lt;/publisher&gt;&lt;urls&gt;&lt;related-urls&gt;&lt;url&gt;http://heartfoundation.org.au/images/uploads/publications/Blueprint-for-an-active-Australia-second-edition.pdf&lt;/url&gt;&lt;/related-urls&gt;&lt;/urls&gt;&lt;/record&gt;&lt;/Cite&gt;&lt;/EndNote&gt;</w:instrText>
      </w:r>
      <w:r>
        <w:fldChar w:fldCharType="separate"/>
      </w:r>
      <w:r w:rsidR="005B3C51" w:rsidRPr="005B3C51">
        <w:rPr>
          <w:noProof/>
          <w:vertAlign w:val="superscript"/>
        </w:rPr>
        <w:t>108</w:t>
      </w:r>
      <w:r>
        <w:fldChar w:fldCharType="end"/>
      </w:r>
      <w:r w:rsidRPr="002973B0">
        <w:t xml:space="preserve"> Some </w:t>
      </w:r>
      <w:r>
        <w:t>groups</w:t>
      </w:r>
      <w:r w:rsidRPr="002973B0">
        <w:t xml:space="preserve">, such as </w:t>
      </w:r>
      <w:r>
        <w:t xml:space="preserve">Aboriginal people, CaLD groups, people with a disability, older adults and those who live with </w:t>
      </w:r>
      <w:r w:rsidRPr="002973B0">
        <w:t>socioeconomic disadvantage, may face a greater range of barriers than others</w:t>
      </w:r>
      <w:r>
        <w:t>.</w:t>
      </w:r>
      <w:r>
        <w:fldChar w:fldCharType="begin"/>
      </w:r>
      <w:r w:rsidR="005B3C51">
        <w:instrText xml:space="preserve"> ADDIN EN.CITE &lt;EndNote&gt;&lt;Cite&gt;&lt;Author&gt;Friel&lt;/Author&gt;&lt;Year&gt;2009&lt;/Year&gt;&lt;RecNum&gt;454&lt;/RecNum&gt;&lt;DisplayText&gt;&lt;style face="superscript"&gt;114&lt;/style&gt;&lt;/DisplayText&gt;&lt;record&gt;&lt;rec-number&gt;454&lt;/rec-number&gt;&lt;foreign-keys&gt;&lt;key app="EN" db-id="zxa00wf2opvf9oeeset50xz7ezpfwre2v20z"&gt;454&lt;/key&gt;&lt;/foreign-keys&gt;&lt;ref-type name="Report"&gt;27&lt;/ref-type&gt;&lt;contributors&gt;&lt;authors&gt;&lt;author&gt;Friel, S&lt;/author&gt;&lt;author&gt;and the Department of Epidemiology and Public Health,&lt;/author&gt;&lt;author&gt;University College London,&lt;/author&gt;&lt;/authors&gt;&lt;/contributors&gt;&lt;titles&gt;&lt;title&gt;Health equity in Australia:  a policy framework based on action on the social determinants of obesity, alcohol and tobacco&lt;/title&gt;&lt;/titles&gt;&lt;dates&gt;&lt;year&gt;2009&lt;/year&gt;&lt;/dates&gt;&lt;pub-location&gt;Canberra&lt;/pub-location&gt;&lt;publisher&gt;Australian National Preventative Health Taskforce&lt;/publisher&gt;&lt;urls&gt;&lt;related-urls&gt;&lt;url&gt;http://www.health.gov.au/internet/preventativehealth/publishing.nsf/content/0fbe203c1c547a82ca257529000231bf/$file/commpaper-hlth-equity-friel.pdf&lt;/url&gt;&lt;/related-urls&gt;&lt;/urls&gt;&lt;/record&gt;&lt;/Cite&gt;&lt;/EndNote&gt;</w:instrText>
      </w:r>
      <w:r>
        <w:fldChar w:fldCharType="separate"/>
      </w:r>
      <w:r w:rsidR="005B3C51" w:rsidRPr="005B3C51">
        <w:rPr>
          <w:noProof/>
          <w:vertAlign w:val="superscript"/>
        </w:rPr>
        <w:t>114</w:t>
      </w:r>
      <w:r>
        <w:fldChar w:fldCharType="end"/>
      </w:r>
      <w:r>
        <w:rPr>
          <w:vertAlign w:val="superscript"/>
        </w:rPr>
        <w:t xml:space="preserve"> </w:t>
      </w:r>
      <w:r>
        <w:t>Interventions should ensure that all members of the community have equitable, accessible, safe, convenient and affordable options to incorporate physical activity into their daily routines.</w:t>
      </w:r>
      <w:r>
        <w:fldChar w:fldCharType="begin"/>
      </w:r>
      <w:r w:rsidR="005B3C51">
        <w:instrText xml:space="preserve"> ADDIN EN.CITE &lt;EndNote&gt;&lt;Cite&gt;&lt;Author&gt;National Heart Foundation of Australia&lt;/Author&gt;&lt;Year&gt;2014&lt;/Year&gt;&lt;RecNum&gt;1046&lt;/RecNum&gt;&lt;DisplayText&gt;&lt;style face="superscript"&gt;108&lt;/style&gt;&lt;/DisplayText&gt;&lt;record&gt;&lt;rec-number&gt;1046&lt;/rec-number&gt;&lt;foreign-keys&gt;&lt;key app="EN" db-id="zxa00wf2opvf9oeeset50xz7ezpfwre2v20z"&gt;1046&lt;/key&gt;&lt;/foreign-keys&gt;&lt;ref-type name="Report"&gt;27&lt;/ref-type&gt;&lt;contributors&gt;&lt;authors&gt;&lt;author&gt;National Heart Foundation of Australia,&lt;/author&gt;&lt;/authors&gt;&lt;/contributors&gt;&lt;titles&gt;&lt;title&gt;Blueprint for an active Australia, 2nd edition&lt;/title&gt;&lt;/titles&gt;&lt;dates&gt;&lt;year&gt;2014&lt;/year&gt;&lt;/dates&gt;&lt;pub-location&gt;Melbourne&lt;/pub-location&gt;&lt;publisher&gt;National Heart Foundation of Australia&lt;/publisher&gt;&lt;urls&gt;&lt;related-urls&gt;&lt;url&gt;http://heartfoundation.org.au/images/uploads/publications/Blueprint-for-an-active-Australia-second-edition.pdf&lt;/url&gt;&lt;/related-urls&gt;&lt;/urls&gt;&lt;/record&gt;&lt;/Cite&gt;&lt;/EndNote&gt;</w:instrText>
      </w:r>
      <w:r>
        <w:fldChar w:fldCharType="separate"/>
      </w:r>
      <w:r w:rsidR="005B3C51" w:rsidRPr="005B3C51">
        <w:rPr>
          <w:noProof/>
          <w:vertAlign w:val="superscript"/>
        </w:rPr>
        <w:t>108</w:t>
      </w:r>
      <w:r>
        <w:fldChar w:fldCharType="end"/>
      </w:r>
    </w:p>
    <w:p w:rsidR="007A2D5A" w:rsidRPr="00ED7131" w:rsidRDefault="007A2D5A" w:rsidP="007A2D5A"/>
    <w:p w:rsidR="007A2D5A" w:rsidRPr="00216643" w:rsidRDefault="007A2D5A" w:rsidP="007A2D5A">
      <w:pPr>
        <w:rPr>
          <w:rFonts w:eastAsia="Arial"/>
          <w:color w:val="808080" w:themeColor="background1" w:themeShade="80"/>
          <w:sz w:val="28"/>
          <w:szCs w:val="28"/>
        </w:rPr>
      </w:pPr>
      <w:r w:rsidRPr="00216643">
        <w:rPr>
          <w:rFonts w:eastAsia="Arial"/>
          <w:color w:val="808080" w:themeColor="background1" w:themeShade="80"/>
          <w:sz w:val="28"/>
          <w:szCs w:val="28"/>
        </w:rPr>
        <w:t xml:space="preserve">Increase understanding of the benefits of physical activity and encourage increased activity at all stages of life </w:t>
      </w:r>
    </w:p>
    <w:p w:rsidR="007A2D5A" w:rsidRDefault="007A2D5A" w:rsidP="007A2D5A">
      <w:pPr>
        <w:pStyle w:val="ListParagraph"/>
      </w:pPr>
    </w:p>
    <w:p w:rsidR="007A2D5A" w:rsidRDefault="007A2D5A" w:rsidP="007A2D5A">
      <w:r w:rsidRPr="00ED7131">
        <w:t xml:space="preserve">There are still a substantial number of </w:t>
      </w:r>
      <w:r>
        <w:t>Western Australians</w:t>
      </w:r>
      <w:r w:rsidRPr="00ED7131">
        <w:t xml:space="preserve"> who are not sufficiently active for good health. People of all ages need to be encouraged and supported to increase physical activity in line with </w:t>
      </w:r>
      <w:r w:rsidRPr="002A1766">
        <w:rPr>
          <w:i/>
        </w:rPr>
        <w:t xml:space="preserve">Australia’s </w:t>
      </w:r>
      <w:r>
        <w:rPr>
          <w:i/>
        </w:rPr>
        <w:t>p</w:t>
      </w:r>
      <w:r w:rsidRPr="00ED7131">
        <w:rPr>
          <w:i/>
        </w:rPr>
        <w:t xml:space="preserve">hysical </w:t>
      </w:r>
      <w:r>
        <w:rPr>
          <w:i/>
        </w:rPr>
        <w:t>a</w:t>
      </w:r>
      <w:r w:rsidRPr="00ED7131">
        <w:rPr>
          <w:i/>
        </w:rPr>
        <w:t>ctivity an</w:t>
      </w:r>
      <w:r>
        <w:rPr>
          <w:i/>
        </w:rPr>
        <w:t xml:space="preserve">d sedentary behaviour guidelines </w:t>
      </w:r>
      <w:r w:rsidRPr="00D23A7A">
        <w:t>(Box 9).</w:t>
      </w:r>
      <w:r>
        <w:fldChar w:fldCharType="begin"/>
      </w:r>
      <w:r w:rsidR="005B3C51">
        <w:instrText xml:space="preserve"> ADDIN EN.CITE &lt;EndNote&gt;&lt;Cite ExcludeYear="1"&gt;&lt;Author&gt;Department of Health&lt;/Author&gt;&lt;Year&gt;2014&lt;/Year&gt;&lt;RecNum&gt;51&lt;/RecNum&gt;&lt;DisplayText&gt;&lt;style face="superscript"&gt;115&lt;/style&gt;&lt;/DisplayText&gt;&lt;record&gt;&lt;rec-number&gt;51&lt;/rec-number&gt;&lt;foreign-keys&gt;&lt;key app="EN" db-id="zxa00wf2opvf9oeeset50xz7ezpfwre2v20z"&gt;51&lt;/key&gt;&lt;/foreign-keys&gt;&lt;ref-type name="Report"&gt;27&lt;/ref-type&gt;&lt;contributors&gt;&lt;authors&gt;&lt;author&gt;Department of Health,&lt;/author&gt;&lt;author&gt;Government of Australia,&lt;/author&gt;&lt;/authors&gt;&lt;/contributors&gt;&lt;titles&gt;&lt;title&gt;Australia&amp;apos;s physical activity and sedentary behaviour guidelines&lt;/title&gt;&lt;/titles&gt;&lt;dates&gt;&lt;year&gt;2014&lt;/year&gt;&lt;/dates&gt;&lt;pub-location&gt;Canberra&lt;/pub-location&gt;&lt;publisher&gt;Commonwealth of Australia&lt;/publisher&gt;&lt;urls&gt;&lt;related-urls&gt;&lt;url&gt;http://www.health.gov.au/internet/main/publishing.nsf/content/health-pubhlth-strateg-phys-act-guidelines&lt;/url&gt;&lt;/related-urls&gt;&lt;/urls&gt;&lt;/record&gt;&lt;/Cite&gt;&lt;/EndNote&gt;</w:instrText>
      </w:r>
      <w:r>
        <w:fldChar w:fldCharType="separate"/>
      </w:r>
      <w:r w:rsidR="005B3C51" w:rsidRPr="005B3C51">
        <w:rPr>
          <w:noProof/>
          <w:vertAlign w:val="superscript"/>
        </w:rPr>
        <w:t>115</w:t>
      </w:r>
      <w:r>
        <w:fldChar w:fldCharType="end"/>
      </w:r>
      <w:r w:rsidRPr="00D23A7A">
        <w:t xml:space="preserve"> </w:t>
      </w:r>
      <w:r>
        <w:t>The guidelines provide minimum recommendations, noting that i</w:t>
      </w:r>
      <w:r w:rsidRPr="0074046B">
        <w:t>ncreasing the duration and intensity of activity above the</w:t>
      </w:r>
      <w:r>
        <w:t xml:space="preserve"> minimum </w:t>
      </w:r>
      <w:r w:rsidRPr="0074046B">
        <w:t xml:space="preserve">for all </w:t>
      </w:r>
      <w:r w:rsidRPr="0074046B">
        <w:lastRenderedPageBreak/>
        <w:t>age groups may result in additional health and fitness benefits.</w:t>
      </w:r>
      <w:r>
        <w:fldChar w:fldCharType="begin"/>
      </w:r>
      <w:r w:rsidR="005B3C51">
        <w:instrText xml:space="preserve"> ADDIN EN.CITE &lt;EndNote&gt;&lt;Cite ExcludeYear="1"&gt;&lt;Author&gt;Department of Health&lt;/Author&gt;&lt;Year&gt;2014&lt;/Year&gt;&lt;RecNum&gt;51&lt;/RecNum&gt;&lt;DisplayText&gt;&lt;style face="superscript"&gt;115&lt;/style&gt;&lt;/DisplayText&gt;&lt;record&gt;&lt;rec-number&gt;51&lt;/rec-number&gt;&lt;foreign-keys&gt;&lt;key app="EN" db-id="zxa00wf2opvf9oeeset50xz7ezpfwre2v20z"&gt;51&lt;/key&gt;&lt;/foreign-keys&gt;&lt;ref-type name="Report"&gt;27&lt;/ref-type&gt;&lt;contributors&gt;&lt;authors&gt;&lt;author&gt;Department of Health,&lt;/author&gt;&lt;author&gt;Government of Australia,&lt;/author&gt;&lt;/authors&gt;&lt;/contributors&gt;&lt;titles&gt;&lt;title&gt;Australia&amp;apos;s physical activity and sedentary behaviour guidelines&lt;/title&gt;&lt;/titles&gt;&lt;dates&gt;&lt;year&gt;2014&lt;/year&gt;&lt;/dates&gt;&lt;pub-location&gt;Canberra&lt;/pub-location&gt;&lt;publisher&gt;Commonwealth of Australia&lt;/publisher&gt;&lt;urls&gt;&lt;related-urls&gt;&lt;url&gt;http://www.health.gov.au/internet/main/publishing.nsf/content/health-pubhlth-strateg-phys-act-guidelines&lt;/url&gt;&lt;/related-urls&gt;&lt;/urls&gt;&lt;/record&gt;&lt;/Cite&gt;&lt;/EndNote&gt;</w:instrText>
      </w:r>
      <w:r>
        <w:fldChar w:fldCharType="separate"/>
      </w:r>
      <w:r w:rsidR="005B3C51" w:rsidRPr="005B3C51">
        <w:rPr>
          <w:noProof/>
          <w:vertAlign w:val="superscript"/>
        </w:rPr>
        <w:t>115</w:t>
      </w:r>
      <w:r>
        <w:fldChar w:fldCharType="end"/>
      </w:r>
      <w:r>
        <w:rPr>
          <w:vertAlign w:val="superscript"/>
        </w:rPr>
        <w:t xml:space="preserve"> </w:t>
      </w:r>
      <w:r>
        <w:t>I</w:t>
      </w:r>
      <w:r w:rsidRPr="0074046B">
        <w:t xml:space="preserve">ncreasing levels of physical activity in people who are currently inactive is </w:t>
      </w:r>
      <w:r>
        <w:t xml:space="preserve">also </w:t>
      </w:r>
      <w:r w:rsidRPr="0074046B">
        <w:t>an important goal for public health</w:t>
      </w:r>
      <w:r>
        <w:t xml:space="preserve"> .</w:t>
      </w:r>
      <w:r>
        <w:fldChar w:fldCharType="begin"/>
      </w:r>
      <w:r w:rsidR="005B3C51">
        <w:instrText xml:space="preserve"> ADDIN EN.CITE &lt;EndNote&gt;&lt;Cite&gt;&lt;Author&gt;Powell&lt;/Author&gt;&lt;Year&gt;2011&lt;/Year&gt;&lt;RecNum&gt;1049&lt;/RecNum&gt;&lt;DisplayText&gt;&lt;style face="superscript"&gt;116, 117&lt;/style&gt;&lt;/DisplayText&gt;&lt;record&gt;&lt;rec-number&gt;1049&lt;/rec-number&gt;&lt;foreign-keys&gt;&lt;key app="EN" db-id="zxa00wf2opvf9oeeset50xz7ezpfwre2v20z"&gt;1049&lt;/key&gt;&lt;/foreign-keys&gt;&lt;ref-type name="Journal Article"&gt;17&lt;/ref-type&gt;&lt;contributors&gt;&lt;authors&gt;&lt;author&gt;Powell, KE&lt;/author&gt;&lt;author&gt;Paluch, AE&lt;/author&gt;&lt;author&gt;Blair, SN&lt;/author&gt;&lt;/authors&gt;&lt;/contributors&gt;&lt;titles&gt;&lt;title&gt;Physical activity for health: What kind? How much? How intense? On top of what?&lt;/title&gt;&lt;secondary-title&gt;Annu Rev Public Health&lt;/secondary-title&gt;&lt;/titles&gt;&lt;periodical&gt;&lt;full-title&gt;Annu Rev Public Health&lt;/full-title&gt;&lt;/periodical&gt;&lt;pages&gt;349-365&lt;/pages&gt;&lt;volume&gt;32&lt;/volume&gt;&lt;dates&gt;&lt;year&gt;2011&lt;/year&gt;&lt;/dates&gt;&lt;urls&gt;&lt;related-urls&gt;&lt;url&gt;http://www.ncbi.nlm.nih.gov/pubmed/21128761&lt;/url&gt;&lt;/related-urls&gt;&lt;/urls&gt;&lt;/record&gt;&lt;/Cite&gt;&lt;Cite&gt;&lt;Author&gt;Powell&lt;/Author&gt;&lt;Year&gt;1987&lt;/Year&gt;&lt;RecNum&gt;1048&lt;/RecNum&gt;&lt;record&gt;&lt;rec-number&gt;1048&lt;/rec-number&gt;&lt;foreign-keys&gt;&lt;key app="EN" db-id="zxa00wf2opvf9oeeset50xz7ezpfwre2v20z"&gt;1048&lt;/key&gt;&lt;/foreign-keys&gt;&lt;ref-type name="Journal Article"&gt;17&lt;/ref-type&gt;&lt;contributors&gt;&lt;authors&gt;&lt;author&gt;Powell, KE&lt;/author&gt;&lt;author&gt;Thompson, PD&lt;/author&gt;&lt;author&gt;Caspersen, CJ&lt;/author&gt;&lt;author&gt;Kendrick, JS&lt;/author&gt;&lt;/authors&gt;&lt;/contributors&gt;&lt;titles&gt;&lt;title&gt;Physical activity and the incidence of coronary heart disease&lt;/title&gt;&lt;secondary-title&gt;Annu Rev Public Health&lt;/secondary-title&gt;&lt;/titles&gt;&lt;periodical&gt;&lt;full-title&gt;Annu Rev Public Health&lt;/full-title&gt;&lt;/periodical&gt;&lt;pages&gt;253-87&lt;/pages&gt;&lt;volume&gt;8&lt;/volume&gt;&lt;dates&gt;&lt;year&gt;1987&lt;/year&gt;&lt;/dates&gt;&lt;urls&gt;&lt;related-urls&gt;&lt;url&gt;http://www.annualreviews.org/doi/abs/10.1146/annurev.pu.08.050187.001345&lt;/url&gt;&lt;/related-urls&gt;&lt;/urls&gt;&lt;/record&gt;&lt;/Cite&gt;&lt;/EndNote&gt;</w:instrText>
      </w:r>
      <w:r>
        <w:fldChar w:fldCharType="separate"/>
      </w:r>
      <w:r w:rsidR="005B3C51" w:rsidRPr="005B3C51">
        <w:rPr>
          <w:noProof/>
          <w:vertAlign w:val="superscript"/>
        </w:rPr>
        <w:t>116, 117</w:t>
      </w:r>
      <w:r>
        <w:fldChar w:fldCharType="end"/>
      </w:r>
    </w:p>
    <w:p w:rsidR="007A2D5A" w:rsidRDefault="007A2D5A" w:rsidP="007A2D5A"/>
    <w:p w:rsidR="007A2D5A" w:rsidRPr="00307EA4" w:rsidRDefault="007A2D5A" w:rsidP="007A2D5A">
      <w:r>
        <w:t>As there are several stages in a person’s life where physical activity levels are likely to change and decrease, it important is to take a life-course approach to encouraging engagement in physical activity. This starts in childhood with gaining confidence in the basic movement skills (such as running, jumping, catching and throwing) that become the building blocks of more complex skills used in a wide range of physical activities, games, sports and recreational pursuits.</w:t>
      </w:r>
      <w:r w:rsidRPr="00852EA3">
        <w:rPr>
          <w:vertAlign w:val="superscript"/>
        </w:rPr>
        <w:fldChar w:fldCharType="begin"/>
      </w:r>
      <w:r w:rsidR="005B3C51">
        <w:rPr>
          <w:vertAlign w:val="superscript"/>
        </w:rPr>
        <w:instrText xml:space="preserve"> ADDIN EN.CITE &lt;EndNote&gt;&lt;Cite&gt;&lt;Author&gt;Hands&lt;/Author&gt;&lt;Year&gt;2012&lt;/Year&gt;&lt;RecNum&gt;500&lt;/RecNum&gt;&lt;DisplayText&gt;&lt;style face="superscript"&gt;118&lt;/style&gt;&lt;/DisplayText&gt;&lt;record&gt;&lt;rec-number&gt;500&lt;/rec-number&gt;&lt;foreign-keys&gt;&lt;key app="EN" db-id="zxa00wf2opvf9oeeset50xz7ezpfwre2v20z"&gt;500&lt;/key&gt;&lt;/foreign-keys&gt;&lt;ref-type name="Journal Article"&gt;17&lt;/ref-type&gt;&lt;contributors&gt;&lt;authors&gt;&lt;author&gt;Hands, B&lt;/author&gt;&lt;/authors&gt;&lt;/contributors&gt;&lt;titles&gt;&lt;title&gt;How fundamental are fundamental movement skills&lt;/title&gt;&lt;secondary-title&gt;Active and Healthy Magazine&lt;/secondary-title&gt;&lt;/titles&gt;&lt;pages&gt;14-17&lt;/pages&gt;&lt;volume&gt;19&lt;/volume&gt;&lt;number&gt;1&lt;/number&gt;&lt;dates&gt;&lt;year&gt;2012&lt;/year&gt;&lt;/dates&gt;&lt;urls&gt;&lt;related-urls&gt;&lt;url&gt;http://researchonline.nd.edu.au/cgi/viewcontent.cgi?article=1066&amp;amp;context=health_article&lt;/url&gt;&lt;/related-urls&gt;&lt;/urls&gt;&lt;/record&gt;&lt;/Cite&gt;&lt;/EndNote&gt;</w:instrText>
      </w:r>
      <w:r w:rsidRPr="00852EA3">
        <w:rPr>
          <w:vertAlign w:val="superscript"/>
        </w:rPr>
        <w:fldChar w:fldCharType="separate"/>
      </w:r>
      <w:r w:rsidR="005B3C51">
        <w:rPr>
          <w:noProof/>
          <w:vertAlign w:val="superscript"/>
        </w:rPr>
        <w:t>118</w:t>
      </w:r>
      <w:r w:rsidRPr="00852EA3">
        <w:rPr>
          <w:vertAlign w:val="superscript"/>
        </w:rPr>
        <w:fldChar w:fldCharType="end"/>
      </w:r>
      <w:r>
        <w:t xml:space="preserve"> Ongoing physical activity is important during ageing, as it is of vital importance for maintaining good health, as well as improving mobility and balance and protecting against falls.</w:t>
      </w:r>
      <w:r w:rsidRPr="00852EA3">
        <w:rPr>
          <w:vertAlign w:val="superscript"/>
        </w:rPr>
        <w:fldChar w:fldCharType="begin"/>
      </w:r>
      <w:r w:rsidR="005B3C51">
        <w:rPr>
          <w:vertAlign w:val="superscript"/>
        </w:rPr>
        <w:instrText xml:space="preserve"> ADDIN EN.CITE &lt;EndNote&gt;&lt;Cite&gt;&lt;Author&gt;World Health Organization&lt;/Author&gt;&lt;Year&gt;2007&lt;/Year&gt;&lt;RecNum&gt;58&lt;/RecNum&gt;&lt;DisplayText&gt;&lt;style face="superscript"&gt;119&lt;/style&gt;&lt;/DisplayText&gt;&lt;record&gt;&lt;rec-number&gt;58&lt;/rec-number&gt;&lt;foreign-keys&gt;&lt;key app="EN" db-id="zxa00wf2opvf9oeeset50xz7ezpfwre2v20z"&gt;58&lt;/key&gt;&lt;/foreign-keys&gt;&lt;ref-type name="Report"&gt;27&lt;/ref-type&gt;&lt;contributors&gt;&lt;authors&gt;&lt;author&gt;World Health Organization,&lt;/author&gt;&lt;/authors&gt;&lt;/contributors&gt;&lt;titles&gt;&lt;title&gt;WHO global report on falls prevention in older age&lt;/title&gt;&lt;/titles&gt;&lt;dates&gt;&lt;year&gt;2007&lt;/year&gt;&lt;/dates&gt;&lt;pub-location&gt;Geneva&lt;/pub-location&gt;&lt;publisher&gt;World Health Organization&lt;/publisher&gt;&lt;urls&gt;&lt;related-urls&gt;&lt;url&gt;http://www.who.int/ageing/publications/Falls_prevention7March.pdf&lt;/url&gt;&lt;/related-urls&gt;&lt;/urls&gt;&lt;/record&gt;&lt;/Cite&gt;&lt;/EndNote&gt;</w:instrText>
      </w:r>
      <w:r w:rsidRPr="00852EA3">
        <w:rPr>
          <w:vertAlign w:val="superscript"/>
        </w:rPr>
        <w:fldChar w:fldCharType="separate"/>
      </w:r>
      <w:r w:rsidR="005B3C51">
        <w:rPr>
          <w:noProof/>
          <w:vertAlign w:val="superscript"/>
        </w:rPr>
        <w:t>119</w:t>
      </w:r>
      <w:r w:rsidRPr="00852EA3">
        <w:rPr>
          <w:vertAlign w:val="superscript"/>
        </w:rPr>
        <w:fldChar w:fldCharType="end"/>
      </w:r>
    </w:p>
    <w:p w:rsidR="007A2D5A" w:rsidRDefault="007A2D5A" w:rsidP="007A2D5A">
      <w:pPr>
        <w:rPr>
          <w:rFonts w:eastAsia="Arial"/>
          <w:color w:val="1F497D" w:themeColor="text2"/>
          <w:sz w:val="28"/>
          <w:szCs w:val="28"/>
        </w:rPr>
      </w:pPr>
    </w:p>
    <w:p w:rsidR="007A2D5A" w:rsidRPr="00216643" w:rsidRDefault="007A2D5A" w:rsidP="007A2D5A">
      <w:pPr>
        <w:rPr>
          <w:color w:val="808080" w:themeColor="background1" w:themeShade="80"/>
        </w:rPr>
      </w:pPr>
      <w:r w:rsidRPr="00216643">
        <w:rPr>
          <w:rFonts w:eastAsia="Arial"/>
          <w:color w:val="808080" w:themeColor="background1" w:themeShade="80"/>
          <w:sz w:val="28"/>
          <w:szCs w:val="28"/>
        </w:rPr>
        <w:t xml:space="preserve">Motivate lifestyle changes to reduce sedentary behavior </w:t>
      </w:r>
    </w:p>
    <w:p w:rsidR="007A2D5A" w:rsidRDefault="007A2D5A" w:rsidP="007A2D5A"/>
    <w:p w:rsidR="007A2D5A" w:rsidRDefault="007A2D5A" w:rsidP="007A2D5A">
      <w:r>
        <w:t>People</w:t>
      </w:r>
      <w:r w:rsidRPr="009F4303">
        <w:t xml:space="preserve"> </w:t>
      </w:r>
      <w:r>
        <w:t>may</w:t>
      </w:r>
      <w:r w:rsidRPr="009F4303">
        <w:t xml:space="preserve"> </w:t>
      </w:r>
      <w:r>
        <w:t>meet</w:t>
      </w:r>
      <w:r w:rsidRPr="009F4303">
        <w:t xml:space="preserve"> </w:t>
      </w:r>
      <w:r>
        <w:t>the recommended levels of physical activity but</w:t>
      </w:r>
      <w:r w:rsidRPr="009F4303">
        <w:t xml:space="preserve"> still be sedentary</w:t>
      </w:r>
      <w:r>
        <w:t xml:space="preserve">, </w:t>
      </w:r>
      <w:r w:rsidRPr="009F4303">
        <w:t xml:space="preserve">if they spend a large amount of their day sitting or lying down at </w:t>
      </w:r>
      <w:r>
        <w:t xml:space="preserve">home, at work, while studying, travelling, or </w:t>
      </w:r>
      <w:r w:rsidRPr="009F4303">
        <w:t xml:space="preserve">during leisure time. </w:t>
      </w:r>
      <w:r>
        <w:t>Adherence to both adult and child sedentary behavior guidelines is low.</w:t>
      </w:r>
      <w:r>
        <w:fldChar w:fldCharType="begin"/>
      </w:r>
      <w:r>
        <w:instrText xml:space="preserve"> ADDIN EN.CITE &lt;EndNote&gt;&lt;Cite&gt;&lt;Author&gt;Tomlin&lt;/Author&gt;&lt;Year&gt;2015&lt;/Year&gt;&lt;RecNum&gt;1041&lt;/RecNum&gt;&lt;DisplayText&gt;&lt;style face="superscript"&gt;20, 21&lt;/style&gt;&lt;/DisplayText&gt;&lt;record&gt;&lt;rec-number&gt;1041&lt;/rec-number&gt;&lt;foreign-keys&gt;&lt;key app="EN" db-id="zxa00wf2opvf9oeeset50xz7ezpfwre2v20z"&gt;1041&lt;/key&gt;&lt;/foreign-keys&gt;&lt;ref-type name="Report"&gt;27&lt;/ref-type&gt;&lt;contributors&gt;&lt;authors&gt;&lt;author&gt;Tomlin, S., &lt;/author&gt;&lt;author&gt;Radomiljac, A.,&lt;/author&gt;&lt;author&gt;Kay, A. &lt;/author&gt;&lt;/authors&gt;&lt;secondary-authors&gt;&lt;author&gt;Department of Health, Western Australia.&lt;/author&gt;&lt;/secondary-authors&gt;&lt;/contributors&gt;&lt;titles&gt;&lt;title&gt;Health and wellbeing of children in Western Australia in 2014, overview and trends&lt;/title&gt;&lt;/titles&gt;&lt;dates&gt;&lt;year&gt;2015&lt;/year&gt;&lt;/dates&gt;&lt;pub-location&gt;Perth&lt;/pub-location&gt;&lt;publisher&gt;Department of Health, Western Australia&lt;/publisher&gt;&lt;urls&gt;&lt;related-urls&gt;&lt;url&gt;http://ww2.health.wa.gov.au/~/media/Files/Corporate/Reports%20and%20publications/Population%20surveys/Health-wellbeing-Children-WA-2014-OandT.ashx&lt;/url&gt;&lt;/related-urls&gt;&lt;/urls&gt;&lt;/record&gt;&lt;/Cite&gt;&lt;Cite&gt;&lt;Author&gt;Tomlin&lt;/Author&gt;&lt;Year&gt;2016&lt;/Year&gt;&lt;RecNum&gt;969&lt;/RecNum&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fldChar w:fldCharType="separate"/>
      </w:r>
      <w:r w:rsidRPr="009F7E7C">
        <w:rPr>
          <w:noProof/>
          <w:vertAlign w:val="superscript"/>
        </w:rPr>
        <w:t>20, 21</w:t>
      </w:r>
      <w:r>
        <w:fldChar w:fldCharType="end"/>
      </w:r>
    </w:p>
    <w:p w:rsidR="007A2D5A" w:rsidRDefault="007A2D5A" w:rsidP="007A2D5A"/>
    <w:p w:rsidR="007A2D5A" w:rsidRDefault="007A2D5A" w:rsidP="007A2D5A">
      <w:pPr>
        <w:rPr>
          <w:vertAlign w:val="superscript"/>
        </w:rPr>
      </w:pPr>
      <w:r w:rsidRPr="009E7B5D">
        <w:t xml:space="preserve">There </w:t>
      </w:r>
      <w:r>
        <w:t>is</w:t>
      </w:r>
      <w:r w:rsidRPr="009E7B5D">
        <w:t xml:space="preserve"> evidence that sedentary behaviour is associated with poorer health outcomes</w:t>
      </w:r>
      <w:r>
        <w:t>,</w:t>
      </w:r>
      <w:r w:rsidRPr="009E7B5D">
        <w:t xml:space="preserve"> independent of physical activity levels</w:t>
      </w:r>
      <w:r>
        <w:t>.</w:t>
      </w:r>
      <w:r>
        <w:fldChar w:fldCharType="begin"/>
      </w:r>
      <w:r w:rsidR="005B3C51">
        <w:instrText xml:space="preserve"> ADDIN EN.CITE &lt;EndNote&gt;&lt;Cite&gt;&lt;Author&gt;Brown&lt;/Author&gt;&lt;Year&gt;2012&lt;/Year&gt;&lt;RecNum&gt;277&lt;/RecNum&gt;&lt;DisplayText&gt;&lt;style face="superscript"&gt;120&lt;/style&gt;&lt;/DisplayText&gt;&lt;record&gt;&lt;rec-number&gt;277&lt;/rec-number&gt;&lt;foreign-keys&gt;&lt;key app="EN" db-id="zxa00wf2opvf9oeeset50xz7ezpfwre2v20z"&gt;277&lt;/key&gt;&lt;/foreign-keys&gt;&lt;ref-type name="Report"&gt;27&lt;/ref-type&gt;&lt;contributors&gt;&lt;authors&gt;&lt;author&gt;Brown, WJ&lt;/author&gt;&lt;author&gt;Bauman, AE&lt;/author&gt;&lt;author&gt;Bull, FC&lt;/author&gt;&lt;author&gt;Burton, NW&lt;/author&gt;&lt;/authors&gt;&lt;/contributors&gt;&lt;titles&gt;&lt;title&gt;Development of evidence-based physical activity recommendations for adults (18-64 years)&lt;/title&gt;&lt;/titles&gt;&lt;dates&gt;&lt;year&gt;2012&lt;/year&gt;&lt;/dates&gt;&lt;pub-location&gt;Canberra&lt;/pub-location&gt;&lt;publisher&gt;Commonwealth of Australia&lt;/publisher&gt;&lt;urls&gt;&lt;related-urls&gt;&lt;url&gt;http://www.health.gov.au/internet/main/publishing.nsf/Content/health-pubhlth-strateg-phys-act-guidelines/$File/DEB-PAR-Adults-18-64years.pdf&lt;/url&gt;&lt;/related-urls&gt;&lt;/urls&gt;&lt;/record&gt;&lt;/Cite&gt;&lt;/EndNote&gt;</w:instrText>
      </w:r>
      <w:r>
        <w:fldChar w:fldCharType="separate"/>
      </w:r>
      <w:r w:rsidR="005B3C51" w:rsidRPr="005B3C51">
        <w:rPr>
          <w:noProof/>
          <w:vertAlign w:val="superscript"/>
        </w:rPr>
        <w:t>120</w:t>
      </w:r>
      <w:r>
        <w:fldChar w:fldCharType="end"/>
      </w:r>
      <w:r>
        <w:t xml:space="preserve"> It is recommended that the amount of time spent sedentary each day should be minimised, and broken up as often as possible with movement integrated through daily activities. This can include structured exercise as well as incidental physical activity while working, playing, carrying out household chores, travelling and engaging in recreational pursuits such as gardening, walking or cycling for leisure.</w:t>
      </w:r>
      <w:r>
        <w:fldChar w:fldCharType="begin"/>
      </w:r>
      <w:r w:rsidR="005B3C51">
        <w:instrText xml:space="preserve"> ADDIN EN.CITE &lt;EndNote&gt;&lt;Cite&gt;&lt;Author&gt;Department of Health&lt;/Author&gt;&lt;Year&gt;2014&lt;/Year&gt;&lt;RecNum&gt;51&lt;/RecNum&gt;&lt;DisplayText&gt;&lt;style face="superscript"&gt;115&lt;/style&gt;&lt;/DisplayText&gt;&lt;record&gt;&lt;rec-number&gt;51&lt;/rec-number&gt;&lt;foreign-keys&gt;&lt;key app="EN" db-id="zxa00wf2opvf9oeeset50xz7ezpfwre2v20z"&gt;51&lt;/key&gt;&lt;/foreign-keys&gt;&lt;ref-type name="Report"&gt;27&lt;/ref-type&gt;&lt;contributors&gt;&lt;authors&gt;&lt;author&gt;Department of Health,&lt;/author&gt;&lt;author&gt;Government of Australia,&lt;/author&gt;&lt;/authors&gt;&lt;/contributors&gt;&lt;titles&gt;&lt;title&gt;Australia&amp;apos;s physical activity and sedentary behaviour guidelines&lt;/title&gt;&lt;/titles&gt;&lt;dates&gt;&lt;year&gt;2014&lt;/year&gt;&lt;/dates&gt;&lt;pub-location&gt;Canberra&lt;/pub-location&gt;&lt;publisher&gt;Commonwealth of Australia&lt;/publisher&gt;&lt;urls&gt;&lt;related-urls&gt;&lt;url&gt;http://www.health.gov.au/internet/main/publishing.nsf/content/health-pubhlth-strateg-phys-act-guidelines&lt;/url&gt;&lt;/related-urls&gt;&lt;/urls&gt;&lt;/record&gt;&lt;/Cite&gt;&lt;/EndNote&gt;</w:instrText>
      </w:r>
      <w:r>
        <w:fldChar w:fldCharType="separate"/>
      </w:r>
      <w:r w:rsidR="005B3C51" w:rsidRPr="005B3C51">
        <w:rPr>
          <w:noProof/>
          <w:vertAlign w:val="superscript"/>
        </w:rPr>
        <w:t>115</w:t>
      </w:r>
      <w:r>
        <w:fldChar w:fldCharType="end"/>
      </w:r>
      <w:r>
        <w:t xml:space="preserve"> There is a need to educate adults, parents and children about this emerging area and the national recommendations for adults and children.</w:t>
      </w:r>
    </w:p>
    <w:p w:rsidR="007A2D5A" w:rsidRDefault="007A2D5A">
      <w:pPr>
        <w:widowControl/>
        <w:spacing w:after="200" w:line="276" w:lineRule="auto"/>
        <w:rPr>
          <w:b/>
          <w:color w:val="808080" w:themeColor="background1" w:themeShade="80"/>
          <w:sz w:val="26"/>
          <w:szCs w:val="26"/>
        </w:rPr>
      </w:pPr>
      <w:r>
        <w:rPr>
          <w:b/>
          <w:color w:val="808080" w:themeColor="background1" w:themeShade="80"/>
          <w:sz w:val="26"/>
          <w:szCs w:val="26"/>
        </w:rPr>
        <w:br w:type="page"/>
      </w:r>
    </w:p>
    <w:p w:rsidR="00DF295F" w:rsidRPr="003B51BD" w:rsidRDefault="00DF295F" w:rsidP="006B4D27">
      <w:pPr>
        <w:widowControl/>
        <w:spacing w:after="200" w:line="276" w:lineRule="auto"/>
        <w:rPr>
          <w:b/>
          <w:color w:val="808080" w:themeColor="background1" w:themeShade="80"/>
          <w:sz w:val="26"/>
          <w:szCs w:val="26"/>
        </w:rPr>
      </w:pPr>
      <w:r w:rsidRPr="003B51BD">
        <w:rPr>
          <w:b/>
          <w:color w:val="808080" w:themeColor="background1" w:themeShade="80"/>
          <w:sz w:val="26"/>
          <w:szCs w:val="26"/>
        </w:rPr>
        <w:lastRenderedPageBreak/>
        <w:t xml:space="preserve">Box </w:t>
      </w:r>
      <w:r w:rsidR="003261E1" w:rsidRPr="003B51BD">
        <w:rPr>
          <w:b/>
          <w:color w:val="808080" w:themeColor="background1" w:themeShade="80"/>
          <w:sz w:val="26"/>
          <w:szCs w:val="26"/>
        </w:rPr>
        <w:t>9</w:t>
      </w:r>
      <w:r w:rsidR="00AE3B9E" w:rsidRPr="003B51BD">
        <w:rPr>
          <w:b/>
          <w:color w:val="808080" w:themeColor="background1" w:themeShade="80"/>
          <w:sz w:val="26"/>
          <w:szCs w:val="26"/>
        </w:rPr>
        <w:t xml:space="preserve">: </w:t>
      </w:r>
      <w:r w:rsidRPr="003B51BD">
        <w:rPr>
          <w:b/>
          <w:color w:val="808080" w:themeColor="background1" w:themeShade="80"/>
          <w:sz w:val="26"/>
          <w:szCs w:val="26"/>
        </w:rPr>
        <w:t xml:space="preserve"> </w:t>
      </w:r>
      <w:r w:rsidRPr="003B51BD">
        <w:rPr>
          <w:b/>
          <w:i/>
          <w:color w:val="808080" w:themeColor="background1" w:themeShade="80"/>
          <w:sz w:val="26"/>
          <w:szCs w:val="26"/>
        </w:rPr>
        <w:t xml:space="preserve">Australia’s </w:t>
      </w:r>
      <w:r w:rsidR="007A3DB8">
        <w:rPr>
          <w:b/>
          <w:i/>
          <w:color w:val="808080" w:themeColor="background1" w:themeShade="80"/>
          <w:sz w:val="26"/>
          <w:szCs w:val="26"/>
        </w:rPr>
        <w:t>P</w:t>
      </w:r>
      <w:r w:rsidRPr="003B51BD">
        <w:rPr>
          <w:b/>
          <w:i/>
          <w:color w:val="808080" w:themeColor="background1" w:themeShade="80"/>
          <w:sz w:val="26"/>
          <w:szCs w:val="26"/>
        </w:rPr>
        <w:t xml:space="preserve">hysical </w:t>
      </w:r>
      <w:r w:rsidR="007A3DB8">
        <w:rPr>
          <w:b/>
          <w:i/>
          <w:color w:val="808080" w:themeColor="background1" w:themeShade="80"/>
          <w:sz w:val="26"/>
          <w:szCs w:val="26"/>
        </w:rPr>
        <w:t>A</w:t>
      </w:r>
      <w:r w:rsidRPr="003B51BD">
        <w:rPr>
          <w:b/>
          <w:i/>
          <w:color w:val="808080" w:themeColor="background1" w:themeShade="80"/>
          <w:sz w:val="26"/>
          <w:szCs w:val="26"/>
        </w:rPr>
        <w:t xml:space="preserve">ctivity and </w:t>
      </w:r>
      <w:r w:rsidR="007A3DB8">
        <w:rPr>
          <w:b/>
          <w:i/>
          <w:color w:val="808080" w:themeColor="background1" w:themeShade="80"/>
          <w:sz w:val="26"/>
          <w:szCs w:val="26"/>
        </w:rPr>
        <w:t>S</w:t>
      </w:r>
      <w:r w:rsidRPr="003B51BD">
        <w:rPr>
          <w:b/>
          <w:i/>
          <w:color w:val="808080" w:themeColor="background1" w:themeShade="80"/>
          <w:sz w:val="26"/>
          <w:szCs w:val="26"/>
        </w:rPr>
        <w:t xml:space="preserve">edentary </w:t>
      </w:r>
      <w:r w:rsidR="007A3DB8">
        <w:rPr>
          <w:b/>
          <w:i/>
          <w:color w:val="808080" w:themeColor="background1" w:themeShade="80"/>
          <w:sz w:val="26"/>
          <w:szCs w:val="26"/>
        </w:rPr>
        <w:t>B</w:t>
      </w:r>
      <w:r w:rsidRPr="003B51BD">
        <w:rPr>
          <w:b/>
          <w:i/>
          <w:color w:val="808080" w:themeColor="background1" w:themeShade="80"/>
          <w:sz w:val="26"/>
          <w:szCs w:val="26"/>
        </w:rPr>
        <w:t xml:space="preserve">ehaviour </w:t>
      </w:r>
      <w:r w:rsidR="000D3308" w:rsidRPr="003B51BD">
        <w:rPr>
          <w:b/>
          <w:i/>
          <w:color w:val="808080" w:themeColor="background1" w:themeShade="80"/>
          <w:sz w:val="26"/>
          <w:szCs w:val="26"/>
        </w:rPr>
        <w:t>g</w:t>
      </w:r>
      <w:r w:rsidRPr="003B51BD">
        <w:rPr>
          <w:b/>
          <w:i/>
          <w:color w:val="808080" w:themeColor="background1" w:themeShade="80"/>
          <w:sz w:val="26"/>
          <w:szCs w:val="26"/>
        </w:rPr>
        <w:t>uidelines</w:t>
      </w:r>
      <w:r w:rsidR="008E4A1B" w:rsidRPr="003B51BD">
        <w:rPr>
          <w:color w:val="808080" w:themeColor="background1" w:themeShade="80"/>
          <w:sz w:val="26"/>
          <w:szCs w:val="26"/>
        </w:rPr>
        <w:fldChar w:fldCharType="begin"/>
      </w:r>
      <w:r w:rsidR="005B3C51">
        <w:rPr>
          <w:color w:val="808080" w:themeColor="background1" w:themeShade="80"/>
          <w:sz w:val="26"/>
          <w:szCs w:val="26"/>
        </w:rPr>
        <w:instrText xml:space="preserve"> ADDIN EN.CITE &lt;EndNote&gt;&lt;Cite ExcludeYear="1"&gt;&lt;Author&gt;Department of Health&lt;/Author&gt;&lt;Year&gt;2014&lt;/Year&gt;&lt;RecNum&gt;51&lt;/RecNum&gt;&lt;DisplayText&gt;&lt;style face="superscript"&gt;115&lt;/style&gt;&lt;/DisplayText&gt;&lt;record&gt;&lt;rec-number&gt;51&lt;/rec-number&gt;&lt;foreign-keys&gt;&lt;key app="EN" db-id="zxa00wf2opvf9oeeset50xz7ezpfwre2v20z"&gt;51&lt;/key&gt;&lt;/foreign-keys&gt;&lt;ref-type name="Report"&gt;27&lt;/ref-type&gt;&lt;contributors&gt;&lt;authors&gt;&lt;author&gt;Department of Health,&lt;/author&gt;&lt;author&gt;Government of Australia,&lt;/author&gt;&lt;/authors&gt;&lt;/contributors&gt;&lt;titles&gt;&lt;title&gt;Australia&amp;apos;s physical activity and sedentary behaviour guidelines&lt;/title&gt;&lt;/titles&gt;&lt;dates&gt;&lt;year&gt;2014&lt;/year&gt;&lt;/dates&gt;&lt;pub-location&gt;Canberra&lt;/pub-location&gt;&lt;publisher&gt;Commonwealth of Australia&lt;/publisher&gt;&lt;urls&gt;&lt;related-urls&gt;&lt;url&gt;http://www.health.gov.au/internet/main/publishing.nsf/content/health-pubhlth-strateg-phys-act-guidelines&lt;/url&gt;&lt;/related-urls&gt;&lt;/urls&gt;&lt;/record&gt;&lt;/Cite&gt;&lt;/EndNote&gt;</w:instrText>
      </w:r>
      <w:r w:rsidR="008E4A1B" w:rsidRPr="003B51BD">
        <w:rPr>
          <w:color w:val="808080" w:themeColor="background1" w:themeShade="80"/>
          <w:sz w:val="26"/>
          <w:szCs w:val="26"/>
        </w:rPr>
        <w:fldChar w:fldCharType="separate"/>
      </w:r>
      <w:r w:rsidR="005B3C51" w:rsidRPr="005B3C51">
        <w:rPr>
          <w:noProof/>
          <w:color w:val="808080" w:themeColor="background1" w:themeShade="80"/>
          <w:sz w:val="26"/>
          <w:szCs w:val="26"/>
          <w:vertAlign w:val="superscript"/>
        </w:rPr>
        <w:t>115</w:t>
      </w:r>
      <w:r w:rsidR="008E4A1B" w:rsidRPr="003B51BD">
        <w:rPr>
          <w:color w:val="808080" w:themeColor="background1" w:themeShade="80"/>
          <w:sz w:val="26"/>
          <w:szCs w:val="26"/>
        </w:rPr>
        <w:fldChar w:fldCharType="end"/>
      </w:r>
    </w:p>
    <w:p w:rsidR="00DF295F" w:rsidRPr="00934C74" w:rsidRDefault="00DF295F" w:rsidP="00EC788E">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sz w:val="22"/>
          <w:szCs w:val="22"/>
        </w:rPr>
      </w:pPr>
      <w:r w:rsidRPr="00934C74">
        <w:rPr>
          <w:b/>
          <w:color w:val="808080" w:themeColor="background1" w:themeShade="80"/>
          <w:sz w:val="22"/>
          <w:szCs w:val="22"/>
        </w:rPr>
        <w:t xml:space="preserve">For </w:t>
      </w:r>
      <w:r w:rsidR="000D3308" w:rsidRPr="00934C74">
        <w:rPr>
          <w:b/>
          <w:color w:val="808080" w:themeColor="background1" w:themeShade="80"/>
          <w:sz w:val="22"/>
          <w:szCs w:val="22"/>
        </w:rPr>
        <w:t>c</w:t>
      </w:r>
      <w:r w:rsidRPr="00934C74">
        <w:rPr>
          <w:b/>
          <w:color w:val="808080" w:themeColor="background1" w:themeShade="80"/>
          <w:sz w:val="22"/>
          <w:szCs w:val="22"/>
        </w:rPr>
        <w:t>hildren aged 0</w:t>
      </w:r>
      <w:r w:rsidR="00CF5F98" w:rsidRPr="00934C74">
        <w:rPr>
          <w:color w:val="808080" w:themeColor="background1" w:themeShade="80"/>
        </w:rPr>
        <w:t>–</w:t>
      </w:r>
      <w:r w:rsidRPr="00934C74">
        <w:rPr>
          <w:b/>
          <w:color w:val="808080" w:themeColor="background1" w:themeShade="80"/>
          <w:sz w:val="22"/>
          <w:szCs w:val="22"/>
        </w:rPr>
        <w:t>5:</w:t>
      </w:r>
    </w:p>
    <w:p w:rsidR="00DF295F" w:rsidRPr="00934C74" w:rsidRDefault="00DF295F" w:rsidP="00934C74">
      <w:pPr>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For healthy development in infants (birth</w:t>
      </w:r>
      <w:r w:rsidR="00AE3B9E" w:rsidRPr="00934C74">
        <w:rPr>
          <w:color w:val="808080" w:themeColor="background1" w:themeShade="80"/>
        </w:rPr>
        <w:t>–</w:t>
      </w:r>
      <w:r w:rsidRPr="00934C74">
        <w:rPr>
          <w:color w:val="808080" w:themeColor="background1" w:themeShade="80"/>
          <w:sz w:val="22"/>
          <w:szCs w:val="22"/>
        </w:rPr>
        <w:t>1 year) physical activity</w:t>
      </w:r>
      <w:r w:rsidR="00AE3B9E" w:rsidRPr="00934C74">
        <w:rPr>
          <w:color w:val="808080" w:themeColor="background1" w:themeShade="80"/>
          <w:sz w:val="22"/>
          <w:szCs w:val="22"/>
        </w:rPr>
        <w:t>—</w:t>
      </w:r>
      <w:r w:rsidRPr="00934C74">
        <w:rPr>
          <w:color w:val="808080" w:themeColor="background1" w:themeShade="80"/>
          <w:sz w:val="22"/>
          <w:szCs w:val="22"/>
        </w:rPr>
        <w:t>particularly supervised floor-based play in safe environments</w:t>
      </w:r>
      <w:r w:rsidR="00AE3B9E" w:rsidRPr="00934C74">
        <w:rPr>
          <w:color w:val="808080" w:themeColor="background1" w:themeShade="80"/>
          <w:sz w:val="22"/>
          <w:szCs w:val="22"/>
        </w:rPr>
        <w:t>—</w:t>
      </w:r>
      <w:r w:rsidRPr="00934C74">
        <w:rPr>
          <w:color w:val="808080" w:themeColor="background1" w:themeShade="80"/>
          <w:sz w:val="22"/>
          <w:szCs w:val="22"/>
        </w:rPr>
        <w:t xml:space="preserve">should be encouraged from birth. </w:t>
      </w:r>
    </w:p>
    <w:p w:rsidR="00DF295F" w:rsidRPr="00934C74" w:rsidRDefault="00DF295F" w:rsidP="00934C74">
      <w:pPr>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Toddlers (1</w:t>
      </w:r>
      <w:r w:rsidR="00CF5F98" w:rsidRPr="00934C74">
        <w:rPr>
          <w:color w:val="808080" w:themeColor="background1" w:themeShade="80"/>
        </w:rPr>
        <w:t>–</w:t>
      </w:r>
      <w:r w:rsidRPr="00934C74">
        <w:rPr>
          <w:color w:val="808080" w:themeColor="background1" w:themeShade="80"/>
          <w:sz w:val="22"/>
          <w:szCs w:val="22"/>
        </w:rPr>
        <w:t>3 years) and pre-schoolers (3</w:t>
      </w:r>
      <w:r w:rsidR="00CF5F98" w:rsidRPr="00934C74">
        <w:rPr>
          <w:color w:val="808080" w:themeColor="background1" w:themeShade="80"/>
        </w:rPr>
        <w:t>–</w:t>
      </w:r>
      <w:r w:rsidRPr="00934C74">
        <w:rPr>
          <w:color w:val="808080" w:themeColor="background1" w:themeShade="80"/>
          <w:sz w:val="22"/>
          <w:szCs w:val="22"/>
        </w:rPr>
        <w:t xml:space="preserve">5 years) should be physically active every day for at least three hours, spread throughout the day. </w:t>
      </w:r>
    </w:p>
    <w:p w:rsidR="00DF295F" w:rsidRPr="00934C74" w:rsidRDefault="00DF295F" w:rsidP="00934C74">
      <w:pPr>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Children under 2 should not spend any time watching television or using other electronic media (DVDs, compute</w:t>
      </w:r>
      <w:r w:rsidR="00816A36" w:rsidRPr="00934C74">
        <w:rPr>
          <w:color w:val="808080" w:themeColor="background1" w:themeShade="80"/>
          <w:sz w:val="22"/>
          <w:szCs w:val="22"/>
        </w:rPr>
        <w:t>r</w:t>
      </w:r>
      <w:r w:rsidRPr="00934C74">
        <w:rPr>
          <w:color w:val="808080" w:themeColor="background1" w:themeShade="80"/>
          <w:sz w:val="22"/>
          <w:szCs w:val="22"/>
        </w:rPr>
        <w:t xml:space="preserve"> and other electronic games) and children aged 2</w:t>
      </w:r>
      <w:r w:rsidR="002B6880" w:rsidRPr="00934C74">
        <w:rPr>
          <w:color w:val="808080" w:themeColor="background1" w:themeShade="80"/>
        </w:rPr>
        <w:t>–</w:t>
      </w:r>
      <w:r w:rsidRPr="00934C74">
        <w:rPr>
          <w:color w:val="808080" w:themeColor="background1" w:themeShade="80"/>
          <w:sz w:val="22"/>
          <w:szCs w:val="22"/>
        </w:rPr>
        <w:t xml:space="preserve">5 years should be limited to less than one hour per day. </w:t>
      </w:r>
    </w:p>
    <w:p w:rsidR="00DF295F" w:rsidRPr="00934C74" w:rsidRDefault="00DF295F" w:rsidP="00934C74">
      <w:pPr>
        <w:numPr>
          <w:ilvl w:val="0"/>
          <w:numId w:val="25"/>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Infants, toddlers and pre-schoolers (all children birth</w:t>
      </w:r>
      <w:r w:rsidR="002B6880" w:rsidRPr="00934C74">
        <w:rPr>
          <w:color w:val="808080" w:themeColor="background1" w:themeShade="80"/>
        </w:rPr>
        <w:t>–</w:t>
      </w:r>
      <w:r w:rsidRPr="00934C74">
        <w:rPr>
          <w:color w:val="808080" w:themeColor="background1" w:themeShade="80"/>
          <w:sz w:val="22"/>
          <w:szCs w:val="22"/>
        </w:rPr>
        <w:t>5 years) should not be sedentary, restrained, or kept inactive, for more than one hour at a time, with the exception of sleeping.</w:t>
      </w:r>
    </w:p>
    <w:p w:rsidR="00DF295F" w:rsidRPr="00934C74" w:rsidRDefault="00DF295F" w:rsidP="00934C74">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contextualSpacing/>
        <w:rPr>
          <w:color w:val="808080" w:themeColor="background1" w:themeShade="80"/>
          <w:sz w:val="22"/>
          <w:szCs w:val="22"/>
        </w:rPr>
      </w:pPr>
    </w:p>
    <w:p w:rsidR="00DF295F" w:rsidRPr="00934C74" w:rsidRDefault="00DF295F" w:rsidP="00216643">
      <w:pPr>
        <w:pBdr>
          <w:top w:val="single" w:sz="4" w:space="1" w:color="auto"/>
          <w:left w:val="single" w:sz="4" w:space="4" w:color="auto"/>
          <w:bottom w:val="single" w:sz="4" w:space="1" w:color="auto"/>
          <w:right w:val="single" w:sz="4" w:space="4" w:color="auto"/>
        </w:pBdr>
        <w:shd w:val="clear" w:color="auto" w:fill="F2F2F2" w:themeFill="background1" w:themeFillShade="F2"/>
        <w:rPr>
          <w:b/>
          <w:color w:val="808080" w:themeColor="background1" w:themeShade="80"/>
          <w:sz w:val="22"/>
          <w:szCs w:val="22"/>
        </w:rPr>
      </w:pPr>
      <w:r w:rsidRPr="00934C74">
        <w:rPr>
          <w:b/>
          <w:color w:val="808080" w:themeColor="background1" w:themeShade="80"/>
          <w:sz w:val="22"/>
          <w:szCs w:val="22"/>
        </w:rPr>
        <w:t>For children and young people aged 5</w:t>
      </w:r>
      <w:r w:rsidR="00CF5F98" w:rsidRPr="00934C74">
        <w:rPr>
          <w:color w:val="808080" w:themeColor="background1" w:themeShade="80"/>
        </w:rPr>
        <w:t>–</w:t>
      </w:r>
      <w:r w:rsidRPr="00934C74">
        <w:rPr>
          <w:b/>
          <w:color w:val="808080" w:themeColor="background1" w:themeShade="80"/>
          <w:sz w:val="22"/>
          <w:szCs w:val="22"/>
        </w:rPr>
        <w:t>17 years:</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b/>
          <w:color w:val="808080" w:themeColor="background1" w:themeShade="80"/>
          <w:sz w:val="22"/>
          <w:szCs w:val="22"/>
        </w:rPr>
      </w:pPr>
      <w:r w:rsidRPr="00934C74">
        <w:rPr>
          <w:color w:val="808080" w:themeColor="background1" w:themeShade="80"/>
          <w:sz w:val="22"/>
          <w:szCs w:val="22"/>
        </w:rPr>
        <w:t xml:space="preserve">Children and young people should accumulate at least 60 minutes (and up to several hours for additional health benefits) of moderate to vigorous intensity physical activity every day. This should include a variety of aerobic activities as well as activities that strengthen muscle and bone. </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 xml:space="preserve">Break up long periods of sitting as often as possible. Children and young people should not spend more than two hours a day using electronic media for entertainment, particularly during daylight hours. </w:t>
      </w:r>
    </w:p>
    <w:p w:rsidR="00DF295F" w:rsidRPr="00934C74" w:rsidRDefault="00DF295F" w:rsidP="00934C74">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contextualSpacing/>
        <w:rPr>
          <w:color w:val="808080" w:themeColor="background1" w:themeShade="80"/>
          <w:sz w:val="22"/>
          <w:szCs w:val="22"/>
        </w:rPr>
      </w:pPr>
    </w:p>
    <w:p w:rsidR="00DF295F" w:rsidRPr="00934C74" w:rsidRDefault="00DF295F" w:rsidP="0021664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b/>
          <w:color w:val="808080" w:themeColor="background1" w:themeShade="80"/>
          <w:sz w:val="22"/>
          <w:szCs w:val="22"/>
        </w:rPr>
      </w:pPr>
      <w:r w:rsidRPr="00934C74">
        <w:rPr>
          <w:b/>
          <w:color w:val="808080" w:themeColor="background1" w:themeShade="80"/>
          <w:sz w:val="22"/>
          <w:szCs w:val="22"/>
        </w:rPr>
        <w:t>For adults aged 18</w:t>
      </w:r>
      <w:r w:rsidR="00CF5F98" w:rsidRPr="00934C74">
        <w:rPr>
          <w:color w:val="808080" w:themeColor="background1" w:themeShade="80"/>
        </w:rPr>
        <w:t>–</w:t>
      </w:r>
      <w:r w:rsidRPr="00934C74">
        <w:rPr>
          <w:b/>
          <w:color w:val="808080" w:themeColor="background1" w:themeShade="80"/>
          <w:sz w:val="22"/>
          <w:szCs w:val="22"/>
        </w:rPr>
        <w:t>64 years:</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 xml:space="preserve">Doing any physical activity is better than doing none. If you currently do no physical activity, start by doing some, and gradually build up to the recommended amount. </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 xml:space="preserve">Be active on most, preferably all, days every week. </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Accumulate 150</w:t>
      </w:r>
      <w:r w:rsidR="002B6880" w:rsidRPr="00934C74">
        <w:rPr>
          <w:color w:val="808080" w:themeColor="background1" w:themeShade="80"/>
        </w:rPr>
        <w:t>–</w:t>
      </w:r>
      <w:r w:rsidRPr="00934C74">
        <w:rPr>
          <w:color w:val="808080" w:themeColor="background1" w:themeShade="80"/>
          <w:sz w:val="22"/>
          <w:szCs w:val="22"/>
        </w:rPr>
        <w:t>300 minutes (2</w:t>
      </w:r>
      <w:r w:rsidR="00CF5F98" w:rsidRPr="00934C74">
        <w:rPr>
          <w:color w:val="808080" w:themeColor="background1" w:themeShade="80"/>
        </w:rPr>
        <w:t>–</w:t>
      </w:r>
      <w:r w:rsidRPr="00934C74">
        <w:rPr>
          <w:color w:val="808080" w:themeColor="background1" w:themeShade="80"/>
          <w:sz w:val="22"/>
          <w:szCs w:val="22"/>
        </w:rPr>
        <w:t>5 hours) of moderate intensity physical activity or 75</w:t>
      </w:r>
      <w:r w:rsidR="002B6880" w:rsidRPr="00934C74">
        <w:rPr>
          <w:color w:val="808080" w:themeColor="background1" w:themeShade="80"/>
        </w:rPr>
        <w:t>–</w:t>
      </w:r>
      <w:r w:rsidRPr="00934C74">
        <w:rPr>
          <w:color w:val="808080" w:themeColor="background1" w:themeShade="80"/>
          <w:sz w:val="22"/>
          <w:szCs w:val="22"/>
        </w:rPr>
        <w:t>150 minutes (1</w:t>
      </w:r>
      <w:r w:rsidR="00CF5F98" w:rsidRPr="00934C74">
        <w:rPr>
          <w:color w:val="808080" w:themeColor="background1" w:themeShade="80"/>
        </w:rPr>
        <w:t>–</w:t>
      </w:r>
      <w:r w:rsidRPr="00934C74">
        <w:rPr>
          <w:color w:val="808080" w:themeColor="background1" w:themeShade="80"/>
          <w:sz w:val="22"/>
          <w:szCs w:val="22"/>
        </w:rPr>
        <w:t xml:space="preserve">2 hours) of vigorous intensity physical activity, or an equivalent combination of both moderate and vigorous activities, each week. </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 xml:space="preserve">Do muscle strengthening activities on at least 2 days each week. </w:t>
      </w:r>
    </w:p>
    <w:p w:rsidR="00DF295F" w:rsidRPr="00934C74" w:rsidRDefault="00DF295F" w:rsidP="00934C74">
      <w:p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contextualSpacing/>
        <w:rPr>
          <w:color w:val="808080" w:themeColor="background1" w:themeShade="80"/>
          <w:sz w:val="22"/>
          <w:szCs w:val="22"/>
        </w:rPr>
      </w:pPr>
    </w:p>
    <w:p w:rsidR="00DF295F" w:rsidRPr="00934C74" w:rsidRDefault="00DF295F" w:rsidP="00216643">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rPr>
          <w:b/>
          <w:color w:val="808080" w:themeColor="background1" w:themeShade="80"/>
          <w:sz w:val="22"/>
          <w:szCs w:val="22"/>
        </w:rPr>
      </w:pPr>
      <w:r w:rsidRPr="00934C74">
        <w:rPr>
          <w:b/>
          <w:color w:val="808080" w:themeColor="background1" w:themeShade="80"/>
          <w:sz w:val="22"/>
          <w:szCs w:val="22"/>
        </w:rPr>
        <w:t>For older adults (65 years and older):</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 xml:space="preserve">Older people should do some form of physical activity, no matter what their age, weight, health problems or abilities. </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 xml:space="preserve">Older people should be active every day in as many ways as possible, doing a range of physical activities that incorporate fitness, strength, balance and flexibility. </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Older people should accumulate at least 30 minutes of moderate intensity physical activity on most, preferably all, days.</w:t>
      </w:r>
    </w:p>
    <w:p w:rsidR="00DF295F" w:rsidRPr="00934C74" w:rsidRDefault="00DF295F" w:rsidP="00934C74">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934C74">
        <w:rPr>
          <w:color w:val="808080" w:themeColor="background1" w:themeShade="80"/>
          <w:sz w:val="22"/>
          <w:szCs w:val="22"/>
        </w:rPr>
        <w:t xml:space="preserve">Older people who have stopped physical activity, or who are starting a new physical activity, should start at a level that is easily manageable and gradually build up the recommended amount, type and frequency of activity. </w:t>
      </w:r>
    </w:p>
    <w:p w:rsidR="00DF295F" w:rsidRPr="00216643" w:rsidRDefault="00DF295F" w:rsidP="00216643">
      <w:pPr>
        <w:numPr>
          <w:ilvl w:val="0"/>
          <w:numId w:val="26"/>
        </w:numPr>
        <w:pBdr>
          <w:top w:val="single" w:sz="4" w:space="1" w:color="auto"/>
          <w:left w:val="single" w:sz="4" w:space="4" w:color="auto"/>
          <w:bottom w:val="single" w:sz="4" w:space="1" w:color="auto"/>
          <w:right w:val="single" w:sz="4" w:space="4" w:color="auto"/>
        </w:pBdr>
        <w:shd w:val="clear" w:color="auto" w:fill="F2F2F2" w:themeFill="background1" w:themeFillShade="F2"/>
        <w:spacing w:after="200" w:line="276" w:lineRule="auto"/>
        <w:ind w:left="284" w:hanging="284"/>
        <w:contextualSpacing/>
        <w:rPr>
          <w:color w:val="808080" w:themeColor="background1" w:themeShade="80"/>
          <w:sz w:val="22"/>
          <w:szCs w:val="22"/>
        </w:rPr>
      </w:pPr>
      <w:r w:rsidRPr="00216643">
        <w:rPr>
          <w:color w:val="808080" w:themeColor="background1" w:themeShade="80"/>
          <w:sz w:val="22"/>
          <w:szCs w:val="22"/>
        </w:rPr>
        <w:t xml:space="preserve">Older people who continue to enjoy a lifetime of vigorous physical activity should carry on doing so in a manner suited to their capability into later life, provided recommended safety procedures and guidelines are adhered to. </w:t>
      </w:r>
    </w:p>
    <w:p w:rsidR="00DF295F" w:rsidRDefault="00DF295F" w:rsidP="00DF295F"/>
    <w:p w:rsidR="00DF295F" w:rsidRPr="004E6A4B" w:rsidRDefault="00DF295F" w:rsidP="00667210">
      <w:pPr>
        <w:pStyle w:val="Heading2"/>
      </w:pPr>
      <w:bookmarkStart w:id="33" w:name="_Toc454180222"/>
      <w:bookmarkStart w:id="34" w:name="_Toc462049325"/>
      <w:r w:rsidRPr="004E6A4B">
        <w:t xml:space="preserve">Strategic directions for </w:t>
      </w:r>
      <w:r>
        <w:t xml:space="preserve">a more active </w:t>
      </w:r>
      <w:bookmarkEnd w:id="33"/>
      <w:r w:rsidR="00B6397B">
        <w:t>WA</w:t>
      </w:r>
      <w:bookmarkEnd w:id="34"/>
    </w:p>
    <w:p w:rsidR="00DF295F" w:rsidRDefault="00DF295F" w:rsidP="00DF295F">
      <w:pPr>
        <w:rPr>
          <w:rFonts w:asciiTheme="majorHAnsi" w:hAnsiTheme="majorHAnsi"/>
          <w:b/>
          <w:sz w:val="26"/>
          <w:szCs w:val="26"/>
        </w:rPr>
      </w:pPr>
    </w:p>
    <w:tbl>
      <w:tblPr>
        <w:tblStyle w:val="TableGrid"/>
        <w:tblW w:w="0" w:type="auto"/>
        <w:tblLook w:val="04A0" w:firstRow="1" w:lastRow="0" w:firstColumn="1" w:lastColumn="0" w:noHBand="0" w:noVBand="1"/>
      </w:tblPr>
      <w:tblGrid>
        <w:gridCol w:w="9242"/>
      </w:tblGrid>
      <w:tr w:rsidR="009A26AD" w:rsidTr="00F733C7">
        <w:tc>
          <w:tcPr>
            <w:tcW w:w="9242" w:type="dxa"/>
            <w:shd w:val="clear" w:color="auto" w:fill="808080" w:themeFill="background1" w:themeFillShade="80"/>
          </w:tcPr>
          <w:p w:rsidR="009A26AD" w:rsidRPr="00DF7D81" w:rsidRDefault="009A26AD" w:rsidP="009A26AD">
            <w:pPr>
              <w:rPr>
                <w:b/>
                <w:color w:val="FFFFFF" w:themeColor="background1"/>
              </w:rPr>
            </w:pPr>
            <w:r w:rsidRPr="00DF7D81">
              <w:rPr>
                <w:b/>
                <w:color w:val="FFFFFF" w:themeColor="background1"/>
              </w:rPr>
              <w:t>Healthy policies</w:t>
            </w:r>
          </w:p>
          <w:p w:rsidR="009A26AD" w:rsidRPr="00BE0A3C" w:rsidRDefault="009A26AD" w:rsidP="00DF295F"/>
        </w:tc>
      </w:tr>
      <w:tr w:rsidR="009A26AD" w:rsidTr="009A26AD">
        <w:tc>
          <w:tcPr>
            <w:tcW w:w="9242" w:type="dxa"/>
          </w:tcPr>
          <w:p w:rsidR="009A26AD" w:rsidRPr="00BE0A3C" w:rsidRDefault="009A26AD" w:rsidP="00F82D19">
            <w:pPr>
              <w:pStyle w:val="ListParagraph"/>
              <w:numPr>
                <w:ilvl w:val="0"/>
                <w:numId w:val="14"/>
              </w:numPr>
              <w:ind w:left="426"/>
            </w:pPr>
            <w:r w:rsidRPr="00BE0A3C">
              <w:t xml:space="preserve">Support the development and implementation of policies that </w:t>
            </w:r>
            <w:r w:rsidR="00844EEA">
              <w:t>will</w:t>
            </w:r>
            <w:r w:rsidRPr="00BE0A3C">
              <w:t xml:space="preserve"> positively influence physical activity and reduce sedentary behavio</w:t>
            </w:r>
            <w:r w:rsidR="00C3115E">
              <w:t>u</w:t>
            </w:r>
            <w:r w:rsidRPr="00BE0A3C">
              <w:t xml:space="preserve">r </w:t>
            </w:r>
          </w:p>
          <w:p w:rsidR="009A26AD" w:rsidRPr="00BE0A3C" w:rsidRDefault="009A26AD" w:rsidP="00F82D19">
            <w:pPr>
              <w:pStyle w:val="ListParagraph"/>
              <w:numPr>
                <w:ilvl w:val="0"/>
                <w:numId w:val="14"/>
              </w:numPr>
              <w:ind w:left="426"/>
            </w:pPr>
            <w:r w:rsidRPr="00BE0A3C">
              <w:t>Encourage and support the development and implementation of organisational policies that facilitate increased physical activity and reduced sedentary behavior, particularly in key settings</w:t>
            </w:r>
          </w:p>
        </w:tc>
      </w:tr>
      <w:tr w:rsidR="009A26AD" w:rsidTr="00F733C7">
        <w:tc>
          <w:tcPr>
            <w:tcW w:w="9242" w:type="dxa"/>
            <w:shd w:val="clear" w:color="auto" w:fill="808080" w:themeFill="background1" w:themeFillShade="80"/>
          </w:tcPr>
          <w:p w:rsidR="009A26AD" w:rsidRPr="00DF7D81" w:rsidRDefault="009A26AD" w:rsidP="009A26AD">
            <w:pPr>
              <w:rPr>
                <w:b/>
                <w:color w:val="FFFFFF" w:themeColor="background1"/>
              </w:rPr>
            </w:pPr>
            <w:r w:rsidRPr="00DF7D81">
              <w:rPr>
                <w:b/>
                <w:color w:val="FFFFFF" w:themeColor="background1"/>
              </w:rPr>
              <w:t>Legislation and regulation</w:t>
            </w:r>
          </w:p>
          <w:p w:rsidR="009A26AD" w:rsidRPr="00BE0A3C" w:rsidRDefault="009A26AD" w:rsidP="00DF295F"/>
        </w:tc>
      </w:tr>
      <w:tr w:rsidR="009A26AD" w:rsidTr="009A26AD">
        <w:tc>
          <w:tcPr>
            <w:tcW w:w="9242" w:type="dxa"/>
          </w:tcPr>
          <w:p w:rsidR="009A26AD" w:rsidRPr="00BE0A3C" w:rsidRDefault="00484AD4" w:rsidP="00844EEA">
            <w:pPr>
              <w:pStyle w:val="ListParagraph"/>
              <w:numPr>
                <w:ilvl w:val="0"/>
                <w:numId w:val="14"/>
              </w:numPr>
              <w:ind w:left="426"/>
            </w:pPr>
            <w:r w:rsidRPr="00BE0A3C">
              <w:t xml:space="preserve">Support regulatory initiatives </w:t>
            </w:r>
            <w:r w:rsidR="00844EEA">
              <w:t>that will</w:t>
            </w:r>
            <w:r w:rsidRPr="00BE0A3C">
              <w:t xml:space="preserve"> positively influence physical activity</w:t>
            </w:r>
            <w:r>
              <w:t xml:space="preserve"> and sedentary behaviour</w:t>
            </w:r>
            <w:r w:rsidRPr="00BE0A3C">
              <w:t>, including those that address planning, transport</w:t>
            </w:r>
            <w:r w:rsidR="00F82D19">
              <w:t>,</w:t>
            </w:r>
            <w:r w:rsidRPr="00BE0A3C">
              <w:t xml:space="preserve"> land use and the design of built environments </w:t>
            </w:r>
          </w:p>
        </w:tc>
      </w:tr>
      <w:tr w:rsidR="009A26AD" w:rsidTr="00F733C7">
        <w:tc>
          <w:tcPr>
            <w:tcW w:w="9242" w:type="dxa"/>
            <w:shd w:val="clear" w:color="auto" w:fill="808080" w:themeFill="background1" w:themeFillShade="80"/>
          </w:tcPr>
          <w:p w:rsidR="009A26AD" w:rsidRPr="00DF7D81" w:rsidRDefault="009A26AD" w:rsidP="009A26AD">
            <w:pPr>
              <w:rPr>
                <w:b/>
                <w:color w:val="FFFFFF" w:themeColor="background1"/>
              </w:rPr>
            </w:pPr>
            <w:r w:rsidRPr="00DF7D81">
              <w:rPr>
                <w:b/>
                <w:color w:val="FFFFFF" w:themeColor="background1"/>
              </w:rPr>
              <w:t>Economic interventions</w:t>
            </w:r>
          </w:p>
          <w:p w:rsidR="009A26AD" w:rsidRPr="00BE0A3C" w:rsidRDefault="009A26AD" w:rsidP="009A26AD">
            <w:pPr>
              <w:pStyle w:val="ListParagraph"/>
            </w:pPr>
          </w:p>
        </w:tc>
      </w:tr>
      <w:tr w:rsidR="004F0CF2" w:rsidRPr="003D7483" w:rsidTr="000D6E37">
        <w:trPr>
          <w:trHeight w:val="638"/>
        </w:trPr>
        <w:tc>
          <w:tcPr>
            <w:tcW w:w="9242" w:type="dxa"/>
          </w:tcPr>
          <w:p w:rsidR="004F0CF2" w:rsidRDefault="00586DEA" w:rsidP="000D6E37">
            <w:pPr>
              <w:pStyle w:val="ListParagraph"/>
              <w:numPr>
                <w:ilvl w:val="0"/>
                <w:numId w:val="14"/>
              </w:numPr>
              <w:ind w:left="426"/>
            </w:pPr>
            <w:r>
              <w:t>Investigate and consider</w:t>
            </w:r>
            <w:r w:rsidR="004F0CF2">
              <w:t xml:space="preserve"> </w:t>
            </w:r>
            <w:r w:rsidR="00844EEA">
              <w:t xml:space="preserve">fiscal policies </w:t>
            </w:r>
            <w:r>
              <w:t>with the potential</w:t>
            </w:r>
            <w:r w:rsidR="004F0CF2" w:rsidRPr="008C0709">
              <w:t xml:space="preserve"> to remove barriers to </w:t>
            </w:r>
            <w:r w:rsidR="000D6E37">
              <w:t xml:space="preserve">participation in </w:t>
            </w:r>
            <w:r w:rsidR="004F0CF2" w:rsidRPr="008C0709">
              <w:t>physical activity</w:t>
            </w:r>
          </w:p>
        </w:tc>
      </w:tr>
      <w:tr w:rsidR="004F0CF2" w:rsidRPr="003D7483" w:rsidTr="00A30BFE">
        <w:trPr>
          <w:trHeight w:val="421"/>
        </w:trPr>
        <w:tc>
          <w:tcPr>
            <w:tcW w:w="9242" w:type="dxa"/>
            <w:shd w:val="clear" w:color="auto" w:fill="808080" w:themeFill="background1" w:themeFillShade="80"/>
          </w:tcPr>
          <w:p w:rsidR="00F733C7" w:rsidRPr="004F0CF2" w:rsidRDefault="00EA2C21" w:rsidP="00EA2C21">
            <w:pPr>
              <w:shd w:val="clear" w:color="auto" w:fill="808080" w:themeFill="background1" w:themeFillShade="80"/>
              <w:rPr>
                <w:b/>
                <w:color w:val="FFFFFF" w:themeColor="background1"/>
              </w:rPr>
            </w:pPr>
            <w:r>
              <w:rPr>
                <w:b/>
                <w:color w:val="FFFFFF" w:themeColor="background1"/>
              </w:rPr>
              <w:t>Supportive environments</w:t>
            </w:r>
          </w:p>
        </w:tc>
      </w:tr>
      <w:tr w:rsidR="009A26AD" w:rsidRPr="003D7483" w:rsidTr="00415A13">
        <w:trPr>
          <w:trHeight w:val="1232"/>
        </w:trPr>
        <w:tc>
          <w:tcPr>
            <w:tcW w:w="9242" w:type="dxa"/>
          </w:tcPr>
          <w:p w:rsidR="00E429B7" w:rsidRPr="00F82D19" w:rsidRDefault="004F0CF2" w:rsidP="00F82D19">
            <w:pPr>
              <w:pStyle w:val="ListParagraph"/>
              <w:numPr>
                <w:ilvl w:val="0"/>
                <w:numId w:val="14"/>
              </w:numPr>
              <w:ind w:left="426"/>
            </w:pPr>
            <w:r w:rsidRPr="00E429B7">
              <w:t>Work across government and key sectors to influence the design of natural and built environments that support physical activity and active travel.</w:t>
            </w:r>
          </w:p>
          <w:p w:rsidR="009A26AD" w:rsidRPr="00E429B7" w:rsidRDefault="004F0CF2" w:rsidP="000D6E37">
            <w:pPr>
              <w:pStyle w:val="ListParagraph"/>
              <w:numPr>
                <w:ilvl w:val="0"/>
                <w:numId w:val="14"/>
              </w:numPr>
              <w:ind w:left="426"/>
            </w:pPr>
            <w:r w:rsidRPr="00E429B7">
              <w:t>Facilitate the creation of health-promoting environments to increase physical activity (including the development of fundamental movement skills) and reduce sedentary behavior in key settings</w:t>
            </w:r>
            <w:r w:rsidR="0099210E">
              <w:t xml:space="preserve"> </w:t>
            </w:r>
          </w:p>
        </w:tc>
      </w:tr>
      <w:tr w:rsidR="009A26AD" w:rsidTr="00A30BFE">
        <w:tc>
          <w:tcPr>
            <w:tcW w:w="9242" w:type="dxa"/>
            <w:shd w:val="clear" w:color="auto" w:fill="808080" w:themeFill="background1" w:themeFillShade="80"/>
          </w:tcPr>
          <w:p w:rsidR="00C8006E" w:rsidRPr="003D7483" w:rsidRDefault="00C8006E" w:rsidP="00C8006E">
            <w:pPr>
              <w:rPr>
                <w:b/>
                <w:color w:val="FFFFFF" w:themeColor="background1"/>
              </w:rPr>
            </w:pPr>
            <w:r w:rsidRPr="003D7483">
              <w:rPr>
                <w:b/>
                <w:color w:val="FFFFFF" w:themeColor="background1"/>
              </w:rPr>
              <w:t>Public awareness and engagement</w:t>
            </w:r>
          </w:p>
          <w:p w:rsidR="009A26AD" w:rsidRPr="00BE0A3C" w:rsidRDefault="009A26AD" w:rsidP="00C8006E">
            <w:pPr>
              <w:pStyle w:val="ListParagraph"/>
            </w:pPr>
          </w:p>
        </w:tc>
      </w:tr>
      <w:tr w:rsidR="009A26AD" w:rsidTr="009A26AD">
        <w:tc>
          <w:tcPr>
            <w:tcW w:w="9242" w:type="dxa"/>
          </w:tcPr>
          <w:p w:rsidR="00C8006E" w:rsidRPr="00BE0A3C" w:rsidRDefault="00C8006E" w:rsidP="00F82D19">
            <w:pPr>
              <w:pStyle w:val="ListParagraph"/>
              <w:numPr>
                <w:ilvl w:val="0"/>
                <w:numId w:val="14"/>
              </w:numPr>
              <w:ind w:left="426"/>
            </w:pPr>
            <w:r w:rsidRPr="00BE0A3C">
              <w:t>Invest in sustained, high quality statewide public education campaigns that raise awareness of the benefits of physical activity and motivate and support increase</w:t>
            </w:r>
            <w:r w:rsidR="006F1BBB">
              <w:t>d</w:t>
            </w:r>
            <w:r w:rsidRPr="00BE0A3C">
              <w:t xml:space="preserve"> physical activity and reduce</w:t>
            </w:r>
            <w:r w:rsidR="006F1BBB">
              <w:t>d</w:t>
            </w:r>
            <w:r w:rsidRPr="00BE0A3C">
              <w:t xml:space="preserve"> sedentary behaviour </w:t>
            </w:r>
            <w:r w:rsidR="000353A6">
              <w:t>across the life-course</w:t>
            </w:r>
          </w:p>
          <w:p w:rsidR="009A26AD" w:rsidRPr="00BE0A3C" w:rsidRDefault="00C8006E" w:rsidP="000353A6">
            <w:pPr>
              <w:pStyle w:val="ListParagraph"/>
              <w:numPr>
                <w:ilvl w:val="0"/>
                <w:numId w:val="14"/>
              </w:numPr>
              <w:ind w:left="426"/>
            </w:pPr>
            <w:r w:rsidRPr="00BE0A3C">
              <w:t>Increase access to evidence-based advice across multiple settings about the quantity and quality of physical activity needed at all stages of life</w:t>
            </w:r>
            <w:r w:rsidR="001576CA">
              <w:t xml:space="preserve"> to maintain good health</w:t>
            </w:r>
            <w:r w:rsidRPr="00BE0A3C">
              <w:t xml:space="preserve"> </w:t>
            </w:r>
          </w:p>
        </w:tc>
      </w:tr>
      <w:tr w:rsidR="009A26AD" w:rsidTr="00A30BFE">
        <w:trPr>
          <w:trHeight w:val="260"/>
        </w:trPr>
        <w:tc>
          <w:tcPr>
            <w:tcW w:w="9242" w:type="dxa"/>
            <w:shd w:val="clear" w:color="auto" w:fill="808080" w:themeFill="background1" w:themeFillShade="80"/>
          </w:tcPr>
          <w:p w:rsidR="009A26AD" w:rsidRPr="00DF7D81" w:rsidRDefault="00C8006E" w:rsidP="00C8006E">
            <w:pPr>
              <w:rPr>
                <w:b/>
                <w:color w:val="FFFFFF" w:themeColor="background1"/>
              </w:rPr>
            </w:pPr>
            <w:r w:rsidRPr="00DF7D81">
              <w:rPr>
                <w:b/>
                <w:color w:val="FFFFFF" w:themeColor="background1"/>
              </w:rPr>
              <w:t>Community development</w:t>
            </w:r>
          </w:p>
          <w:p w:rsidR="003D7483" w:rsidRPr="00BE0A3C" w:rsidRDefault="003D7483" w:rsidP="00C8006E"/>
        </w:tc>
      </w:tr>
      <w:tr w:rsidR="003D7483" w:rsidTr="00EC3A6A">
        <w:trPr>
          <w:trHeight w:val="1413"/>
        </w:trPr>
        <w:tc>
          <w:tcPr>
            <w:tcW w:w="9242" w:type="dxa"/>
          </w:tcPr>
          <w:p w:rsidR="003D7483" w:rsidRPr="00BE0A3C" w:rsidRDefault="003D7483" w:rsidP="00F82D19">
            <w:pPr>
              <w:pStyle w:val="ListParagraph"/>
              <w:numPr>
                <w:ilvl w:val="0"/>
                <w:numId w:val="14"/>
              </w:numPr>
              <w:ind w:left="426"/>
            </w:pPr>
            <w:r w:rsidRPr="00BE0A3C">
              <w:t xml:space="preserve">Engage with the community and key stakeholders, including </w:t>
            </w:r>
            <w:r w:rsidR="003E0749">
              <w:t>L</w:t>
            </w:r>
            <w:r w:rsidRPr="00BE0A3C">
              <w:t xml:space="preserve">ocal </w:t>
            </w:r>
            <w:r w:rsidR="003E0749">
              <w:t>G</w:t>
            </w:r>
            <w:r w:rsidRPr="00BE0A3C">
              <w:t>overnment</w:t>
            </w:r>
            <w:r w:rsidR="003E0749">
              <w:t>s</w:t>
            </w:r>
            <w:r w:rsidRPr="00BE0A3C">
              <w:t>, to identify and prioritise actions that create environments and oppo</w:t>
            </w:r>
            <w:r w:rsidR="001576CA">
              <w:t>rtunities for physical activity</w:t>
            </w:r>
            <w:r w:rsidR="00C05C36">
              <w:t xml:space="preserve"> at a local level</w:t>
            </w:r>
          </w:p>
          <w:p w:rsidR="003D7483" w:rsidRPr="00BE0A3C" w:rsidRDefault="003E0749" w:rsidP="00F82D19">
            <w:pPr>
              <w:pStyle w:val="ListParagraph"/>
              <w:numPr>
                <w:ilvl w:val="0"/>
                <w:numId w:val="14"/>
              </w:numPr>
              <w:ind w:left="426"/>
              <w:rPr>
                <w:b/>
              </w:rPr>
            </w:pPr>
            <w:r>
              <w:t xml:space="preserve">Work with Local Governments to develop Local Public </w:t>
            </w:r>
            <w:r w:rsidR="0097174E">
              <w:t xml:space="preserve">Health </w:t>
            </w:r>
            <w:r>
              <w:t xml:space="preserve">Plans which </w:t>
            </w:r>
            <w:r w:rsidR="00EC3A6A">
              <w:t>include measures to address physical inactivity and sedentary behaviour</w:t>
            </w:r>
          </w:p>
        </w:tc>
      </w:tr>
      <w:tr w:rsidR="009A26AD" w:rsidTr="00A30BFE">
        <w:tc>
          <w:tcPr>
            <w:tcW w:w="9242" w:type="dxa"/>
            <w:shd w:val="clear" w:color="auto" w:fill="808080" w:themeFill="background1" w:themeFillShade="80"/>
          </w:tcPr>
          <w:p w:rsidR="00C8006E" w:rsidRPr="00DF7D81" w:rsidRDefault="00C8006E" w:rsidP="00C8006E">
            <w:pPr>
              <w:rPr>
                <w:b/>
                <w:color w:val="FFFFFF" w:themeColor="background1"/>
              </w:rPr>
            </w:pPr>
            <w:r w:rsidRPr="00DF7D81">
              <w:rPr>
                <w:b/>
                <w:color w:val="FFFFFF" w:themeColor="background1"/>
              </w:rPr>
              <w:t>Targeted interventions</w:t>
            </w:r>
          </w:p>
          <w:p w:rsidR="009A26AD" w:rsidRPr="00BE0A3C" w:rsidRDefault="009A26AD" w:rsidP="00C8006E">
            <w:pPr>
              <w:pStyle w:val="ListParagraph"/>
            </w:pPr>
          </w:p>
        </w:tc>
      </w:tr>
      <w:tr w:rsidR="009A26AD" w:rsidTr="009A26AD">
        <w:tc>
          <w:tcPr>
            <w:tcW w:w="9242" w:type="dxa"/>
          </w:tcPr>
          <w:p w:rsidR="009A26AD" w:rsidRDefault="00C8006E" w:rsidP="00F82D19">
            <w:pPr>
              <w:pStyle w:val="ListParagraph"/>
              <w:numPr>
                <w:ilvl w:val="0"/>
                <w:numId w:val="14"/>
              </w:numPr>
              <w:ind w:left="426"/>
            </w:pPr>
            <w:r w:rsidRPr="00BE0A3C">
              <w:t xml:space="preserve">Complement population approaches with targeted programs that meet the needs of those who are less likely to engage in physical activity, including adolescents, young females, Aboriginal people, </w:t>
            </w:r>
            <w:r w:rsidR="00C05C36">
              <w:t>Ca</w:t>
            </w:r>
            <w:r w:rsidR="002E14C5">
              <w:t>L</w:t>
            </w:r>
            <w:r w:rsidR="00C05C36">
              <w:t xml:space="preserve">D groups, </w:t>
            </w:r>
            <w:r w:rsidRPr="00BE0A3C">
              <w:t>people with a disability and older</w:t>
            </w:r>
            <w:r w:rsidR="001576CA">
              <w:t xml:space="preserve"> people</w:t>
            </w:r>
          </w:p>
          <w:p w:rsidR="007773AC" w:rsidRPr="00BE0A3C" w:rsidRDefault="007773AC" w:rsidP="007773AC">
            <w:pPr>
              <w:pStyle w:val="ListParagraph"/>
              <w:numPr>
                <w:ilvl w:val="0"/>
                <w:numId w:val="14"/>
              </w:numPr>
              <w:ind w:left="426"/>
            </w:pPr>
            <w:r w:rsidRPr="00BE0A3C">
              <w:lastRenderedPageBreak/>
              <w:t>Deliver family-oriented initiatives that increase the ability of parents</w:t>
            </w:r>
            <w:r>
              <w:t xml:space="preserve"> and </w:t>
            </w:r>
            <w:r w:rsidRPr="00BE0A3C">
              <w:t>carers to establish and maintain physically act</w:t>
            </w:r>
            <w:r>
              <w:t>ive lifestyles in children</w:t>
            </w:r>
          </w:p>
          <w:p w:rsidR="007773AC" w:rsidRPr="00BE0A3C" w:rsidRDefault="007773AC" w:rsidP="00F82D19">
            <w:pPr>
              <w:pStyle w:val="ListParagraph"/>
              <w:numPr>
                <w:ilvl w:val="0"/>
                <w:numId w:val="14"/>
              </w:numPr>
              <w:ind w:left="426"/>
            </w:pPr>
            <w:r>
              <w:t xml:space="preserve">Integrate messages about increasing physical activity and reducing sedentary behavior with other healthy lifestyle initiatives, and develop links between programs and services which are targeted at specific populations </w:t>
            </w:r>
            <w:r w:rsidR="00A60AC5">
              <w:t>who are more likely to be physically inactive and/or sedentary</w:t>
            </w:r>
          </w:p>
        </w:tc>
      </w:tr>
      <w:tr w:rsidR="009A26AD" w:rsidTr="00A30BFE">
        <w:tc>
          <w:tcPr>
            <w:tcW w:w="9242" w:type="dxa"/>
            <w:shd w:val="clear" w:color="auto" w:fill="808080" w:themeFill="background1" w:themeFillShade="80"/>
          </w:tcPr>
          <w:p w:rsidR="009A1728" w:rsidRPr="00A30BFE" w:rsidRDefault="009A1728" w:rsidP="009A1728">
            <w:pPr>
              <w:rPr>
                <w:b/>
                <w:color w:val="808080" w:themeColor="background1" w:themeShade="80"/>
              </w:rPr>
            </w:pPr>
            <w:r w:rsidRPr="00E04212">
              <w:rPr>
                <w:b/>
                <w:color w:val="FFFFFF" w:themeColor="background1"/>
              </w:rPr>
              <w:lastRenderedPageBreak/>
              <w:t>Strategic coordination, building partnerships and workforce development</w:t>
            </w:r>
          </w:p>
          <w:p w:rsidR="009A26AD" w:rsidRPr="00A30BFE" w:rsidRDefault="009A26AD" w:rsidP="00BE0A3C">
            <w:pPr>
              <w:widowControl/>
              <w:spacing w:before="80" w:after="120"/>
              <w:contextualSpacing/>
              <w:rPr>
                <w:color w:val="808080" w:themeColor="background1" w:themeShade="80"/>
              </w:rPr>
            </w:pPr>
          </w:p>
        </w:tc>
      </w:tr>
      <w:tr w:rsidR="009A26AD" w:rsidTr="009A26AD">
        <w:tc>
          <w:tcPr>
            <w:tcW w:w="9242" w:type="dxa"/>
          </w:tcPr>
          <w:p w:rsidR="002E14C5" w:rsidRPr="00BE0A3C" w:rsidRDefault="002E14C5" w:rsidP="00F82D19">
            <w:pPr>
              <w:pStyle w:val="ListParagraph"/>
              <w:numPr>
                <w:ilvl w:val="0"/>
                <w:numId w:val="14"/>
              </w:numPr>
              <w:ind w:left="426"/>
            </w:pPr>
            <w:r w:rsidRPr="00BE0A3C">
              <w:t>Strengthen existing and develop new partnerships across all sectors to ensure a comprehensive, consistent and effective approach to increasing physical activity levels an</w:t>
            </w:r>
            <w:r>
              <w:t>d reducing sedentary behaviour</w:t>
            </w:r>
          </w:p>
          <w:p w:rsidR="002E14C5" w:rsidRPr="00BE0A3C" w:rsidRDefault="002E14C5" w:rsidP="00F82D19">
            <w:pPr>
              <w:pStyle w:val="ListParagraph"/>
              <w:numPr>
                <w:ilvl w:val="0"/>
                <w:numId w:val="14"/>
              </w:numPr>
              <w:ind w:left="426"/>
            </w:pPr>
            <w:r w:rsidRPr="00BE0A3C">
              <w:t>Strengthen, upskill and support relevant parts of the workforce (public health, broader health and non-health workforce) to address physical inactivity and sedentary</w:t>
            </w:r>
            <w:r>
              <w:t xml:space="preserve"> behaviour</w:t>
            </w:r>
            <w:r w:rsidRPr="00BE0A3C">
              <w:t xml:space="preserve"> in their programs, polic</w:t>
            </w:r>
            <w:r w:rsidR="00586DEA">
              <w:t>ies</w:t>
            </w:r>
            <w:r w:rsidRPr="00BE0A3C">
              <w:t xml:space="preserve"> and plans</w:t>
            </w:r>
          </w:p>
          <w:p w:rsidR="002E14C5" w:rsidRPr="00BE0A3C" w:rsidRDefault="002E14C5" w:rsidP="00F82D19">
            <w:pPr>
              <w:pStyle w:val="ListParagraph"/>
              <w:numPr>
                <w:ilvl w:val="0"/>
                <w:numId w:val="14"/>
              </w:numPr>
              <w:ind w:left="426"/>
            </w:pPr>
            <w:r w:rsidRPr="00BE0A3C">
              <w:t>Continue to collect evidence to inform new approaches and monitor the effectiveness of existing initiatives targeting phys</w:t>
            </w:r>
            <w:r>
              <w:t>ical inactivity and sedentary behaviour</w:t>
            </w:r>
            <w:r w:rsidR="0099210E">
              <w:t xml:space="preserve"> </w:t>
            </w:r>
          </w:p>
          <w:p w:rsidR="009A26AD" w:rsidRPr="00BE0A3C" w:rsidRDefault="002E14C5" w:rsidP="00F82D19">
            <w:pPr>
              <w:pStyle w:val="ListParagraph"/>
              <w:numPr>
                <w:ilvl w:val="0"/>
                <w:numId w:val="14"/>
              </w:numPr>
              <w:ind w:left="426"/>
            </w:pPr>
            <w:r w:rsidRPr="00BE0A3C">
              <w:t xml:space="preserve">Support continued population monitoring of physical </w:t>
            </w:r>
            <w:r>
              <w:t xml:space="preserve">activity </w:t>
            </w:r>
            <w:r w:rsidRPr="00BE0A3C">
              <w:t>and sedentary behavior levels in the population as well as individual and key environmental factors t</w:t>
            </w:r>
            <w:r>
              <w:t>hat impact on these behaviours</w:t>
            </w:r>
          </w:p>
        </w:tc>
      </w:tr>
    </w:tbl>
    <w:p w:rsidR="00DF295F" w:rsidRPr="00906C60" w:rsidRDefault="00DF295F" w:rsidP="00DF295F">
      <w:r>
        <w:br w:type="page"/>
      </w:r>
    </w:p>
    <w:p w:rsidR="00DF295F" w:rsidRPr="006A438C" w:rsidRDefault="004A75CD" w:rsidP="00DF295F">
      <w:pPr>
        <w:pStyle w:val="Heading1"/>
      </w:pPr>
      <w:bookmarkStart w:id="35" w:name="_Toc462049326"/>
      <w:r>
        <w:lastRenderedPageBreak/>
        <w:t>C</w:t>
      </w:r>
      <w:r w:rsidR="00282ADF">
        <w:t xml:space="preserve">urbing the rise in </w:t>
      </w:r>
      <w:r w:rsidR="00DF295F">
        <w:t>overweight and obesity</w:t>
      </w:r>
      <w:bookmarkEnd w:id="35"/>
    </w:p>
    <w:p w:rsidR="00DF295F" w:rsidRDefault="00DF295F" w:rsidP="00DF295F">
      <w:pPr>
        <w:rPr>
          <w:shd w:val="clear" w:color="auto" w:fill="FFFFFF"/>
        </w:rPr>
      </w:pPr>
    </w:p>
    <w:p w:rsidR="00886436" w:rsidRPr="00D81F7E" w:rsidRDefault="00886436" w:rsidP="00A30BFE">
      <w:pPr>
        <w:shd w:val="clear" w:color="auto" w:fill="F2F2F2" w:themeFill="background1" w:themeFillShade="F2"/>
        <w:rPr>
          <w:i/>
          <w:shd w:val="clear" w:color="auto" w:fill="FFFFFF"/>
        </w:rPr>
      </w:pPr>
      <w:r w:rsidRPr="00A30BFE">
        <w:rPr>
          <w:i/>
          <w:shd w:val="clear" w:color="auto" w:fill="F2F2F2" w:themeFill="background1" w:themeFillShade="F2"/>
        </w:rPr>
        <w:t>“</w:t>
      </w:r>
      <w:r w:rsidRPr="00A30BFE">
        <w:rPr>
          <w:i/>
          <w:color w:val="808080" w:themeColor="background1" w:themeShade="80"/>
          <w:shd w:val="clear" w:color="auto" w:fill="F2F2F2" w:themeFill="background1" w:themeFillShade="F2"/>
        </w:rPr>
        <w:t>Obesity is the result of many complex, man</w:t>
      </w:r>
      <w:r w:rsidR="009713A5">
        <w:rPr>
          <w:i/>
          <w:color w:val="808080" w:themeColor="background1" w:themeShade="80"/>
          <w:shd w:val="clear" w:color="auto" w:fill="F2F2F2" w:themeFill="background1" w:themeFillShade="F2"/>
        </w:rPr>
        <w:t>-</w:t>
      </w:r>
      <w:r w:rsidRPr="00A30BFE">
        <w:rPr>
          <w:i/>
          <w:color w:val="808080" w:themeColor="background1" w:themeShade="80"/>
          <w:shd w:val="clear" w:color="auto" w:fill="F2F2F2" w:themeFill="background1" w:themeFillShade="F2"/>
        </w:rPr>
        <w:t>made systems, including: food supply, transport, urban design, business, socio-cultural, marketing, communications, education, health, trade, legal, economic, and governance systems. All could potentially be re-oriented for better population and environmental outcomes”</w:t>
      </w:r>
      <w:r w:rsidR="00B67154" w:rsidRPr="00A30BFE">
        <w:rPr>
          <w:color w:val="808080" w:themeColor="background1" w:themeShade="80"/>
          <w:shd w:val="clear" w:color="auto" w:fill="F2F2F2" w:themeFill="background1" w:themeFillShade="F2"/>
        </w:rPr>
        <w:t>—World Obesity Federation, 2015</w:t>
      </w:r>
      <w:r w:rsidR="008E4A1B" w:rsidRPr="00A30BFE">
        <w:rPr>
          <w:color w:val="808080" w:themeColor="background1" w:themeShade="80"/>
          <w:shd w:val="clear" w:color="auto" w:fill="F2F2F2" w:themeFill="background1" w:themeFillShade="F2"/>
        </w:rPr>
        <w:fldChar w:fldCharType="begin"/>
      </w:r>
      <w:r w:rsidR="005B3C51">
        <w:rPr>
          <w:color w:val="808080" w:themeColor="background1" w:themeShade="80"/>
          <w:shd w:val="clear" w:color="auto" w:fill="F2F2F2" w:themeFill="background1" w:themeFillShade="F2"/>
        </w:rPr>
        <w:instrText xml:space="preserve"> ADDIN EN.CITE &lt;EndNote&gt;&lt;Cite&gt;&lt;Author&gt;World Obesity Federation&lt;/Author&gt;&lt;Year&gt;2015&lt;/Year&gt;&lt;RecNum&gt;1076&lt;/RecNum&gt;&lt;DisplayText&gt;&lt;style face="superscript"&gt;121&lt;/style&gt;&lt;/DisplayText&gt;&lt;record&gt;&lt;rec-number&gt;1076&lt;/rec-number&gt;&lt;foreign-keys&gt;&lt;key app="EN" db-id="zxa00wf2opvf9oeeset50xz7ezpfwre2v20z"&gt;1076&lt;/key&gt;&lt;/foreign-keys&gt;&lt;ref-type name="Web Page"&gt;12&lt;/ref-type&gt;&lt;contributors&gt;&lt;authors&gt;&lt;author&gt;World Obesity Federation,&lt;/author&gt;&lt;/authors&gt;&lt;/contributors&gt;&lt;titles&gt;&lt;title&gt;Lancet Commission on Obesity&lt;/title&gt;&lt;/titles&gt;&lt;dates&gt;&lt;year&gt;2015&lt;/year&gt;&lt;/dates&gt;&lt;pub-location&gt;London&lt;/pub-location&gt;&lt;publisher&gt;The Lancet&lt;/publisher&gt;&lt;urls&gt;&lt;related-urls&gt;&lt;url&gt;http://www.worldobesity.org/what-we-do/lancetcommission/lancet-background/&lt;/url&gt;&lt;/related-urls&gt;&lt;/urls&gt;&lt;/record&gt;&lt;/Cite&gt;&lt;/EndNote&gt;</w:instrText>
      </w:r>
      <w:r w:rsidR="008E4A1B" w:rsidRPr="00A30BFE">
        <w:rPr>
          <w:color w:val="808080" w:themeColor="background1" w:themeShade="80"/>
          <w:shd w:val="clear" w:color="auto" w:fill="F2F2F2" w:themeFill="background1" w:themeFillShade="F2"/>
        </w:rPr>
        <w:fldChar w:fldCharType="separate"/>
      </w:r>
      <w:r w:rsidR="005B3C51" w:rsidRPr="005B3C51">
        <w:rPr>
          <w:noProof/>
          <w:color w:val="808080" w:themeColor="background1" w:themeShade="80"/>
          <w:shd w:val="clear" w:color="auto" w:fill="F2F2F2" w:themeFill="background1" w:themeFillShade="F2"/>
          <w:vertAlign w:val="superscript"/>
        </w:rPr>
        <w:t>121</w:t>
      </w:r>
      <w:r w:rsidR="008E4A1B" w:rsidRPr="00A30BFE">
        <w:rPr>
          <w:color w:val="808080" w:themeColor="background1" w:themeShade="80"/>
          <w:shd w:val="clear" w:color="auto" w:fill="F2F2F2" w:themeFill="background1" w:themeFillShade="F2"/>
        </w:rPr>
        <w:fldChar w:fldCharType="end"/>
      </w:r>
    </w:p>
    <w:p w:rsidR="00DF295F" w:rsidRPr="00140E96" w:rsidRDefault="00DF295F" w:rsidP="00DF295F"/>
    <w:p w:rsidR="00DF295F" w:rsidRDefault="00DF295F" w:rsidP="00DF295F">
      <w:pPr>
        <w:pStyle w:val="Heading2"/>
      </w:pPr>
      <w:bookmarkStart w:id="36" w:name="_Toc454180224"/>
      <w:bookmarkStart w:id="37" w:name="_Toc462049327"/>
      <w:r w:rsidRPr="006A438C">
        <w:t xml:space="preserve">A snapshot of </w:t>
      </w:r>
      <w:r>
        <w:t xml:space="preserve">overweight and obesity </w:t>
      </w:r>
      <w:r w:rsidRPr="006A438C">
        <w:t xml:space="preserve">in </w:t>
      </w:r>
      <w:bookmarkEnd w:id="36"/>
      <w:r w:rsidR="00273109">
        <w:t>W</w:t>
      </w:r>
      <w:r w:rsidR="00667210">
        <w:t>A</w:t>
      </w:r>
      <w:bookmarkEnd w:id="37"/>
    </w:p>
    <w:p w:rsidR="000243E2" w:rsidRPr="000243E2" w:rsidRDefault="000243E2" w:rsidP="000243E2"/>
    <w:p w:rsidR="00DF295F" w:rsidRPr="006F0DF9" w:rsidRDefault="00DF295F" w:rsidP="004449DC">
      <w:pPr>
        <w:pStyle w:val="ListParagraph"/>
        <w:numPr>
          <w:ilvl w:val="0"/>
          <w:numId w:val="15"/>
        </w:numPr>
        <w:ind w:left="426" w:hanging="357"/>
      </w:pPr>
      <w:r w:rsidRPr="006E2B9F">
        <w:t xml:space="preserve">In </w:t>
      </w:r>
      <w:r w:rsidRPr="005A2570">
        <w:t>2015, just over two</w:t>
      </w:r>
      <w:r w:rsidR="00C310E0">
        <w:t>-</w:t>
      </w:r>
      <w:r w:rsidRPr="005A2570">
        <w:t>thirds (67%)</w:t>
      </w:r>
      <w:r w:rsidRPr="006E2B9F">
        <w:t xml:space="preserve"> of adults</w:t>
      </w:r>
      <w:r>
        <w:t xml:space="preserve"> aged 16 and over</w:t>
      </w:r>
      <w:r w:rsidRPr="006E2B9F">
        <w:t xml:space="preserve"> </w:t>
      </w:r>
      <w:r>
        <w:t xml:space="preserve">were classified as </w:t>
      </w:r>
      <w:r w:rsidRPr="005A2570">
        <w:t>overweight (40%)</w:t>
      </w:r>
      <w:r>
        <w:t xml:space="preserve"> or obese (27%), based on self-reported height and weight.</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p>
    <w:p w:rsidR="00DF295F" w:rsidRDefault="00DF295F" w:rsidP="004449DC">
      <w:pPr>
        <w:pStyle w:val="ListParagraph"/>
        <w:ind w:left="426"/>
      </w:pPr>
    </w:p>
    <w:p w:rsidR="00DF295F" w:rsidRPr="006F0DF9" w:rsidRDefault="00DF295F" w:rsidP="004449DC">
      <w:pPr>
        <w:pStyle w:val="ListParagraph"/>
        <w:numPr>
          <w:ilvl w:val="0"/>
          <w:numId w:val="15"/>
        </w:numPr>
        <w:ind w:left="426"/>
      </w:pPr>
      <w:r w:rsidRPr="00266424">
        <w:t>Males were more likely than females to be overweight or ob</w:t>
      </w:r>
      <w:r>
        <w:t xml:space="preserve">ese </w:t>
      </w:r>
      <w:r w:rsidRPr="005A2570">
        <w:t>(73% compared with 61%).</w:t>
      </w:r>
      <w:r w:rsidRPr="00266424">
        <w:t xml:space="preserve"> </w:t>
      </w:r>
      <w:r>
        <w:t>M</w:t>
      </w:r>
      <w:r w:rsidRPr="00266424">
        <w:t>ales aged 45</w:t>
      </w:r>
      <w:r w:rsidR="004846C5">
        <w:t>–</w:t>
      </w:r>
      <w:r w:rsidRPr="00266424">
        <w:t xml:space="preserve">64 years had the highest rate of overweight and </w:t>
      </w:r>
      <w:r>
        <w:t xml:space="preserve">obesity of any </w:t>
      </w:r>
      <w:r w:rsidRPr="005A2570">
        <w:t>group (85%).</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p>
    <w:p w:rsidR="00DF295F" w:rsidRPr="006F0DF9" w:rsidRDefault="00DF295F" w:rsidP="004449DC">
      <w:pPr>
        <w:pStyle w:val="ListParagraph"/>
        <w:ind w:left="426"/>
      </w:pPr>
    </w:p>
    <w:p w:rsidR="00DF295F" w:rsidRPr="003D7A29" w:rsidRDefault="00DF295F" w:rsidP="004449DC">
      <w:pPr>
        <w:pStyle w:val="ListParagraph"/>
        <w:numPr>
          <w:ilvl w:val="0"/>
          <w:numId w:val="16"/>
        </w:numPr>
        <w:ind w:left="426"/>
      </w:pPr>
      <w:r w:rsidRPr="00C21F6F">
        <w:t>Rates of overweight and obesity</w:t>
      </w:r>
      <w:r>
        <w:t xml:space="preserve"> among adults have increased over time, driven </w:t>
      </w:r>
      <w:r w:rsidRPr="003D7A29">
        <w:t>by a general increase in B</w:t>
      </w:r>
      <w:r w:rsidR="000243E2">
        <w:t xml:space="preserve">ody </w:t>
      </w:r>
      <w:r w:rsidR="000243E2" w:rsidRPr="0031124F">
        <w:t>Mass Index (see Box</w:t>
      </w:r>
      <w:r w:rsidR="000243E2">
        <w:t xml:space="preserve"> </w:t>
      </w:r>
      <w:r w:rsidR="00EF56A7">
        <w:t>10</w:t>
      </w:r>
      <w:r w:rsidR="000243E2">
        <w:t>: How healthy weight is assessed).</w:t>
      </w:r>
      <w:r w:rsidRPr="003D7A29">
        <w:t xml:space="preserve"> Since 2002, there has been a significant increase in the mean BMI for </w:t>
      </w:r>
      <w:r w:rsidR="002860DB">
        <w:t>men and women</w:t>
      </w:r>
      <w:r>
        <w:t>.</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p>
    <w:p w:rsidR="00DF295F" w:rsidRDefault="00DF295F" w:rsidP="004449DC">
      <w:pPr>
        <w:pStyle w:val="ListParagraph"/>
        <w:ind w:left="426"/>
      </w:pPr>
    </w:p>
    <w:p w:rsidR="00DF295F" w:rsidRPr="006F0DF9" w:rsidRDefault="00DF295F" w:rsidP="004449DC">
      <w:pPr>
        <w:pStyle w:val="ListParagraph"/>
        <w:numPr>
          <w:ilvl w:val="0"/>
          <w:numId w:val="16"/>
        </w:numPr>
        <w:ind w:left="426"/>
      </w:pPr>
      <w:r>
        <w:t>In 2014, a</w:t>
      </w:r>
      <w:r w:rsidRPr="00117C14">
        <w:t>lmost a quarter of all</w:t>
      </w:r>
      <w:r>
        <w:t xml:space="preserve"> </w:t>
      </w:r>
      <w:r w:rsidRPr="00117C14">
        <w:t>children (23%) aged 5</w:t>
      </w:r>
      <w:r w:rsidR="000243E2">
        <w:t>–</w:t>
      </w:r>
      <w:r w:rsidRPr="00117C14">
        <w:t>15 were classified as overweight (14%) or obe</w:t>
      </w:r>
      <w:r>
        <w:t>se (9%).</w:t>
      </w:r>
      <w:r w:rsidR="008E4A1B">
        <w:fldChar w:fldCharType="begin"/>
      </w:r>
      <w:r w:rsidR="009F7E7C">
        <w:instrText xml:space="preserve"> ADDIN EN.CITE &lt;EndNote&gt;&lt;Cite&gt;&lt;Author&gt;Tomlin&lt;/Author&gt;&lt;Year&gt;2015&lt;/Year&gt;&lt;RecNum&gt;1041&lt;/RecNum&gt;&lt;DisplayText&gt;&lt;style face="superscript"&gt;21&lt;/style&gt;&lt;/DisplayText&gt;&lt;record&gt;&lt;rec-number&gt;1041&lt;/rec-number&gt;&lt;foreign-keys&gt;&lt;key app="EN" db-id="zxa00wf2opvf9oeeset50xz7ezpfwre2v20z"&gt;1041&lt;/key&gt;&lt;/foreign-keys&gt;&lt;ref-type name="Report"&gt;27&lt;/ref-type&gt;&lt;contributors&gt;&lt;authors&gt;&lt;author&gt;Tomlin, S., &lt;/author&gt;&lt;author&gt;Radomiljac, A.,&lt;/author&gt;&lt;author&gt;Kay, A. &lt;/author&gt;&lt;/authors&gt;&lt;secondary-authors&gt;&lt;author&gt;Department of Health, Western Australia.&lt;/author&gt;&lt;/secondary-authors&gt;&lt;/contributors&gt;&lt;titles&gt;&lt;title&gt;Health and wellbeing of children in Western Australia in 2014, overview and trends&lt;/title&gt;&lt;/titles&gt;&lt;dates&gt;&lt;year&gt;2015&lt;/year&gt;&lt;/dates&gt;&lt;pub-location&gt;Perth&lt;/pub-location&gt;&lt;publisher&gt;Department of Health, Western Australia&lt;/publisher&gt;&lt;urls&gt;&lt;related-urls&gt;&lt;url&gt;http://ww2.health.wa.gov.au/~/media/Files/Corporate/Reports%20and%20publications/Population%20surveys/Health-wellbeing-Children-WA-2014-OandT.ashx&lt;/url&gt;&lt;/related-urls&gt;&lt;/urls&gt;&lt;/record&gt;&lt;/Cite&gt;&lt;/EndNote&gt;</w:instrText>
      </w:r>
      <w:r w:rsidR="008E4A1B">
        <w:fldChar w:fldCharType="separate"/>
      </w:r>
      <w:r w:rsidR="009F7E7C" w:rsidRPr="009F7E7C">
        <w:rPr>
          <w:noProof/>
          <w:vertAlign w:val="superscript"/>
        </w:rPr>
        <w:t>21</w:t>
      </w:r>
      <w:r w:rsidR="008E4A1B">
        <w:fldChar w:fldCharType="end"/>
      </w:r>
    </w:p>
    <w:p w:rsidR="00DF295F" w:rsidRDefault="00DF295F" w:rsidP="004449DC">
      <w:pPr>
        <w:ind w:left="426"/>
      </w:pPr>
    </w:p>
    <w:p w:rsidR="00DF295F" w:rsidRDefault="00DF295F" w:rsidP="004449DC">
      <w:pPr>
        <w:pStyle w:val="ListParagraph"/>
        <w:numPr>
          <w:ilvl w:val="0"/>
          <w:numId w:val="16"/>
        </w:numPr>
        <w:ind w:left="426"/>
      </w:pPr>
      <w:r>
        <w:t>Rates of childhood overweight and obesity have remained relatively stable over the last decade.</w:t>
      </w:r>
      <w:r w:rsidR="008E4A1B">
        <w:fldChar w:fldCharType="begin"/>
      </w:r>
      <w:r w:rsidR="009F7E7C">
        <w:instrText xml:space="preserve"> ADDIN EN.CITE &lt;EndNote&gt;&lt;Cite&gt;&lt;Author&gt;Tomlin&lt;/Author&gt;&lt;Year&gt;2015&lt;/Year&gt;&lt;RecNum&gt;1041&lt;/RecNum&gt;&lt;DisplayText&gt;&lt;style face="superscript"&gt;21&lt;/style&gt;&lt;/DisplayText&gt;&lt;record&gt;&lt;rec-number&gt;1041&lt;/rec-number&gt;&lt;foreign-keys&gt;&lt;key app="EN" db-id="zxa00wf2opvf9oeeset50xz7ezpfwre2v20z"&gt;1041&lt;/key&gt;&lt;/foreign-keys&gt;&lt;ref-type name="Report"&gt;27&lt;/ref-type&gt;&lt;contributors&gt;&lt;authors&gt;&lt;author&gt;Tomlin, S., &lt;/author&gt;&lt;author&gt;Radomiljac, A.,&lt;/author&gt;&lt;author&gt;Kay, A. &lt;/author&gt;&lt;/authors&gt;&lt;secondary-authors&gt;&lt;author&gt;Department of Health, Western Australia.&lt;/author&gt;&lt;/secondary-authors&gt;&lt;/contributors&gt;&lt;titles&gt;&lt;title&gt;Health and wellbeing of children in Western Australia in 2014, overview and trends&lt;/title&gt;&lt;/titles&gt;&lt;dates&gt;&lt;year&gt;2015&lt;/year&gt;&lt;/dates&gt;&lt;pub-location&gt;Perth&lt;/pub-location&gt;&lt;publisher&gt;Department of Health, Western Australia&lt;/publisher&gt;&lt;urls&gt;&lt;related-urls&gt;&lt;url&gt;http://ww2.health.wa.gov.au/~/media/Files/Corporate/Reports%20and%20publications/Population%20surveys/Health-wellbeing-Children-WA-2014-OandT.ashx&lt;/url&gt;&lt;/related-urls&gt;&lt;/urls&gt;&lt;/record&gt;&lt;/Cite&gt;&lt;/EndNote&gt;</w:instrText>
      </w:r>
      <w:r w:rsidR="008E4A1B">
        <w:fldChar w:fldCharType="separate"/>
      </w:r>
      <w:r w:rsidR="009F7E7C" w:rsidRPr="009F7E7C">
        <w:rPr>
          <w:noProof/>
          <w:vertAlign w:val="superscript"/>
        </w:rPr>
        <w:t>21</w:t>
      </w:r>
      <w:r w:rsidR="008E4A1B">
        <w:fldChar w:fldCharType="end"/>
      </w:r>
      <w:r w:rsidR="00A91304" w:rsidRPr="00A91304">
        <w:rPr>
          <w:i/>
        </w:rPr>
        <w:t xml:space="preserve"> </w:t>
      </w:r>
    </w:p>
    <w:p w:rsidR="006819B2" w:rsidRDefault="006819B2" w:rsidP="004449DC">
      <w:pPr>
        <w:ind w:left="426"/>
      </w:pPr>
    </w:p>
    <w:p w:rsidR="00DF295F" w:rsidRDefault="00DF295F" w:rsidP="004449DC">
      <w:pPr>
        <w:pStyle w:val="ListParagraph"/>
        <w:numPr>
          <w:ilvl w:val="0"/>
          <w:numId w:val="16"/>
        </w:numPr>
        <w:ind w:left="426"/>
      </w:pPr>
      <w:r>
        <w:t>In 2012</w:t>
      </w:r>
      <w:r w:rsidR="004846C5">
        <w:t>–</w:t>
      </w:r>
      <w:r>
        <w:t>13, while the combined national rate of overweight and obesity was similar to that in the non-</w:t>
      </w:r>
      <w:r w:rsidR="00F62528">
        <w:t>Aboriginal</w:t>
      </w:r>
      <w:r>
        <w:t xml:space="preserve"> population, Aboriginal people were 1.5 </w:t>
      </w:r>
      <w:r w:rsidRPr="00D7704E">
        <w:t>times more likely to be obese.</w:t>
      </w:r>
      <w:r w:rsidR="008E4A1B">
        <w:fldChar w:fldCharType="begin"/>
      </w:r>
      <w:r w:rsidR="005B3C51">
        <w:instrText xml:space="preserve"> ADDIN EN.CITE &lt;EndNote&gt;&lt;Cite&gt;&lt;Author&gt;Australian Bureau of Statistics&lt;/Author&gt;&lt;Year&gt;2013&lt;/Year&gt;&lt;RecNum&gt;93&lt;/RecNum&gt;&lt;DisplayText&gt;&lt;style face="superscript"&gt;105&lt;/style&gt;&lt;/DisplayText&gt;&lt;record&gt;&lt;rec-number&gt;93&lt;/rec-number&gt;&lt;foreign-keys&gt;&lt;key app="EN" db-id="zxa00wf2opvf9oeeset50xz7ezpfwre2v20z"&gt;93&lt;/key&gt;&lt;/foreign-keys&gt;&lt;ref-type name="Report"&gt;27&lt;/ref-type&gt;&lt;contributors&gt;&lt;authors&gt;&lt;author&gt;Australian Bureau of Statistics,&lt;/author&gt;&lt;/authors&gt;&lt;/contributors&gt;&lt;titles&gt;&lt;title&gt;4727.0.55.001 - Australian Aboriginal and Torres Strait Islander Health Survey: first results, 2012-13&lt;/title&gt;&lt;/titles&gt;&lt;dates&gt;&lt;year&gt;2013&lt;/year&gt;&lt;/dates&gt;&lt;pub-location&gt;Canberra&lt;/pub-location&gt;&lt;publisher&gt;Australian Bureau of Statistics&lt;/publisher&gt;&lt;urls&gt;&lt;related-urls&gt;&lt;url&gt;http://www.abs.gov.au/ausstats/abs@.nsf/mf/4727.0.55.001&lt;/url&gt;&lt;/related-urls&gt;&lt;/urls&gt;&lt;/record&gt;&lt;/Cite&gt;&lt;/EndNote&gt;</w:instrText>
      </w:r>
      <w:r w:rsidR="008E4A1B">
        <w:fldChar w:fldCharType="separate"/>
      </w:r>
      <w:r w:rsidR="005B3C51" w:rsidRPr="005B3C51">
        <w:rPr>
          <w:noProof/>
          <w:vertAlign w:val="superscript"/>
        </w:rPr>
        <w:t>105</w:t>
      </w:r>
      <w:r w:rsidR="008E4A1B">
        <w:fldChar w:fldCharType="end"/>
      </w:r>
    </w:p>
    <w:p w:rsidR="00DF295F" w:rsidRPr="006F0DF9" w:rsidRDefault="00DF295F" w:rsidP="004449DC">
      <w:pPr>
        <w:pStyle w:val="ListParagraph"/>
        <w:ind w:left="426"/>
      </w:pPr>
    </w:p>
    <w:p w:rsidR="00DF295F" w:rsidRPr="003D7A29" w:rsidRDefault="00DF295F" w:rsidP="004449DC">
      <w:pPr>
        <w:pStyle w:val="ListParagraph"/>
        <w:numPr>
          <w:ilvl w:val="0"/>
          <w:numId w:val="16"/>
        </w:numPr>
        <w:ind w:left="426"/>
      </w:pPr>
      <w:r>
        <w:t>In 2014</w:t>
      </w:r>
      <w:r w:rsidR="004846C5">
        <w:t>–</w:t>
      </w:r>
      <w:r>
        <w:t xml:space="preserve">15, </w:t>
      </w:r>
      <w:r w:rsidRPr="00590E69">
        <w:t xml:space="preserve">rates of overweight and obesity were higher in women living in </w:t>
      </w:r>
      <w:r>
        <w:t>areas of most disadvantage (61</w:t>
      </w:r>
      <w:r w:rsidRPr="00590E69">
        <w:t>%) compared to those living in a</w:t>
      </w:r>
      <w:r>
        <w:t>reas of least disadvantage (48</w:t>
      </w:r>
      <w:r w:rsidRPr="00590E69">
        <w:t>%)</w:t>
      </w:r>
      <w:r>
        <w:t xml:space="preserve"> in Australia</w:t>
      </w:r>
      <w:r w:rsidRPr="00590E69">
        <w:t>. This pattern</w:t>
      </w:r>
      <w:r>
        <w:t xml:space="preserve"> was not observed </w:t>
      </w:r>
      <w:r w:rsidR="00213886">
        <w:t>in</w:t>
      </w:r>
      <w:r>
        <w:t xml:space="preserve"> men.</w:t>
      </w:r>
      <w:r w:rsidR="008E4A1B">
        <w:fldChar w:fldCharType="begin"/>
      </w:r>
      <w:r w:rsidR="00C21325">
        <w:instrText xml:space="preserve"> ADDIN EN.CITE &lt;EndNote&gt;&lt;Cite&gt;&lt;Author&gt;Australian Bureau of Statistics&lt;/Author&gt;&lt;Year&gt;2015&lt;/Year&gt;&lt;RecNum&gt;36&lt;/RecNum&gt;&lt;DisplayText&gt;&lt;style face="superscript"&gt;8&lt;/style&gt;&lt;/DisplayText&gt;&lt;record&gt;&lt;rec-number&gt;36&lt;/rec-number&gt;&lt;foreign-keys&gt;&lt;key app="EN" db-id="zxa00wf2opvf9oeeset50xz7ezpfwre2v20z"&gt;36&lt;/key&gt;&lt;/foreign-keys&gt;&lt;ref-type name="Generic"&gt;13&lt;/ref-type&gt;&lt;contributors&gt;&lt;authors&gt;&lt;author&gt;Australian Bureau of Statistics,&lt;/author&gt;&lt;/authors&gt;&lt;/contributors&gt;&lt;titles&gt;&lt;title&gt;4364.0.55.001 - National Health Survey: first results, 2014-2015 - Australia&lt;/title&gt;&lt;/titles&gt;&lt;dates&gt;&lt;year&gt;2015&lt;/year&gt;&lt;/dates&gt;&lt;pub-location&gt;Canberra&lt;/pub-location&gt;&lt;publisher&gt;Australian Bureau of Statistics&lt;/publisher&gt;&lt;urls&gt;&lt;related-urls&gt;&lt;url&gt;http://www.abs.gov.au/AUSSTATS/abs@.nsf/DetailsPage/4364.0.55.0012014-15?OpenDocument&lt;/url&gt;&lt;/related-urls&gt;&lt;/urls&gt;&lt;/record&gt;&lt;/Cite&gt;&lt;/EndNote&gt;</w:instrText>
      </w:r>
      <w:r w:rsidR="008E4A1B">
        <w:fldChar w:fldCharType="separate"/>
      </w:r>
      <w:r w:rsidR="00C21325" w:rsidRPr="00C21325">
        <w:rPr>
          <w:noProof/>
          <w:vertAlign w:val="superscript"/>
        </w:rPr>
        <w:t>8</w:t>
      </w:r>
      <w:r w:rsidR="008E4A1B">
        <w:fldChar w:fldCharType="end"/>
      </w:r>
    </w:p>
    <w:p w:rsidR="00DF295F" w:rsidRDefault="00DF295F" w:rsidP="004449DC">
      <w:pPr>
        <w:pStyle w:val="ListParagraph"/>
        <w:ind w:left="426"/>
      </w:pPr>
    </w:p>
    <w:p w:rsidR="00DF295F" w:rsidRDefault="00DF295F" w:rsidP="004449DC">
      <w:pPr>
        <w:pStyle w:val="ListParagraph"/>
        <w:numPr>
          <w:ilvl w:val="0"/>
          <w:numId w:val="16"/>
        </w:numPr>
        <w:ind w:left="426"/>
      </w:pPr>
      <w:r>
        <w:t>Rates of overweight and obesity were higher among people living in rural or remote areas, some overseas-born populations, and people with severe or profound disability.</w:t>
      </w:r>
      <w:r w:rsidR="008E4A1B">
        <w:fldChar w:fldCharType="begin">
          <w:fldData xml:space="preserve">PEVuZE5vdGU+PENpdGU+PEF1dGhvcj5BdXN0cmFsaWFuIEJ1cmVhdSBvZiBTdGF0aXN0aWNzPC9B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</w:fldData>
        </w:fldChar>
      </w:r>
      <w:r w:rsidR="00547316">
        <w:instrText xml:space="preserve"> ADDIN EN.CITE </w:instrText>
      </w:r>
      <w:r w:rsidR="00547316">
        <w:fldChar w:fldCharType="begin">
          <w:fldData xml:space="preserve">PEVuZE5vdGU+PENpdGU+PEF1dGhvcj5BdXN0cmFsaWFuIEJ1cmVhdSBvZiBTdGF0aXN0aWNzPC9B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</w:fldData>
        </w:fldChar>
      </w:r>
      <w:r w:rsidR="00547316">
        <w:instrText xml:space="preserve"> ADDIN EN.CITE.DATA </w:instrText>
      </w:r>
      <w:r w:rsidR="00547316">
        <w:fldChar w:fldCharType="end"/>
      </w:r>
      <w:r w:rsidR="008E4A1B">
        <w:fldChar w:fldCharType="separate"/>
      </w:r>
      <w:r w:rsidR="00547316" w:rsidRPr="00547316">
        <w:rPr>
          <w:noProof/>
          <w:vertAlign w:val="superscript"/>
        </w:rPr>
        <w:t>1, 8, 55</w:t>
      </w:r>
      <w:r w:rsidR="008E4A1B">
        <w:fldChar w:fldCharType="end"/>
      </w:r>
    </w:p>
    <w:p w:rsidR="00A13E73" w:rsidRDefault="00A13E73" w:rsidP="004449DC">
      <w:pPr>
        <w:pStyle w:val="ListParagraph"/>
        <w:ind w:left="426"/>
      </w:pPr>
    </w:p>
    <w:p w:rsidR="00A13E73" w:rsidRPr="00A60AB0" w:rsidRDefault="00A13E73" w:rsidP="004449DC">
      <w:pPr>
        <w:pStyle w:val="ListParagraph"/>
        <w:widowControl/>
        <w:numPr>
          <w:ilvl w:val="0"/>
          <w:numId w:val="16"/>
        </w:numPr>
        <w:spacing w:after="170"/>
        <w:ind w:left="426"/>
      </w:pPr>
      <w:r w:rsidRPr="00A60AB0">
        <w:t>A healthy diet contributes significant</w:t>
      </w:r>
      <w:r w:rsidR="00213886">
        <w:t>ly</w:t>
      </w:r>
      <w:r w:rsidRPr="00A60AB0">
        <w:t xml:space="preserve"> to maintaining a healthy weight</w:t>
      </w:r>
      <w:r w:rsidR="00213886">
        <w:t>, but</w:t>
      </w:r>
      <w:r w:rsidRPr="00A60AB0">
        <w:t xml:space="preserve"> the majority of Weste</w:t>
      </w:r>
      <w:r w:rsidRPr="003120C6">
        <w:t xml:space="preserve">rn Australians are not consuming a diet in line with the </w:t>
      </w:r>
      <w:r w:rsidRPr="003120C6">
        <w:rPr>
          <w:i/>
        </w:rPr>
        <w:t>Australian Dietary Guidelines</w:t>
      </w:r>
      <w:r w:rsidR="008E4A1B" w:rsidRPr="003120C6">
        <w:fldChar w:fldCharType="begin"/>
      </w:r>
      <w:r w:rsidR="00547316">
        <w:instrText xml:space="preserve"> ADDIN EN.CITE &lt;EndNote&gt;&lt;Cite&gt;&lt;Author&gt;Australian Bureau of Statistics&lt;/Author&gt;&lt;Year&gt;2016&lt;/Year&gt;&lt;RecNum&gt;989&lt;/RecNum&gt;&lt;DisplayText&gt;&lt;style face="superscript"&gt;63&lt;/style&gt;&lt;/DisplayText&gt;&lt;record&gt;&lt;rec-number&gt;989&lt;/rec-number&gt;&lt;foreign-keys&gt;&lt;key app="EN" db-id="zxa00wf2opvf9oeeset50xz7ezpfwre2v20z"&gt;989&lt;/key&gt;&lt;/foreign-keys&gt;&lt;ref-type name="Web Page"&gt;12&lt;/ref-type&gt;&lt;contributors&gt;&lt;authors&gt;&lt;author&gt;Australian Bureau of Statistics,&lt;/author&gt;&lt;/authors&gt;&lt;/contributors&gt;&lt;titles&gt;&lt;title&gt;4364.0.55.012 - Australian Health Survey: consumption of food groups from the Australian Dietary Guidelines, 2011–12&lt;/title&gt;&lt;/titles&gt;&lt;dates&gt;&lt;year&gt;2016&lt;/year&gt;&lt;/dates&gt;&lt;pub-location&gt;Canberra&lt;/pub-location&gt;&lt;publisher&gt;Australian Bureau of Statistics&lt;/publisher&gt;&lt;urls&gt;&lt;related-urls&gt;&lt;url&gt;http://www.abs.gov.au/ausstats/abs@.nsf/mf/4364.0.55.012&lt;/url&gt;&lt;/related-urls&gt;&lt;/urls&gt;&lt;/record&gt;&lt;/Cite&gt;&lt;/EndNote&gt;</w:instrText>
      </w:r>
      <w:r w:rsidR="008E4A1B" w:rsidRPr="003120C6">
        <w:fldChar w:fldCharType="separate"/>
      </w:r>
      <w:r w:rsidR="00547316" w:rsidRPr="00547316">
        <w:rPr>
          <w:noProof/>
          <w:vertAlign w:val="superscript"/>
        </w:rPr>
        <w:t>63</w:t>
      </w:r>
      <w:r w:rsidR="008E4A1B" w:rsidRPr="003120C6">
        <w:fldChar w:fldCharType="end"/>
      </w:r>
      <w:r w:rsidRPr="003120C6">
        <w:t xml:space="preserve"> (for a snapshot of nutrition and diet in WA see p</w:t>
      </w:r>
      <w:r w:rsidR="00E71E50" w:rsidRPr="003120C6">
        <w:t>. 3</w:t>
      </w:r>
      <w:r w:rsidR="00614664">
        <w:t>8</w:t>
      </w:r>
      <w:r w:rsidRPr="003120C6">
        <w:t>).</w:t>
      </w:r>
      <w:r w:rsidRPr="00A60AB0">
        <w:t xml:space="preserve"> </w:t>
      </w:r>
    </w:p>
    <w:p w:rsidR="00A13E73" w:rsidRPr="00A60AB0" w:rsidRDefault="00A13E73" w:rsidP="004449DC">
      <w:pPr>
        <w:pStyle w:val="ListParagraph"/>
        <w:ind w:left="426"/>
      </w:pPr>
    </w:p>
    <w:p w:rsidR="00A13E73" w:rsidRPr="00A60AB0" w:rsidRDefault="00A13E73" w:rsidP="004449DC">
      <w:pPr>
        <w:pStyle w:val="ListParagraph"/>
        <w:numPr>
          <w:ilvl w:val="0"/>
          <w:numId w:val="16"/>
        </w:numPr>
        <w:ind w:left="426"/>
      </w:pPr>
      <w:r w:rsidRPr="00A60AB0">
        <w:lastRenderedPageBreak/>
        <w:t>In 2011–12, Western Australians obtained over one</w:t>
      </w:r>
      <w:r w:rsidR="00213886">
        <w:t>-</w:t>
      </w:r>
      <w:r w:rsidRPr="00A60AB0">
        <w:t>third of their energy (36%) from discretionary food and drinks.</w:t>
      </w:r>
      <w:r w:rsidR="008E4A1B">
        <w:fldChar w:fldCharType="begin"/>
      </w:r>
      <w:r w:rsidR="005B3C51">
        <w:instrText xml:space="preserve"> ADDIN EN.CITE &lt;EndNote&gt;&lt;Cite&gt;&lt;Author&gt;Australian Bureau of Statistics&lt;/Author&gt;&lt;Year&gt;2015&lt;/Year&gt;&lt;RecNum&gt;20&lt;/RecNum&gt;&lt;DisplayText&gt;&lt;style face="superscript"&gt;122&lt;/style&gt;&lt;/DisplayText&gt;&lt;record&gt;&lt;rec-number&gt;20&lt;/rec-number&gt;&lt;foreign-keys&gt;&lt;key app="EN" db-id="zxa00wf2opvf9oeeset50xz7ezpfwre2v20z"&gt;20&lt;/key&gt;&lt;/foreign-keys&gt;&lt;ref-type name="Report"&gt;27&lt;/ref-type&gt;&lt;contributors&gt;&lt;authors&gt;&lt;author&gt;Australian Bureau of Statistics,&lt;/author&gt;&lt;/authors&gt;&lt;/contributors&gt;&lt;titles&gt;&lt;title&gt;Australian Health Survey: nutrition - state and territory results, 2011-12&lt;/title&gt;&lt;/titles&gt;&lt;dates&gt;&lt;year&gt;2015&lt;/year&gt;&lt;/dates&gt;&lt;pub-location&gt;Canberra&lt;/pub-location&gt;&lt;publisher&gt;Australian Bureau of Statistics&lt;/publisher&gt;&lt;urls&gt;&lt;related-urls&gt;&lt;url&gt;http://www.abs.gov.au/AUSSTATS/abs@.nsf/DetailsPage/4364.0.55.0092011-12?OpenDocument&lt;/url&gt;&lt;/related-urls&gt;&lt;/urls&gt;&lt;/record&gt;&lt;/Cite&gt;&lt;/EndNote&gt;</w:instrText>
      </w:r>
      <w:r w:rsidR="008E4A1B">
        <w:fldChar w:fldCharType="separate"/>
      </w:r>
      <w:r w:rsidR="005B3C51" w:rsidRPr="005B3C51">
        <w:rPr>
          <w:noProof/>
          <w:vertAlign w:val="superscript"/>
        </w:rPr>
        <w:t>122</w:t>
      </w:r>
      <w:r w:rsidR="008E4A1B">
        <w:fldChar w:fldCharType="end"/>
      </w:r>
      <w:r w:rsidR="00F53C6E">
        <w:t xml:space="preserve"> </w:t>
      </w:r>
      <w:r w:rsidRPr="00A60AB0">
        <w:t>More than half of all Australians exceeded the WHO recommendations around sugar intake with around half of free</w:t>
      </w:r>
      <w:r w:rsidRPr="00F53C6E">
        <w:rPr>
          <w:vertAlign w:val="superscript"/>
        </w:rPr>
        <w:footnoteReference w:id="5"/>
      </w:r>
      <w:r w:rsidRPr="00F53C6E">
        <w:rPr>
          <w:vertAlign w:val="superscript"/>
        </w:rPr>
        <w:t xml:space="preserve"> </w:t>
      </w:r>
      <w:r w:rsidRPr="00A60AB0">
        <w:t>sugars in the diet consumed from beverages such as soft drinks.</w:t>
      </w:r>
      <w:r w:rsidR="008E4A1B">
        <w:fldChar w:fldCharType="begin"/>
      </w:r>
      <w:r w:rsidR="00547316">
        <w:instrText xml:space="preserve"> ADDIN EN.CITE &lt;EndNote&gt;&lt;Cite&gt;&lt;Author&gt;Australian Bureau of Statistics&lt;/Author&gt;&lt;Year&gt;2016&lt;/Year&gt;&lt;RecNum&gt;990&lt;/RecNum&gt;&lt;DisplayText&gt;&lt;style face="superscript"&gt;64&lt;/style&gt;&lt;/DisplayText&gt;&lt;record&gt;&lt;rec-number&gt;990&lt;/rec-number&gt;&lt;foreign-keys&gt;&lt;key app="EN" db-id="zxa00wf2opvf9oeeset50xz7ezpfwre2v20z"&gt;990&lt;/key&gt;&lt;/foreign-keys&gt;&lt;ref-type name="Report"&gt;27&lt;/ref-type&gt;&lt;contributors&gt;&lt;authors&gt;&lt;author&gt;Australian Bureau of Statistics,&lt;/author&gt;&lt;/authors&gt;&lt;/contributors&gt;&lt;titles&gt;&lt;title&gt;4364.0.55.011 Australian Health Survey: consumption of added sugars Australia 2011–12&lt;/title&gt;&lt;/titles&gt;&lt;dates&gt;&lt;year&gt;2016&lt;/year&gt;&lt;/dates&gt;&lt;pub-location&gt;Canberra&lt;/pub-location&gt;&lt;publisher&gt;Australian Bureau of Statistics&lt;/publisher&gt;&lt;urls&gt;&lt;related-urls&gt;&lt;url&gt;http://www.abs.gov.au/ausstats/abs@.nsf/mf/4364.0.55.011&lt;/url&gt;&lt;/related-urls&gt;&lt;/urls&gt;&lt;/record&gt;&lt;/Cite&gt;&lt;/EndNote&gt;</w:instrText>
      </w:r>
      <w:r w:rsidR="008E4A1B">
        <w:fldChar w:fldCharType="separate"/>
      </w:r>
      <w:r w:rsidR="00547316" w:rsidRPr="00547316">
        <w:rPr>
          <w:noProof/>
          <w:vertAlign w:val="superscript"/>
        </w:rPr>
        <w:t>64</w:t>
      </w:r>
      <w:r w:rsidR="008E4A1B">
        <w:fldChar w:fldCharType="end"/>
      </w:r>
    </w:p>
    <w:p w:rsidR="00A13E73" w:rsidRPr="00A60AB0" w:rsidRDefault="00A13E73" w:rsidP="004449DC">
      <w:pPr>
        <w:ind w:left="426"/>
      </w:pPr>
    </w:p>
    <w:p w:rsidR="003C69DA" w:rsidRPr="00A60AB0" w:rsidRDefault="00A60AB0" w:rsidP="004449DC">
      <w:pPr>
        <w:pStyle w:val="ListParagraph"/>
        <w:numPr>
          <w:ilvl w:val="0"/>
          <w:numId w:val="16"/>
        </w:numPr>
        <w:ind w:left="426"/>
      </w:pPr>
      <w:r w:rsidRPr="00A60AB0">
        <w:t xml:space="preserve">Physical inactivity and sedentary behavior are also associated with overweight and obesity. In 2015, nearly 40% of adults were not sufficiently active and 43% reported spending most of their day </w:t>
      </w:r>
      <w:r w:rsidRPr="003120C6">
        <w:t xml:space="preserve">sitting </w:t>
      </w:r>
      <w:r w:rsidR="008E4A1B" w:rsidRPr="003120C6">
        <w:fldChar w:fldCharType="begin"/>
      </w:r>
      <w:r w:rsidR="009F7E7C" w:rsidRPr="003120C6">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rsidRPr="003120C6">
        <w:fldChar w:fldCharType="separate"/>
      </w:r>
      <w:r w:rsidR="009F7E7C" w:rsidRPr="003120C6">
        <w:rPr>
          <w:noProof/>
          <w:vertAlign w:val="superscript"/>
        </w:rPr>
        <w:t>20</w:t>
      </w:r>
      <w:r w:rsidR="008E4A1B" w:rsidRPr="003120C6">
        <w:fldChar w:fldCharType="end"/>
      </w:r>
      <w:r w:rsidRPr="003120C6">
        <w:t xml:space="preserve"> (for a snapshot of physical activity and sedentary behavior in WA see p.</w:t>
      </w:r>
      <w:r w:rsidR="00D37CD5" w:rsidRPr="003120C6">
        <w:t xml:space="preserve"> </w:t>
      </w:r>
      <w:r w:rsidR="00E71E50" w:rsidRPr="003120C6">
        <w:t>4</w:t>
      </w:r>
      <w:r w:rsidR="0031124F">
        <w:t>1</w:t>
      </w:r>
      <w:r w:rsidR="008C3B8A" w:rsidRPr="003120C6">
        <w:t>)</w:t>
      </w:r>
      <w:r w:rsidR="00D37CD5" w:rsidRPr="003120C6">
        <w:t>.</w:t>
      </w:r>
    </w:p>
    <w:p w:rsidR="00F74A9B" w:rsidRDefault="00F74A9B">
      <w:pPr>
        <w:widowControl/>
        <w:spacing w:after="200" w:line="276" w:lineRule="auto"/>
      </w:pPr>
    </w:p>
    <w:p w:rsidR="00F74A9B" w:rsidRDefault="00F74A9B" w:rsidP="00905BEB">
      <w:pPr>
        <w:pStyle w:val="Heading2"/>
      </w:pPr>
      <w:bookmarkStart w:id="38" w:name="_Toc462049328"/>
      <w:r w:rsidRPr="004842E5">
        <w:t xml:space="preserve">Priorities for </w:t>
      </w:r>
      <w:r>
        <w:t>curbing the rise in overweight and obesity in</w:t>
      </w:r>
      <w:r w:rsidRPr="004842E5">
        <w:t xml:space="preserve"> </w:t>
      </w:r>
      <w:r>
        <w:t>WA</w:t>
      </w:r>
      <w:bookmarkEnd w:id="38"/>
    </w:p>
    <w:p w:rsidR="00F74A9B" w:rsidRDefault="00F74A9B" w:rsidP="00905BEB">
      <w:pPr>
        <w:rPr>
          <w:rFonts w:eastAsia="Arial"/>
        </w:rPr>
      </w:pPr>
    </w:p>
    <w:p w:rsidR="00F74A9B" w:rsidRPr="00A30BFE" w:rsidRDefault="00F74A9B" w:rsidP="00F74A9B">
      <w:pPr>
        <w:rPr>
          <w:color w:val="808080" w:themeColor="background1" w:themeShade="80"/>
        </w:rPr>
      </w:pPr>
      <w:r w:rsidRPr="00A30BFE">
        <w:rPr>
          <w:rFonts w:eastAsia="Arial"/>
          <w:color w:val="808080" w:themeColor="background1" w:themeShade="80"/>
          <w:sz w:val="28"/>
          <w:szCs w:val="28"/>
        </w:rPr>
        <w:t xml:space="preserve">Promote environments that support people to achieve and maintain a healthy weight </w:t>
      </w:r>
    </w:p>
    <w:p w:rsidR="00F74A9B" w:rsidRDefault="00F74A9B" w:rsidP="00F74A9B"/>
    <w:p w:rsidR="00F74A9B" w:rsidRDefault="00F74A9B" w:rsidP="00F74A9B">
      <w:r>
        <w:t>Today’s environment has been referred to as obesity-promoting or ‘obesogenic’,</w:t>
      </w:r>
      <w:r>
        <w:fldChar w:fldCharType="begin"/>
      </w:r>
      <w:r w:rsidR="005B3C51">
        <w:instrText xml:space="preserve"> ADDIN EN.CITE &lt;EndNote&gt;&lt;Cite&gt;&lt;Author&gt;Egger&lt;/Author&gt;&lt;Year&gt;1997&lt;/Year&gt;&lt;RecNum&gt;432&lt;/RecNum&gt;&lt;DisplayText&gt;&lt;style face="superscript"&gt;123&lt;/style&gt;&lt;/DisplayText&gt;&lt;record&gt;&lt;rec-number&gt;432&lt;/rec-number&gt;&lt;foreign-keys&gt;&lt;key app="EN" db-id="zxa00wf2opvf9oeeset50xz7ezpfwre2v20z"&gt;432&lt;/key&gt;&lt;/foreign-keys&gt;&lt;ref-type name="Journal Article"&gt;17&lt;/ref-type&gt;&lt;contributors&gt;&lt;authors&gt;&lt;author&gt;Egger, G&lt;/author&gt;&lt;author&gt;Swinburn, B&lt;/author&gt;&lt;/authors&gt;&lt;/contributors&gt;&lt;titles&gt;&lt;title&gt;An &amp;quot;ecological&amp;quot; approach to the obesity pandemic&lt;/title&gt;&lt;secondary-title&gt;BMJ&lt;/secondary-title&gt;&lt;/titles&gt;&lt;periodical&gt;&lt;full-title&gt;BMJ&lt;/full-title&gt;&lt;/periodical&gt;&lt;pages&gt;477-480&lt;/pages&gt;&lt;volume&gt;315&lt;/volume&gt;&lt;number&gt;7106&lt;/number&gt;&lt;dates&gt;&lt;year&gt;1997&lt;/year&gt;&lt;/dates&gt;&lt;urls&gt;&lt;related-urls&gt;&lt;url&gt;http://dx.doi.org/10.1136/bmj.315.7106.477&lt;/url&gt;&lt;/related-urls&gt;&lt;/urls&gt;&lt;/record&gt;&lt;/Cite&gt;&lt;/EndNote&gt;</w:instrText>
      </w:r>
      <w:r>
        <w:fldChar w:fldCharType="separate"/>
      </w:r>
      <w:r w:rsidR="005B3C51" w:rsidRPr="005B3C51">
        <w:rPr>
          <w:noProof/>
          <w:vertAlign w:val="superscript"/>
        </w:rPr>
        <w:t>123</w:t>
      </w:r>
      <w:r>
        <w:fldChar w:fldCharType="end"/>
      </w:r>
      <w:r>
        <w:t xml:space="preserve"> in that it encourages people to consume more energy than their bodies need and to be less physically active. A comprehensive, cross-sectoral approach is needed </w:t>
      </w:r>
      <w:r w:rsidRPr="00230FF6">
        <w:t>to create a</w:t>
      </w:r>
      <w:r>
        <w:t>n environment that supports people to achieve and maintain a healthy weight.</w:t>
      </w:r>
      <w:r>
        <w:fldChar w:fldCharType="begin"/>
      </w:r>
      <w:r w:rsidR="00547316">
        <w:instrText xml:space="preserve"> ADDIN EN.CITE &lt;EndNote&gt;&lt;Cite&gt;&lt;Author&gt;World Health Organization&lt;/Author&gt;&lt;Year&gt;2013&lt;/Year&gt;&lt;RecNum&gt;916&lt;/RecNum&gt;&lt;DisplayText&gt;&lt;style face="superscript"&gt;51, 57&lt;/style&gt;&lt;/DisplayText&gt;&lt;record&gt;&lt;rec-number&gt;916&lt;/rec-number&gt;&lt;foreign-keys&gt;&lt;key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Organization&lt;/publisher&gt;&lt;urls&gt;&lt;related-urls&gt;&lt;url&gt;http://www.who.int/nmh/events/ncd_action_plan/en/&lt;/url&gt;&lt;/related-urls&gt;&lt;/urls&gt;&lt;/record&gt;&lt;/Cite&gt;&lt;Cite&gt;&lt;Author&gt;National Preventative Health Taskforce&lt;/Author&gt;&lt;Year&gt;2009&lt;/Year&gt;&lt;RecNum&gt;679&lt;/RecNum&gt;&lt;record&gt;&lt;rec-number&gt;679&lt;/rec-number&gt;&lt;foreign-keys&gt;&lt;key app="EN" db-id="zxa00wf2opvf9oeeset50xz7ezpfwre2v20z"&gt;679&lt;/key&gt;&lt;/foreign-keys&gt;&lt;ref-type name="Report"&gt;27&lt;/ref-type&gt;&lt;contributors&gt;&lt;authors&gt;&lt;author&gt;National Preventative Health Taskforce,&lt;/author&gt;&lt;/authors&gt;&lt;/contributors&gt;&lt;titles&gt;&lt;title&gt;Australia:  the healthiest country by 2020.  National Preventative Health Strategy - the roadmap for action&lt;/title&gt;&lt;/titles&gt;&lt;dates&gt;&lt;year&gt;2009&lt;/year&gt;&lt;/dates&gt;&lt;pub-location&gt;Canberra&lt;/pub-location&gt;&lt;publisher&gt;Commonwealth of Australia&lt;/publisher&gt;&lt;urls&gt;&lt;related-urls&gt;&lt;url&gt;http://www.health.gov.au/internet/preventativehealth/publishing.nsf/content/a06c2fcf439ecda1ca2574dd0081e40c/$file/discussion-28oct.pdf&lt;/url&gt;&lt;/related-urls&gt;&lt;/urls&gt;&lt;access-date&gt;June 2010&lt;/access-date&gt;&lt;/record&gt;&lt;/Cite&gt;&lt;/EndNote&gt;</w:instrText>
      </w:r>
      <w:r>
        <w:fldChar w:fldCharType="separate"/>
      </w:r>
      <w:r w:rsidR="00547316" w:rsidRPr="00547316">
        <w:rPr>
          <w:noProof/>
          <w:vertAlign w:val="superscript"/>
        </w:rPr>
        <w:t>51, 57</w:t>
      </w:r>
      <w:r>
        <w:fldChar w:fldCharType="end"/>
      </w:r>
    </w:p>
    <w:p w:rsidR="00F74A9B" w:rsidRDefault="00F74A9B" w:rsidP="00F74A9B">
      <w:pPr>
        <w:shd w:val="clear" w:color="auto" w:fill="FFFFFF"/>
        <w:jc w:val="both"/>
      </w:pPr>
    </w:p>
    <w:p w:rsidR="00F74A9B" w:rsidRDefault="00F74A9B" w:rsidP="00F74A9B">
      <w:pPr>
        <w:shd w:val="clear" w:color="auto" w:fill="FFFFFF"/>
        <w:jc w:val="both"/>
        <w:rPr>
          <w:color w:val="000000"/>
        </w:rPr>
      </w:pPr>
      <w:r w:rsidRPr="00AD7C3B">
        <w:rPr>
          <w:color w:val="000000"/>
        </w:rPr>
        <w:t xml:space="preserve">The way in which our neighborhoods and cities are designed can have a profound impact on the degree to which people can live healthy lifestyles (particularly in relation to active living and access to healthy food). </w:t>
      </w:r>
      <w:r>
        <w:rPr>
          <w:color w:val="000000"/>
        </w:rPr>
        <w:t xml:space="preserve">The creation of health-promoting environments in child and adult settings, </w:t>
      </w:r>
      <w:r>
        <w:t>through policy, physical environments, food supply, education, partnerships and services,</w:t>
      </w:r>
      <w:r>
        <w:rPr>
          <w:color w:val="000000"/>
        </w:rPr>
        <w:t xml:space="preserve"> can also support </w:t>
      </w:r>
      <w:r w:rsidRPr="00230FF6">
        <w:t>healthy eating</w:t>
      </w:r>
      <w:r>
        <w:t xml:space="preserve">, </w:t>
      </w:r>
      <w:r w:rsidRPr="00230FF6">
        <w:t>physical activity and reduc</w:t>
      </w:r>
      <w:r>
        <w:t>ed</w:t>
      </w:r>
      <w:r w:rsidRPr="00230FF6">
        <w:t xml:space="preserve"> sedentary behaviour.</w:t>
      </w:r>
      <w:r>
        <w:fldChar w:fldCharType="begin"/>
      </w:r>
      <w:r w:rsidR="00547316">
        <w:instrText xml:space="preserve"> ADDIN EN.CITE &lt;EndNote&gt;&lt;Cite&gt;&lt;Author&gt;World Health Organization&lt;/Author&gt;&lt;Year&gt;2013&lt;/Year&gt;&lt;RecNum&gt;916&lt;/RecNum&gt;&lt;DisplayText&gt;&lt;style face="superscript"&gt;57&lt;/style&gt;&lt;/DisplayText&gt;&lt;record&gt;&lt;rec-number&gt;916&lt;/rec-number&gt;&lt;foreign-keys&gt;&lt;key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Organization&lt;/publisher&gt;&lt;urls&gt;&lt;related-urls&gt;&lt;url&gt;http://www.who.int/nmh/events/ncd_action_plan/en/&lt;/url&gt;&lt;/related-urls&gt;&lt;/urls&gt;&lt;/record&gt;&lt;/Cite&gt;&lt;/EndNote&gt;</w:instrText>
      </w:r>
      <w:r>
        <w:fldChar w:fldCharType="separate"/>
      </w:r>
      <w:r w:rsidR="00547316" w:rsidRPr="00547316">
        <w:rPr>
          <w:noProof/>
          <w:vertAlign w:val="superscript"/>
        </w:rPr>
        <w:t>57</w:t>
      </w:r>
      <w:r>
        <w:fldChar w:fldCharType="end"/>
      </w:r>
    </w:p>
    <w:p w:rsidR="00F74A9B" w:rsidRDefault="00F74A9B" w:rsidP="00F74A9B">
      <w:pPr>
        <w:shd w:val="clear" w:color="auto" w:fill="FFFFFF"/>
        <w:jc w:val="both"/>
        <w:rPr>
          <w:color w:val="000000"/>
        </w:rPr>
      </w:pPr>
    </w:p>
    <w:p w:rsidR="00F74A9B" w:rsidRDefault="00F74A9B" w:rsidP="00F74A9B">
      <w:r>
        <w:rPr>
          <w:color w:val="000000"/>
        </w:rPr>
        <w:t xml:space="preserve">There is a need to address children’s exposure </w:t>
      </w:r>
      <w:r>
        <w:t>to the promotion and marketing of ultra-processed, discretionary foods</w:t>
      </w:r>
      <w:r>
        <w:rPr>
          <w:rStyle w:val="FootnoteReference"/>
        </w:rPr>
        <w:footnoteReference w:id="6"/>
      </w:r>
      <w:r>
        <w:t>.There is evidence that food advertising influences children’s attitudes to food and dietary preferences, and in turn, what they eat.</w:t>
      </w:r>
      <w:r>
        <w:fldChar w:fldCharType="begin"/>
      </w:r>
      <w:r w:rsidR="005B3C51">
        <w:instrText xml:space="preserve"> ADDIN EN.CITE &lt;EndNote&gt;&lt;Cite&gt;&lt;Author&gt;Cairns&lt;/Author&gt;&lt;Year&gt;2009&lt;/Year&gt;&lt;RecNum&gt;290&lt;/RecNum&gt;&lt;DisplayText&gt;&lt;style face="superscript"&gt;124&lt;/style&gt;&lt;/DisplayText&gt;&lt;record&gt;&lt;rec-number&gt;290&lt;/rec-number&gt;&lt;foreign-keys&gt;&lt;key app="EN" db-id="zxa00wf2opvf9oeeset50xz7ezpfwre2v20z"&gt;290&lt;/key&gt;&lt;/foreign-keys&gt;&lt;ref-type name="Report"&gt;27&lt;/ref-type&gt;&lt;contributors&gt;&lt;authors&gt;&lt;author&gt;Cairns, G,&lt;/author&gt;&lt;author&gt;Angus, K,&lt;/author&gt;&lt;author&gt;Hastings, G,&lt;/author&gt;&lt;/authors&gt;&lt;/contributors&gt;&lt;titles&gt;&lt;title&gt;The extent, nature and effects of food promotion to children.  A review of the evidence to December 2008&lt;/title&gt;&lt;/titles&gt;&lt;dates&gt;&lt;year&gt;2009&lt;/year&gt;&lt;/dates&gt;&lt;pub-location&gt;Geneva&lt;/pub-location&gt;&lt;publisher&gt;World Health Organization&lt;/publisher&gt;&lt;urls&gt;&lt;related-urls&gt;&lt;url&gt;http://www.who.int/dietphysicalactivity/Evidence_Update_2009.pdf&lt;/url&gt;&lt;/related-urls&gt;&lt;/urls&gt;&lt;/record&gt;&lt;/Cite&gt;&lt;/EndNote&gt;</w:instrText>
      </w:r>
      <w:r>
        <w:fldChar w:fldCharType="separate"/>
      </w:r>
      <w:r w:rsidR="005B3C51" w:rsidRPr="005B3C51">
        <w:rPr>
          <w:noProof/>
          <w:vertAlign w:val="superscript"/>
        </w:rPr>
        <w:t>124</w:t>
      </w:r>
      <w:r>
        <w:fldChar w:fldCharType="end"/>
      </w:r>
      <w:r>
        <w:t xml:space="preserve"> In Australia, children are still exposed to high levels of advertising and promotion for food, most of this being for unhealthy food products.</w:t>
      </w:r>
      <w:r>
        <w:fldChar w:fldCharType="begin"/>
      </w:r>
      <w:r w:rsidR="005B3C51">
        <w:instrText xml:space="preserve"> ADDIN EN.CITE &lt;EndNote&gt;&lt;Cite&gt;&lt;Author&gt;Kelly&lt;/Author&gt;&lt;Year&gt;2011&lt;/Year&gt;&lt;RecNum&gt;1051&lt;/RecNum&gt;&lt;DisplayText&gt;&lt;style face="superscript"&gt;125, 126&lt;/style&gt;&lt;/DisplayText&gt;&lt;record&gt;&lt;rec-number&gt;1051&lt;/rec-number&gt;&lt;foreign-keys&gt;&lt;key app="EN" db-id="zxa00wf2opvf9oeeset50xz7ezpfwre2v20z"&gt;1051&lt;/key&gt;&lt;/foreign-keys&gt;&lt;ref-type name="Journal Article"&gt;17&lt;/ref-type&gt;&lt;contributors&gt;&lt;authors&gt;&lt;author&gt;Kelly, B&lt;/author&gt;&lt;author&gt;Chapman, K&lt;/author&gt;&lt;author&gt;King, L&lt;/author&gt;&lt;author&gt;Hebden, L&lt;/author&gt;&lt;/authors&gt;&lt;/contributors&gt;&lt;titles&gt;&lt;title&gt;Trends in food advertising to children on free-to-air television in Australia&lt;/title&gt;&lt;secondary-title&gt;Aust N Z J Publ Health&lt;/secondary-title&gt;&lt;/titles&gt;&lt;periodical&gt;&lt;full-title&gt;Aust N Z J Publ Health&lt;/full-title&gt;&lt;/periodical&gt;&lt;pages&gt;131–134&lt;/pages&gt;&lt;volume&gt;35&lt;/volume&gt;&lt;dates&gt;&lt;year&gt;2011&lt;/year&gt;&lt;/dates&gt;&lt;urls&gt;&lt;related-urls&gt;&lt;url&gt;http://www.ncbi.nlm.nih.gov/pubmed/21463408&lt;/url&gt;&lt;/related-urls&gt;&lt;/urls&gt;&lt;/record&gt;&lt;/Cite&gt;&lt;Cite&gt;&lt;Author&gt;Kelly&lt;/Author&gt;&lt;Year&gt;2008&lt;/Year&gt;&lt;RecNum&gt;1052&lt;/RecNum&gt;&lt;record&gt;&lt;rec-number&gt;1052&lt;/rec-number&gt;&lt;foreign-keys&gt;&lt;key app="EN" db-id="zxa00wf2opvf9oeeset50xz7ezpfwre2v20z"&gt;1052&lt;/key&gt;&lt;/foreign-keys&gt;&lt;ref-type name="Journal Article"&gt;17&lt;/ref-type&gt;&lt;contributors&gt;&lt;authors&gt;&lt;author&gt;Kelly, B&lt;/author&gt;&lt;author&gt;Bochynska, K&lt;/author&gt;&lt;author&gt;Kornman, K&lt;/author&gt;&lt;author&gt;Chapman, K&lt;/author&gt;&lt;/authors&gt;&lt;/contributors&gt;&lt;titles&gt;&lt;title&gt;Internet food marketing on popular children’s websites and food product websites in Australia&lt;/title&gt;&lt;secondary-title&gt;Public Health Nutr&lt;/secondary-title&gt;&lt;/titles&gt;&lt;periodical&gt;&lt;full-title&gt;Public Health Nutr&lt;/full-title&gt;&lt;/periodical&gt;&lt;pages&gt;1180– 1187&lt;/pages&gt;&lt;volume&gt;11&lt;/volume&gt;&lt;dates&gt;&lt;year&gt;2008&lt;/year&gt;&lt;/dates&gt;&lt;urls&gt;&lt;related-urls&gt;&lt;url&gt;http://www.ncbi.nlm.nih.gov/pubmed/18298882&lt;/url&gt;&lt;/related-urls&gt;&lt;/urls&gt;&lt;/record&gt;&lt;/Cite&gt;&lt;/EndNote&gt;</w:instrText>
      </w:r>
      <w:r>
        <w:fldChar w:fldCharType="separate"/>
      </w:r>
      <w:r w:rsidR="005B3C51" w:rsidRPr="005B3C51">
        <w:rPr>
          <w:noProof/>
          <w:vertAlign w:val="superscript"/>
        </w:rPr>
        <w:t>125, 126</w:t>
      </w:r>
      <w:r>
        <w:fldChar w:fldCharType="end"/>
      </w:r>
      <w:r>
        <w:t xml:space="preserve"> </w:t>
      </w:r>
    </w:p>
    <w:p w:rsidR="00F74A9B" w:rsidRDefault="00F74A9B" w:rsidP="00F74A9B"/>
    <w:p w:rsidR="00F74A9B" w:rsidRPr="00E07EDB" w:rsidRDefault="00F74A9B" w:rsidP="00F74A9B">
      <w:pPr>
        <w:rPr>
          <w:vertAlign w:val="superscript"/>
        </w:rPr>
      </w:pPr>
      <w:r>
        <w:t>The growth in the</w:t>
      </w:r>
      <w:r w:rsidRPr="007C3CAF">
        <w:t xml:space="preserve"> supply of relatively cheap energy-dense</w:t>
      </w:r>
      <w:r>
        <w:t>,</w:t>
      </w:r>
      <w:r w:rsidRPr="007C3CAF">
        <w:t xml:space="preserve"> nutrient-poor foods high in saturated fat, salt and sugar</w:t>
      </w:r>
      <w:r>
        <w:fldChar w:fldCharType="begin"/>
      </w:r>
      <w:r w:rsidR="00547316">
        <w:instrText xml:space="preserve"> ADDIN EN.CITE &lt;EndNote&gt;&lt;Cite&gt;&lt;Author&gt;Australian Institute of Health and Welfare&lt;/Author&gt;&lt;Year&gt;2012&lt;/Year&gt;&lt;RecNum&gt;212&lt;/RecNum&gt;&lt;DisplayText&gt;&lt;style face="superscript"&gt;71&lt;/style&gt;&lt;/DisplayText&gt;&lt;record&gt;&lt;rec-number&gt;212&lt;/rec-number&gt;&lt;foreign-keys&gt;&lt;key app="EN" db-id="zxa00wf2opvf9oeeset50xz7ezpfwre2v20z"&gt;212&lt;/key&gt;&lt;/foreign-keys&gt;&lt;ref-type name="Report"&gt;27&lt;/ref-type&gt;&lt;contributors&gt;&lt;authors&gt;&lt;author&gt;Australian Institute of Health and Welfare,&lt;/author&gt;&lt;/authors&gt;&lt;/contributors&gt;&lt;titles&gt;&lt;title&gt;Australia&amp;apos;s food and nutrition 2012. Cat. no. PHE 163&lt;/title&gt;&lt;/titles&gt;&lt;dates&gt;&lt;year&gt;2012&lt;/year&gt;&lt;/dates&gt;&lt;pub-location&gt;Canberra&lt;/pub-location&gt;&lt;publisher&gt;Australian Institute of Health and Welfare&lt;/publisher&gt;&lt;urls&gt;&lt;related-urls&gt;&lt;url&gt;http://www.aihw.gov.au/WorkArea/DownloadAsset.aspx?id=10737422837&lt;/url&gt;&lt;/related-urls&gt;&lt;/urls&gt;&lt;/record&gt;&lt;/Cite&gt;&lt;/EndNote&gt;</w:instrText>
      </w:r>
      <w:r>
        <w:fldChar w:fldCharType="separate"/>
      </w:r>
      <w:r w:rsidR="00547316" w:rsidRPr="00547316">
        <w:rPr>
          <w:noProof/>
          <w:vertAlign w:val="superscript"/>
        </w:rPr>
        <w:t>71</w:t>
      </w:r>
      <w:r>
        <w:fldChar w:fldCharType="end"/>
      </w:r>
      <w:r>
        <w:t xml:space="preserve"> undermines and reinforces the need to step up efforts that encourage a diet consistent with the </w:t>
      </w:r>
      <w:r w:rsidRPr="00067954">
        <w:rPr>
          <w:i/>
        </w:rPr>
        <w:t>Australian Dietary Guidelines</w:t>
      </w:r>
      <w:r>
        <w:t xml:space="preserve"> (Box 8).</w:t>
      </w:r>
      <w:r>
        <w:fldChar w:fldCharType="begin"/>
      </w:r>
      <w:r>
        <w:instrText xml:space="preserve"> ADDIN EN.CITE &lt;EndNote&gt;&lt;Cite&gt;&lt;Author&gt;National Health and Medical Research Council&lt;/Author&gt;&lt;Year&gt;2013&lt;/Year&gt;&lt;RecNum&gt;667&lt;/RecNum&gt;&lt;DisplayText&gt;&lt;style face="superscript"&gt;18&lt;/style&gt;&lt;/DisplayText&gt;&lt;record&gt;&lt;rec-number&gt;667&lt;/rec-number&gt;&lt;foreign-keys&gt;&lt;key app="EN" db-id="zxa00wf2opvf9oeeset50xz7ezpfwre2v20z"&gt;667&lt;/key&gt;&lt;/foreign-keys&gt;&lt;ref-type name="Report"&gt;27&lt;/ref-type&gt;&lt;contributors&gt;&lt;authors&gt;&lt;author&gt;National Health and Medical Research Council,&lt;/author&gt;&lt;/authors&gt;&lt;/contributors&gt;&lt;titles&gt;&lt;title&gt;Australian Dietary Guidelines&lt;/title&gt;&lt;/titles&gt;&lt;dates&gt;&lt;year&gt;2013&lt;/year&gt;&lt;/dates&gt;&lt;pub-location&gt;Canberra&lt;/pub-location&gt;&lt;publisher&gt;National Health and Medical Research Council&lt;/publisher&gt;&lt;urls&gt;&lt;related-urls&gt;&lt;url&gt;http://www.nhmrc.gov.au/_files_nhmrc/publications/attachments/n55_australian_dietary_guidelines_130530.pdf&lt;/url&gt;&lt;/related-urls&gt;&lt;/urls&gt;&lt;/record&gt;&lt;/Cite&gt;&lt;/EndNote&gt;</w:instrText>
      </w:r>
      <w:r>
        <w:fldChar w:fldCharType="separate"/>
      </w:r>
      <w:r w:rsidRPr="009F7E7C">
        <w:rPr>
          <w:noProof/>
          <w:vertAlign w:val="superscript"/>
        </w:rPr>
        <w:t>18</w:t>
      </w:r>
      <w:r>
        <w:fldChar w:fldCharType="end"/>
      </w:r>
      <w:r w:rsidR="0099210E">
        <w:t xml:space="preserve"> </w:t>
      </w:r>
      <w:r>
        <w:t>Growing evidence suggests that taxes and subsidies may act as an incentive for dietary changes and improve population health outcomes.</w:t>
      </w:r>
      <w:r>
        <w:fldChar w:fldCharType="begin"/>
      </w:r>
      <w:r w:rsidR="005B3C51">
        <w:instrText xml:space="preserve"> ADDIN EN.CITE &lt;EndNote&gt;&lt;Cite&gt;&lt;Author&gt;World Health Organization&lt;/Author&gt;&lt;Year&gt;2015&lt;/Year&gt;&lt;RecNum&gt;1053&lt;/RecNum&gt;&lt;DisplayText&gt;&lt;style face="superscript"&gt;127, 128&lt;/style&gt;&lt;/DisplayText&gt;&lt;record&gt;&lt;rec-number&gt;1053&lt;/rec-number&gt;&lt;foreign-keys&gt;&lt;key app="EN" db-id="zxa00wf2opvf9oeeset50xz7ezpfwre2v20z"&gt;1053&lt;/key&gt;&lt;/foreign-keys&gt;&lt;ref-type name="Report"&gt;27&lt;/ref-type&gt;&lt;contributors&gt;&lt;authors&gt;&lt;author&gt;World Health Organization,&lt;/author&gt;&lt;/authors&gt;&lt;/contributors&gt;&lt;titles&gt;&lt;title&gt;Using price policies to promote healthier diets&lt;/title&gt;&lt;/titles&gt;&lt;dates&gt;&lt;year&gt;2015&lt;/year&gt;&lt;/dates&gt;&lt;pub-location&gt;Geneva&lt;/pub-location&gt;&lt;publisher&gt;World Health Organization&lt;/publisher&gt;&lt;urls&gt;&lt;related-urls&gt;&lt;url&gt;http://www.euro.who.int/en/publications/abstracts/using-price-policies-to-promote-healthier-diets-2015&lt;/url&gt;&lt;/related-urls&gt;&lt;/urls&gt;&lt;/record&gt;&lt;/Cite&gt;&lt;Cite&gt;&lt;Author&gt;Veerman&lt;/Author&gt;&lt;Year&gt;2016&lt;/Year&gt;&lt;RecNum&gt;1054&lt;/RecNum&gt;&lt;record&gt;&lt;rec-number&gt;1054&lt;/rec-number&gt;&lt;foreign-keys&gt;&lt;key app="EN" db-id="zxa00wf2opvf9oeeset50xz7ezpfwre2v20z"&gt;1054&lt;/key&gt;&lt;/foreign-keys&gt;&lt;ref-type name="Journal Article"&gt;17&lt;/ref-type&gt;&lt;contributors&gt;&lt;authors&gt;&lt;author&gt;Veerman, J&lt;/author&gt;&lt;author&gt;Sacks, G&lt;/author&gt;&lt;author&gt;Antonopoulos, N&lt;/author&gt;&lt;author&gt;Martin, J&lt;/author&gt;&lt;/authors&gt;&lt;/contributors&gt;&lt;titles&gt;&lt;title&gt;The impact of a tax on sugar-sweetened beverages on health and health care costs: A modelling study&lt;/title&gt;&lt;secondary-title&gt;PloS ONE&lt;/secondary-title&gt;&lt;/titles&gt;&lt;periodical&gt;&lt;full-title&gt;PloS ONE&lt;/full-title&gt;&lt;/periodical&gt;&lt;pages&gt;e0151460&lt;/pages&gt;&lt;volume&gt;11&lt;/volume&gt;&lt;dates&gt;&lt;year&gt;2016&lt;/year&gt;&lt;/dates&gt;&lt;urls&gt;&lt;related-urls&gt;&lt;url&gt;http://journals.plos.org/plosone/article?id=10.1371/journal.pone.0151460&lt;/url&gt;&lt;/related-urls&gt;&lt;/urls&gt;&lt;/record&gt;&lt;/Cite&gt;&lt;/EndNote&gt;</w:instrText>
      </w:r>
      <w:r>
        <w:fldChar w:fldCharType="separate"/>
      </w:r>
      <w:r w:rsidR="005B3C51" w:rsidRPr="005B3C51">
        <w:rPr>
          <w:noProof/>
          <w:vertAlign w:val="superscript"/>
        </w:rPr>
        <w:t>127, 128</w:t>
      </w:r>
      <w:r>
        <w:fldChar w:fldCharType="end"/>
      </w:r>
    </w:p>
    <w:p w:rsidR="00F74A9B" w:rsidRDefault="00F74A9B">
      <w:pPr>
        <w:widowControl/>
        <w:spacing w:after="200" w:line="276" w:lineRule="auto"/>
      </w:pPr>
    </w:p>
    <w:p w:rsidR="00F74A9B" w:rsidRDefault="00F74A9B">
      <w:pPr>
        <w:widowControl/>
        <w:spacing w:after="200" w:line="276" w:lineRule="auto"/>
      </w:pPr>
      <w:r>
        <w:br w:type="page"/>
      </w:r>
    </w:p>
    <w:tbl>
      <w:tblPr>
        <w:tblStyle w:val="TableGrid1"/>
        <w:tblW w:w="0" w:type="auto"/>
        <w:tblLook w:val="04A0" w:firstRow="1" w:lastRow="0" w:firstColumn="1" w:lastColumn="0" w:noHBand="0" w:noVBand="1"/>
      </w:tblPr>
      <w:tblGrid>
        <w:gridCol w:w="4621"/>
        <w:gridCol w:w="4621"/>
      </w:tblGrid>
      <w:tr w:rsidR="0099158E" w:rsidRPr="0099158E" w:rsidTr="001F3E29">
        <w:tc>
          <w:tcPr>
            <w:tcW w:w="9242" w:type="dxa"/>
            <w:gridSpan w:val="2"/>
            <w:shd w:val="clear" w:color="auto" w:fill="F2F2F2" w:themeFill="background1" w:themeFillShade="F2"/>
          </w:tcPr>
          <w:p w:rsidR="0099158E" w:rsidRPr="0099158E" w:rsidRDefault="0099158E" w:rsidP="0099158E">
            <w:pPr>
              <w:widowControl/>
              <w:rPr>
                <w:rFonts w:eastAsia="Calibri"/>
                <w:b/>
                <w:color w:val="808080"/>
                <w:sz w:val="26"/>
                <w:szCs w:val="26"/>
                <w:lang w:val="en-AU"/>
              </w:rPr>
            </w:pPr>
            <w:r w:rsidRPr="0099158E">
              <w:rPr>
                <w:rFonts w:eastAsia="Calibri"/>
                <w:b/>
                <w:color w:val="808080"/>
                <w:sz w:val="26"/>
                <w:szCs w:val="26"/>
                <w:lang w:val="en-AU"/>
              </w:rPr>
              <w:lastRenderedPageBreak/>
              <w:t>Box 10:  How healthy weight is assessed</w:t>
            </w:r>
          </w:p>
          <w:p w:rsidR="0099158E" w:rsidRPr="0099158E" w:rsidRDefault="0099158E" w:rsidP="0099158E">
            <w:pPr>
              <w:widowControl/>
              <w:rPr>
                <w:rFonts w:eastAsia="Calibri"/>
                <w:color w:val="808080"/>
                <w:lang w:val="en-AU"/>
              </w:rPr>
            </w:pPr>
          </w:p>
          <w:p w:rsidR="0099158E" w:rsidRPr="0099158E" w:rsidRDefault="0099158E" w:rsidP="0099158E">
            <w:pPr>
              <w:widowControl/>
              <w:rPr>
                <w:rFonts w:eastAsia="Calibri"/>
                <w:color w:val="808080"/>
                <w:lang w:val="en-AU"/>
              </w:rPr>
            </w:pPr>
            <w:r w:rsidRPr="0099158E">
              <w:rPr>
                <w:rFonts w:eastAsia="Calibri"/>
                <w:color w:val="808080"/>
                <w:lang w:val="en-AU"/>
              </w:rPr>
              <w:t>The following information is based on material provided by the National Health and Medical Research Council.</w:t>
            </w:r>
            <w:r w:rsidRPr="0099158E">
              <w:rPr>
                <w:rFonts w:eastAsia="Calibri"/>
                <w:color w:val="808080"/>
                <w:lang w:val="en-AU"/>
              </w:rPr>
              <w:fldChar w:fldCharType="begin"/>
            </w:r>
            <w:r w:rsidRPr="0099158E">
              <w:rPr>
                <w:rFonts w:eastAsia="Calibri"/>
                <w:color w:val="808080"/>
                <w:lang w:val="en-AU"/>
              </w:rPr>
              <w:instrText xml:space="preserve"> ADDIN EN.CITE &lt;EndNote&gt;&lt;Cite&gt;&lt;Author&gt;National Health and Medical Research Council&lt;/Author&gt;&lt;Year&gt;2013&lt;/Year&gt;&lt;RecNum&gt;667&lt;/RecNum&gt;&lt;DisplayText&gt;&lt;style face="superscript"&gt;18&lt;/style&gt;&lt;/DisplayText&gt;&lt;record&gt;&lt;rec-number&gt;667&lt;/rec-number&gt;&lt;foreign-keys&gt;&lt;key app="EN" db-id="zxa00wf2opvf9oeeset50xz7ezpfwre2v20z"&gt;667&lt;/key&gt;&lt;/foreign-keys&gt;&lt;ref-type name="Report"&gt;27&lt;/ref-type&gt;&lt;contributors&gt;&lt;authors&gt;&lt;author&gt;National Health and Medical Research Council,&lt;/author&gt;&lt;/authors&gt;&lt;/contributors&gt;&lt;titles&gt;&lt;title&gt;Australian Dietary Guidelines&lt;/title&gt;&lt;/titles&gt;&lt;dates&gt;&lt;year&gt;2013&lt;/year&gt;&lt;/dates&gt;&lt;pub-location&gt;Canberra&lt;/pub-location&gt;&lt;publisher&gt;National Health and Medical Research Council&lt;/publisher&gt;&lt;urls&gt;&lt;related-urls&gt;&lt;url&gt;http://www.nhmrc.gov.au/_files_nhmrc/publications/attachments/n55_australian_dietary_guidelines_130530.pdf&lt;/url&gt;&lt;/related-urls&gt;&lt;/urls&gt;&lt;/record&gt;&lt;/Cite&gt;&lt;/EndNote&gt;</w:instrText>
            </w:r>
            <w:r w:rsidRPr="0099158E">
              <w:rPr>
                <w:rFonts w:eastAsia="Calibri"/>
                <w:color w:val="808080"/>
                <w:lang w:val="en-AU"/>
              </w:rPr>
              <w:fldChar w:fldCharType="separate"/>
            </w:r>
            <w:r w:rsidRPr="0099158E">
              <w:rPr>
                <w:rFonts w:eastAsia="Calibri"/>
                <w:noProof/>
                <w:color w:val="808080"/>
                <w:vertAlign w:val="superscript"/>
                <w:lang w:val="en-AU"/>
              </w:rPr>
              <w:t>18</w:t>
            </w:r>
            <w:r w:rsidRPr="0099158E">
              <w:rPr>
                <w:rFonts w:eastAsia="Calibri"/>
                <w:color w:val="808080"/>
                <w:lang w:val="en-AU"/>
              </w:rPr>
              <w:fldChar w:fldCharType="end"/>
            </w:r>
          </w:p>
          <w:p w:rsidR="0099158E" w:rsidRPr="0099158E" w:rsidRDefault="0099158E" w:rsidP="0099158E">
            <w:pPr>
              <w:widowControl/>
              <w:rPr>
                <w:rFonts w:eastAsia="Calibri"/>
                <w:color w:val="808080"/>
                <w:lang w:val="en-AU"/>
              </w:rPr>
            </w:pPr>
          </w:p>
          <w:p w:rsidR="0099158E" w:rsidRPr="0099158E" w:rsidRDefault="0099158E" w:rsidP="0099158E">
            <w:pPr>
              <w:widowControl/>
              <w:rPr>
                <w:rFonts w:eastAsia="Calibri"/>
                <w:b/>
                <w:color w:val="808080"/>
                <w:lang w:val="en-AU"/>
              </w:rPr>
            </w:pPr>
            <w:r w:rsidRPr="0099158E">
              <w:rPr>
                <w:rFonts w:eastAsia="Calibri"/>
                <w:b/>
                <w:color w:val="808080"/>
                <w:lang w:val="en-AU"/>
              </w:rPr>
              <w:t>In adults</w:t>
            </w:r>
          </w:p>
          <w:p w:rsidR="0099158E" w:rsidRPr="0099158E" w:rsidRDefault="0099158E" w:rsidP="0099158E">
            <w:pPr>
              <w:widowControl/>
              <w:rPr>
                <w:rFonts w:eastAsia="Calibri"/>
                <w:b/>
                <w:color w:val="808080"/>
                <w:lang w:val="en-AU"/>
              </w:rPr>
            </w:pPr>
          </w:p>
          <w:p w:rsidR="0099158E" w:rsidRPr="0099158E" w:rsidRDefault="0099158E" w:rsidP="0099158E">
            <w:pPr>
              <w:widowControl/>
              <w:rPr>
                <w:rFonts w:eastAsia="Calibri"/>
                <w:color w:val="808080"/>
                <w:lang w:val="en-AU"/>
              </w:rPr>
            </w:pPr>
            <w:r w:rsidRPr="0099158E">
              <w:rPr>
                <w:rFonts w:eastAsia="Calibri"/>
                <w:color w:val="808080"/>
                <w:lang w:val="en-AU"/>
              </w:rPr>
              <w:t>Body mass index (BMI) is the most common approach to assess weight classification in adults. It is calculated by dividing weight (in kilograms) by height (in metres) squared (kg/m</w:t>
            </w:r>
            <w:r w:rsidRPr="0099158E">
              <w:rPr>
                <w:rFonts w:eastAsia="Calibri"/>
                <w:color w:val="808080"/>
                <w:vertAlign w:val="superscript"/>
                <w:lang w:val="en-AU"/>
              </w:rPr>
              <w:t>2</w:t>
            </w:r>
            <w:r w:rsidRPr="0099158E">
              <w:rPr>
                <w:rFonts w:eastAsia="Calibri"/>
                <w:color w:val="808080"/>
                <w:lang w:val="en-AU"/>
              </w:rPr>
              <w:t>) BMI is a measure of body size that is widely used as an index of relative risk of mortality and morbidity at the population level, with risk lowest in the healthy weight range. BMI categories for adults are:</w:t>
            </w:r>
          </w:p>
          <w:p w:rsidR="0099158E" w:rsidRPr="0099158E" w:rsidRDefault="0099158E" w:rsidP="0099158E">
            <w:pPr>
              <w:widowControl/>
              <w:rPr>
                <w:rFonts w:eastAsia="Calibri"/>
                <w:lang w:val="en-AU"/>
              </w:rPr>
            </w:pP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BMI (kg/m2)</w:t>
            </w:r>
          </w:p>
        </w:tc>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Classification</w:t>
            </w: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&lt; 18.5</w:t>
            </w:r>
          </w:p>
        </w:tc>
        <w:tc>
          <w:tcPr>
            <w:tcW w:w="4621" w:type="dxa"/>
            <w:shd w:val="clear" w:color="auto" w:fill="F2F2F2" w:themeFill="background1" w:themeFillShade="F2"/>
          </w:tcPr>
          <w:p w:rsidR="0099158E" w:rsidRPr="0099158E" w:rsidRDefault="0099158E" w:rsidP="0099158E">
            <w:pPr>
              <w:widowControl/>
              <w:rPr>
                <w:rFonts w:eastAsia="Calibri"/>
                <w:color w:val="808080"/>
                <w:lang w:val="en-AU"/>
              </w:rPr>
            </w:pPr>
            <w:r w:rsidRPr="0099158E">
              <w:rPr>
                <w:rFonts w:eastAsia="Calibri"/>
                <w:color w:val="808080"/>
                <w:lang w:val="en-AU"/>
              </w:rPr>
              <w:t>Underweight</w:t>
            </w: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18.5–24.9</w:t>
            </w:r>
          </w:p>
        </w:tc>
        <w:tc>
          <w:tcPr>
            <w:tcW w:w="4621" w:type="dxa"/>
            <w:shd w:val="clear" w:color="auto" w:fill="F2F2F2" w:themeFill="background1" w:themeFillShade="F2"/>
          </w:tcPr>
          <w:p w:rsidR="0099158E" w:rsidRPr="0099158E" w:rsidRDefault="0099158E" w:rsidP="0099158E">
            <w:pPr>
              <w:widowControl/>
              <w:rPr>
                <w:rFonts w:eastAsia="Calibri"/>
                <w:color w:val="808080"/>
                <w:lang w:val="en-AU"/>
              </w:rPr>
            </w:pPr>
            <w:r w:rsidRPr="0099158E">
              <w:rPr>
                <w:rFonts w:eastAsia="Calibri"/>
                <w:color w:val="808080"/>
                <w:lang w:val="en-AU"/>
              </w:rPr>
              <w:t>Healthy weight</w:t>
            </w: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25.0–29.9</w:t>
            </w:r>
          </w:p>
        </w:tc>
        <w:tc>
          <w:tcPr>
            <w:tcW w:w="4621" w:type="dxa"/>
            <w:shd w:val="clear" w:color="auto" w:fill="F2F2F2" w:themeFill="background1" w:themeFillShade="F2"/>
          </w:tcPr>
          <w:p w:rsidR="0099158E" w:rsidRPr="0099158E" w:rsidRDefault="0099158E" w:rsidP="0099158E">
            <w:pPr>
              <w:widowControl/>
              <w:rPr>
                <w:rFonts w:eastAsia="Calibri"/>
                <w:color w:val="808080"/>
                <w:lang w:val="en-AU"/>
              </w:rPr>
            </w:pPr>
            <w:r w:rsidRPr="0099158E">
              <w:rPr>
                <w:rFonts w:eastAsia="Calibri"/>
                <w:color w:val="808080"/>
                <w:lang w:val="en-AU"/>
              </w:rPr>
              <w:t>Overweight</w:t>
            </w: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 30.0</w:t>
            </w:r>
          </w:p>
        </w:tc>
        <w:tc>
          <w:tcPr>
            <w:tcW w:w="4621" w:type="dxa"/>
            <w:shd w:val="clear" w:color="auto" w:fill="F2F2F2" w:themeFill="background1" w:themeFillShade="F2"/>
          </w:tcPr>
          <w:p w:rsidR="0099158E" w:rsidRPr="0099158E" w:rsidRDefault="0099158E" w:rsidP="0099158E">
            <w:pPr>
              <w:widowControl/>
              <w:rPr>
                <w:rFonts w:eastAsia="Calibri"/>
                <w:color w:val="808080"/>
                <w:lang w:val="en-AU"/>
              </w:rPr>
            </w:pPr>
            <w:r w:rsidRPr="0099158E">
              <w:rPr>
                <w:rFonts w:eastAsia="Calibri"/>
                <w:color w:val="808080"/>
                <w:lang w:val="en-AU"/>
              </w:rPr>
              <w:t>Obese</w:t>
            </w:r>
          </w:p>
        </w:tc>
      </w:tr>
      <w:tr w:rsidR="0099158E" w:rsidRPr="0099158E" w:rsidTr="001F3E29">
        <w:tc>
          <w:tcPr>
            <w:tcW w:w="9242" w:type="dxa"/>
            <w:gridSpan w:val="2"/>
            <w:shd w:val="clear" w:color="auto" w:fill="F2F2F2" w:themeFill="background1" w:themeFillShade="F2"/>
          </w:tcPr>
          <w:p w:rsidR="0099158E" w:rsidRPr="0099158E" w:rsidRDefault="0099158E" w:rsidP="0099158E">
            <w:pPr>
              <w:widowControl/>
              <w:rPr>
                <w:rFonts w:eastAsia="Calibri"/>
                <w:color w:val="808080"/>
                <w:lang w:val="en-AU"/>
              </w:rPr>
            </w:pPr>
          </w:p>
          <w:p w:rsidR="0099158E" w:rsidRPr="0099158E" w:rsidRDefault="0099158E" w:rsidP="0099158E">
            <w:pPr>
              <w:widowControl/>
              <w:rPr>
                <w:rFonts w:eastAsia="Calibri"/>
                <w:color w:val="808080"/>
                <w:lang w:val="en-AU"/>
              </w:rPr>
            </w:pPr>
            <w:r w:rsidRPr="0099158E">
              <w:rPr>
                <w:rFonts w:eastAsia="Calibri"/>
                <w:color w:val="808080"/>
                <w:lang w:val="en-AU"/>
              </w:rPr>
              <w:t>The BMI classification may not be suitable for all population groups; for example athletes, some CaLD communities and older people.</w:t>
            </w:r>
          </w:p>
          <w:p w:rsidR="0099158E" w:rsidRPr="0099158E" w:rsidRDefault="0099158E" w:rsidP="0099158E">
            <w:pPr>
              <w:widowControl/>
              <w:rPr>
                <w:rFonts w:eastAsia="Calibri"/>
                <w:color w:val="808080"/>
                <w:lang w:val="en-AU"/>
              </w:rPr>
            </w:pPr>
          </w:p>
          <w:p w:rsidR="0099158E" w:rsidRPr="0099158E" w:rsidRDefault="0099158E" w:rsidP="0099158E">
            <w:pPr>
              <w:widowControl/>
              <w:rPr>
                <w:rFonts w:eastAsia="Calibri"/>
                <w:color w:val="808080"/>
                <w:lang w:val="en-AU"/>
              </w:rPr>
            </w:pPr>
            <w:r w:rsidRPr="0099158E">
              <w:rPr>
                <w:rFonts w:eastAsia="Calibri"/>
                <w:i/>
                <w:color w:val="808080"/>
                <w:lang w:val="en-AU"/>
              </w:rPr>
              <w:t>Waist circumference</w:t>
            </w:r>
            <w:r w:rsidRPr="0099158E">
              <w:rPr>
                <w:rFonts w:eastAsia="Calibri"/>
                <w:color w:val="808080"/>
                <w:lang w:val="en-AU"/>
              </w:rPr>
              <w:t xml:space="preserve"> is another good indicator of total body fat and can be a better predictor of health risk than BMI.</w:t>
            </w:r>
          </w:p>
          <w:p w:rsidR="0099158E" w:rsidRPr="0099158E" w:rsidRDefault="0099158E" w:rsidP="0099158E">
            <w:pPr>
              <w:widowControl/>
              <w:rPr>
                <w:rFonts w:eastAsia="Calibri"/>
                <w:lang w:val="en-AU"/>
              </w:rPr>
            </w:pP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Waist circumference</w:t>
            </w:r>
          </w:p>
        </w:tc>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Disease risk</w:t>
            </w: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Men ≥ 94 cm</w:t>
            </w:r>
          </w:p>
          <w:p w:rsidR="0099158E" w:rsidRPr="0099158E" w:rsidRDefault="0099158E" w:rsidP="0099158E">
            <w:pPr>
              <w:widowControl/>
              <w:rPr>
                <w:rFonts w:eastAsia="Calibri"/>
                <w:b/>
                <w:color w:val="808080"/>
                <w:lang w:val="en-AU"/>
              </w:rPr>
            </w:pPr>
            <w:r w:rsidRPr="0099158E">
              <w:rPr>
                <w:rFonts w:eastAsia="Calibri"/>
                <w:b/>
                <w:color w:val="808080"/>
                <w:lang w:val="en-AU"/>
              </w:rPr>
              <w:t>Women ≥ 80 cm</w:t>
            </w:r>
          </w:p>
        </w:tc>
        <w:tc>
          <w:tcPr>
            <w:tcW w:w="4621" w:type="dxa"/>
            <w:shd w:val="clear" w:color="auto" w:fill="F2F2F2" w:themeFill="background1" w:themeFillShade="F2"/>
            <w:vAlign w:val="center"/>
          </w:tcPr>
          <w:p w:rsidR="0099158E" w:rsidRPr="0099158E" w:rsidRDefault="0099158E" w:rsidP="0099158E">
            <w:pPr>
              <w:widowControl/>
              <w:rPr>
                <w:rFonts w:eastAsia="Calibri"/>
                <w:color w:val="808080"/>
                <w:lang w:val="en-AU"/>
              </w:rPr>
            </w:pPr>
            <w:r w:rsidRPr="0099158E">
              <w:rPr>
                <w:rFonts w:eastAsia="Calibri"/>
                <w:color w:val="808080"/>
                <w:lang w:val="en-AU"/>
              </w:rPr>
              <w:t>Increased risk</w:t>
            </w:r>
          </w:p>
        </w:tc>
      </w:tr>
      <w:tr w:rsidR="0099158E" w:rsidRPr="0099158E" w:rsidTr="001F3E29">
        <w:tc>
          <w:tcPr>
            <w:tcW w:w="4621" w:type="dxa"/>
            <w:shd w:val="clear" w:color="auto" w:fill="F2F2F2" w:themeFill="background1" w:themeFillShade="F2"/>
          </w:tcPr>
          <w:p w:rsidR="0099158E" w:rsidRPr="0099158E" w:rsidRDefault="0099158E" w:rsidP="0099158E">
            <w:pPr>
              <w:widowControl/>
              <w:rPr>
                <w:rFonts w:eastAsia="Calibri"/>
                <w:b/>
                <w:color w:val="808080"/>
                <w:lang w:val="en-AU"/>
              </w:rPr>
            </w:pPr>
            <w:r w:rsidRPr="0099158E">
              <w:rPr>
                <w:rFonts w:eastAsia="Calibri"/>
                <w:b/>
                <w:color w:val="808080"/>
                <w:lang w:val="en-AU"/>
              </w:rPr>
              <w:t>Men ≥ 102 cm</w:t>
            </w:r>
          </w:p>
          <w:p w:rsidR="0099158E" w:rsidRPr="0099158E" w:rsidRDefault="0099158E" w:rsidP="0099158E">
            <w:pPr>
              <w:widowControl/>
              <w:rPr>
                <w:rFonts w:eastAsia="Calibri"/>
                <w:b/>
                <w:color w:val="808080"/>
                <w:lang w:val="en-AU"/>
              </w:rPr>
            </w:pPr>
            <w:r w:rsidRPr="0099158E">
              <w:rPr>
                <w:rFonts w:eastAsia="Calibri"/>
                <w:b/>
                <w:color w:val="808080"/>
                <w:lang w:val="en-AU"/>
              </w:rPr>
              <w:t>Women ≥ 88 cm</w:t>
            </w:r>
          </w:p>
        </w:tc>
        <w:tc>
          <w:tcPr>
            <w:tcW w:w="4621" w:type="dxa"/>
            <w:shd w:val="clear" w:color="auto" w:fill="F2F2F2" w:themeFill="background1" w:themeFillShade="F2"/>
            <w:vAlign w:val="center"/>
          </w:tcPr>
          <w:p w:rsidR="0099158E" w:rsidRPr="0099158E" w:rsidRDefault="0099158E" w:rsidP="0099158E">
            <w:pPr>
              <w:widowControl/>
              <w:rPr>
                <w:rFonts w:eastAsia="Calibri"/>
                <w:color w:val="808080"/>
                <w:lang w:val="en-AU"/>
              </w:rPr>
            </w:pPr>
            <w:r w:rsidRPr="0099158E">
              <w:rPr>
                <w:rFonts w:eastAsia="Calibri"/>
                <w:color w:val="808080"/>
                <w:lang w:val="en-AU"/>
              </w:rPr>
              <w:t>High risk</w:t>
            </w:r>
          </w:p>
        </w:tc>
      </w:tr>
      <w:tr w:rsidR="0099158E" w:rsidRPr="0099158E" w:rsidTr="001F3E29">
        <w:tc>
          <w:tcPr>
            <w:tcW w:w="9242" w:type="dxa"/>
            <w:gridSpan w:val="2"/>
            <w:shd w:val="clear" w:color="auto" w:fill="F2F2F2" w:themeFill="background1" w:themeFillShade="F2"/>
          </w:tcPr>
          <w:p w:rsidR="0099158E" w:rsidRPr="0099158E" w:rsidRDefault="0099158E" w:rsidP="0099158E">
            <w:pPr>
              <w:widowControl/>
              <w:rPr>
                <w:rFonts w:eastAsia="Calibri"/>
                <w:lang w:val="en-AU"/>
              </w:rPr>
            </w:pPr>
          </w:p>
          <w:p w:rsidR="0099158E" w:rsidRPr="0099158E" w:rsidRDefault="0099158E" w:rsidP="0099158E">
            <w:pPr>
              <w:widowControl/>
              <w:rPr>
                <w:rFonts w:eastAsia="Calibri"/>
                <w:b/>
                <w:color w:val="808080"/>
                <w:lang w:val="en-AU"/>
              </w:rPr>
            </w:pPr>
            <w:r w:rsidRPr="0099158E">
              <w:rPr>
                <w:rFonts w:eastAsia="Calibri"/>
                <w:b/>
                <w:color w:val="808080"/>
                <w:lang w:val="en-AU"/>
              </w:rPr>
              <w:t>In children</w:t>
            </w:r>
          </w:p>
          <w:p w:rsidR="0099158E" w:rsidRPr="0099158E" w:rsidRDefault="0099158E" w:rsidP="0099158E">
            <w:pPr>
              <w:widowControl/>
              <w:rPr>
                <w:rFonts w:eastAsia="Calibri"/>
                <w:color w:val="808080"/>
                <w:lang w:val="en-AU"/>
              </w:rPr>
            </w:pPr>
          </w:p>
          <w:p w:rsidR="0099158E" w:rsidRPr="0099158E" w:rsidRDefault="0099158E" w:rsidP="0099158E">
            <w:pPr>
              <w:widowControl/>
              <w:rPr>
                <w:rFonts w:eastAsia="Calibri"/>
                <w:color w:val="808080"/>
                <w:lang w:val="en-AU"/>
              </w:rPr>
            </w:pPr>
            <w:r w:rsidRPr="0099158E">
              <w:rPr>
                <w:rFonts w:eastAsia="Calibri"/>
                <w:color w:val="808080"/>
                <w:lang w:val="en-AU"/>
              </w:rPr>
              <w:t>For infants, children and adolescents, it is not possible to have a single set of numerical values for BMI cut-offs that apply to both sexes and all ages. Growth (percentile) charts are a valuable tool for monitoring growth and screening for inadequate growth or overweight and obesity. These show the normal ranges of height for age, weight for age and BMI, by sex as well as length for age and head circumference for age for infants aged 0–2 years. Given that growth is a dynamic process, several measures are preferable when assessing infants and children.</w:t>
            </w:r>
          </w:p>
          <w:p w:rsidR="0099158E" w:rsidRPr="0099158E" w:rsidRDefault="0099158E" w:rsidP="0099158E">
            <w:pPr>
              <w:widowControl/>
              <w:rPr>
                <w:rFonts w:eastAsia="Calibri"/>
                <w:color w:val="808080"/>
                <w:lang w:val="en-AU"/>
              </w:rPr>
            </w:pPr>
          </w:p>
          <w:p w:rsidR="0099158E" w:rsidRPr="0099158E" w:rsidRDefault="0099158E" w:rsidP="005B3C51">
            <w:pPr>
              <w:widowControl/>
              <w:rPr>
                <w:rFonts w:eastAsia="Calibri"/>
                <w:lang w:val="en-AU"/>
              </w:rPr>
            </w:pPr>
            <w:r w:rsidRPr="0099158E">
              <w:rPr>
                <w:rFonts w:eastAsia="Calibri"/>
                <w:color w:val="808080"/>
                <w:lang w:val="en-AU"/>
              </w:rPr>
              <w:t>There are a number of widely-accepted tools available for assessment including those developed by the WHO</w:t>
            </w:r>
            <w:r w:rsidRPr="0099158E">
              <w:rPr>
                <w:rFonts w:eastAsia="Calibri"/>
                <w:color w:val="808080"/>
                <w:lang w:val="en-AU"/>
              </w:rPr>
              <w:fldChar w:fldCharType="begin"/>
            </w:r>
            <w:r w:rsidR="005B3C51">
              <w:rPr>
                <w:rFonts w:eastAsia="Calibri"/>
                <w:color w:val="808080"/>
                <w:lang w:val="en-AU"/>
              </w:rPr>
              <w:instrText xml:space="preserve"> ADDIN EN.CITE &lt;EndNote&gt;&lt;Cite&gt;&lt;Author&gt;World Health Organization&lt;/Author&gt;&lt;Year&gt;2016&lt;/Year&gt;&lt;RecNum&gt;1077&lt;/RecNum&gt;&lt;DisplayText&gt;&lt;style face="superscript"&gt;129&lt;/style&gt;&lt;/DisplayText&gt;&lt;record&gt;&lt;rec-number&gt;1077&lt;/rec-number&gt;&lt;foreign-keys&gt;&lt;key app="EN" db-id="zxa00wf2opvf9oeeset50xz7ezpfwre2v20z"&gt;1077&lt;/key&gt;&lt;/foreign-keys&gt;&lt;ref-type name="Web Page"&gt;12&lt;/ref-type&gt;&lt;contributors&gt;&lt;authors&gt;&lt;author&gt;World Health Organization,&lt;/author&gt;&lt;/authors&gt;&lt;/contributors&gt;&lt;titles&gt;&lt;title&gt;WHO growth charts: child growth standards&lt;/title&gt;&lt;/titles&gt;&lt;dates&gt;&lt;year&gt;2016&lt;/year&gt;&lt;/dates&gt;&lt;pub-location&gt;Geneva&lt;/pub-location&gt;&lt;publisher&gt;World Health Organization&lt;/publisher&gt;&lt;urls&gt;&lt;related-urls&gt;&lt;url&gt;http://www.who.int/childgrowth/en/&lt;/url&gt;&lt;/related-urls&gt;&lt;/urls&gt;&lt;/record&gt;&lt;/Cite&gt;&lt;/EndNote&gt;</w:instrText>
            </w:r>
            <w:r w:rsidRPr="0099158E">
              <w:rPr>
                <w:rFonts w:eastAsia="Calibri"/>
                <w:color w:val="808080"/>
                <w:lang w:val="en-AU"/>
              </w:rPr>
              <w:fldChar w:fldCharType="separate"/>
            </w:r>
            <w:r w:rsidR="005B3C51" w:rsidRPr="005B3C51">
              <w:rPr>
                <w:rFonts w:eastAsia="Calibri"/>
                <w:noProof/>
                <w:color w:val="808080"/>
                <w:vertAlign w:val="superscript"/>
                <w:lang w:val="en-AU"/>
              </w:rPr>
              <w:t>129</w:t>
            </w:r>
            <w:r w:rsidRPr="0099158E">
              <w:rPr>
                <w:rFonts w:eastAsia="Calibri"/>
                <w:color w:val="808080"/>
                <w:lang w:val="en-AU"/>
              </w:rPr>
              <w:fldChar w:fldCharType="end"/>
            </w:r>
            <w:r w:rsidRPr="0099158E">
              <w:rPr>
                <w:rFonts w:eastAsia="Calibri"/>
                <w:color w:val="808080"/>
                <w:lang w:val="en-AU"/>
              </w:rPr>
              <w:t xml:space="preserve"> and the United States Centres for Disease Control and Prevention.</w:t>
            </w:r>
            <w:r w:rsidRPr="0099158E">
              <w:rPr>
                <w:rFonts w:eastAsia="Calibri"/>
                <w:color w:val="808080"/>
                <w:lang w:val="en-AU"/>
              </w:rPr>
              <w:fldChar w:fldCharType="begin"/>
            </w:r>
            <w:r w:rsidR="005B3C51">
              <w:rPr>
                <w:rFonts w:eastAsia="Calibri"/>
                <w:color w:val="808080"/>
                <w:lang w:val="en-AU"/>
              </w:rPr>
              <w:instrText xml:space="preserve"> ADDIN EN.CITE &lt;EndNote&gt;&lt;Cite&gt;&lt;Author&gt;Centers for Disease Control and Prevention&lt;/Author&gt;&lt;Year&gt;2010&lt;/Year&gt;&lt;RecNum&gt;1078&lt;/RecNum&gt;&lt;DisplayText&gt;&lt;style face="superscript"&gt;130&lt;/style&gt;&lt;/DisplayText&gt;&lt;record&gt;&lt;rec-number&gt;1078&lt;/rec-number&gt;&lt;foreign-keys&gt;&lt;key app="EN" db-id="zxa00wf2opvf9oeeset50xz7ezpfwre2v20z"&gt;1078&lt;/key&gt;&lt;/foreign-keys&gt;&lt;ref-type name="Web Page"&gt;12&lt;/ref-type&gt;&lt;contributors&gt;&lt;authors&gt;&lt;author&gt;Centers for Disease Control and Prevention,&lt;/author&gt;&lt;/authors&gt;&lt;/contributors&gt;&lt;titles&gt;&lt;title&gt;CDC growth charts&lt;/title&gt;&lt;/titles&gt;&lt;dates&gt;&lt;year&gt;2010&lt;/year&gt;&lt;/dates&gt;&lt;pub-location&gt;Atlanta&lt;/pub-location&gt;&lt;publisher&gt;Centers for Disease Control and Prevention&lt;/publisher&gt;&lt;urls&gt;&lt;related-urls&gt;&lt;url&gt;http://www.cdc.gov/growthcharts/cdc_charts.htm&lt;/url&gt;&lt;/related-urls&gt;&lt;/urls&gt;&lt;/record&gt;&lt;/Cite&gt;&lt;/EndNote&gt;</w:instrText>
            </w:r>
            <w:r w:rsidRPr="0099158E">
              <w:rPr>
                <w:rFonts w:eastAsia="Calibri"/>
                <w:color w:val="808080"/>
                <w:lang w:val="en-AU"/>
              </w:rPr>
              <w:fldChar w:fldCharType="separate"/>
            </w:r>
            <w:r w:rsidR="005B3C51" w:rsidRPr="005B3C51">
              <w:rPr>
                <w:rFonts w:eastAsia="Calibri"/>
                <w:noProof/>
                <w:color w:val="808080"/>
                <w:vertAlign w:val="superscript"/>
                <w:lang w:val="en-AU"/>
              </w:rPr>
              <w:t>130</w:t>
            </w:r>
            <w:r w:rsidRPr="0099158E">
              <w:rPr>
                <w:rFonts w:eastAsia="Calibri"/>
                <w:color w:val="808080"/>
                <w:lang w:val="en-AU"/>
              </w:rPr>
              <w:fldChar w:fldCharType="end"/>
            </w:r>
          </w:p>
        </w:tc>
      </w:tr>
    </w:tbl>
    <w:p w:rsidR="003C69DA" w:rsidRPr="00590E69" w:rsidRDefault="003C69DA" w:rsidP="003C69DA"/>
    <w:p w:rsidR="00DF295F" w:rsidRDefault="00DF295F" w:rsidP="00DF295F">
      <w:pPr>
        <w:rPr>
          <w:rFonts w:eastAsia="Arial"/>
          <w:color w:val="1F497D" w:themeColor="text2"/>
          <w:sz w:val="28"/>
          <w:szCs w:val="28"/>
        </w:rPr>
      </w:pPr>
    </w:p>
    <w:p w:rsidR="00F74A9B" w:rsidRDefault="00F74A9B">
      <w:pPr>
        <w:widowControl/>
        <w:spacing w:after="200" w:line="276" w:lineRule="auto"/>
        <w:rPr>
          <w:rFonts w:eastAsiaTheme="majorEastAsia" w:cstheme="majorBidi"/>
          <w:b/>
          <w:color w:val="31849B" w:themeColor="accent5" w:themeShade="BF"/>
          <w:sz w:val="32"/>
          <w:szCs w:val="32"/>
        </w:rPr>
      </w:pPr>
      <w:bookmarkStart w:id="39" w:name="_Toc454180225"/>
      <w:r>
        <w:br w:type="page"/>
      </w:r>
    </w:p>
    <w:bookmarkEnd w:id="39"/>
    <w:p w:rsidR="00DF295F" w:rsidRPr="004B613A" w:rsidRDefault="00DF295F" w:rsidP="00DF295F">
      <w:pPr>
        <w:rPr>
          <w:rFonts w:eastAsia="Arial"/>
          <w:color w:val="808080" w:themeColor="background1" w:themeShade="80"/>
          <w:sz w:val="28"/>
          <w:szCs w:val="28"/>
        </w:rPr>
      </w:pPr>
      <w:r w:rsidRPr="004B613A">
        <w:rPr>
          <w:rFonts w:eastAsia="Arial"/>
          <w:color w:val="808080" w:themeColor="background1" w:themeShade="80"/>
          <w:sz w:val="28"/>
          <w:szCs w:val="28"/>
        </w:rPr>
        <w:lastRenderedPageBreak/>
        <w:t xml:space="preserve">Prevent and reverse childhood overweight and obesity </w:t>
      </w:r>
    </w:p>
    <w:p w:rsidR="00DF295F" w:rsidRDefault="00DF295F" w:rsidP="00DF295F"/>
    <w:p w:rsidR="00473299" w:rsidRDefault="00473299" w:rsidP="00473299">
      <w:r>
        <w:t>The risk of becoming overweight or obese starts early in life and is influenced by factors including maternal overweight and obesity, antenatal and postnatal care and infant feeding practices (including breastfeeding). The quality and nature of environments to which children are exposed (for example at home, in child care, or at school) are important influence</w:t>
      </w:r>
      <w:r w:rsidR="00E02989">
        <w:t>s on</w:t>
      </w:r>
      <w:r>
        <w:t xml:space="preserve"> future dietary and physical activity habits.</w:t>
      </w:r>
      <w:r w:rsidR="008E4A1B">
        <w:fldChar w:fldCharType="begin"/>
      </w:r>
      <w:r w:rsidR="00547316">
        <w:instrText xml:space="preserve"> ADDIN EN.CITE &lt;EndNote&gt;&lt;Cite&gt;&lt;Author&gt;World Health Organization&lt;/Author&gt;&lt;Year&gt;2013&lt;/Year&gt;&lt;RecNum&gt;916&lt;/RecNum&gt;&lt;DisplayText&gt;&lt;style face="superscript"&gt;57&lt;/style&gt;&lt;/DisplayText&gt;&lt;record&gt;&lt;rec-number&gt;916&lt;/rec-number&gt;&lt;foreign-keys&gt;&lt;key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Organization&lt;/publisher&gt;&lt;urls&gt;&lt;related-urls&gt;&lt;url&gt;http://www.who.int/nmh/events/ncd_action_plan/en/&lt;/url&gt;&lt;/related-urls&gt;&lt;/urls&gt;&lt;/record&gt;&lt;/Cite&gt;&lt;/EndNote&gt;</w:instrText>
      </w:r>
      <w:r w:rsidR="008E4A1B">
        <w:fldChar w:fldCharType="separate"/>
      </w:r>
      <w:r w:rsidR="00547316" w:rsidRPr="00547316">
        <w:rPr>
          <w:noProof/>
          <w:vertAlign w:val="superscript"/>
        </w:rPr>
        <w:t>57</w:t>
      </w:r>
      <w:r w:rsidR="008E4A1B">
        <w:fldChar w:fldCharType="end"/>
      </w:r>
      <w:r>
        <w:t xml:space="preserve"> </w:t>
      </w:r>
    </w:p>
    <w:p w:rsidR="00473299" w:rsidRDefault="00473299" w:rsidP="00473299"/>
    <w:p w:rsidR="00473299" w:rsidRDefault="00473299" w:rsidP="00473299">
      <w:r w:rsidRPr="0043256C">
        <w:t>Overweight and obesity in childhood</w:t>
      </w:r>
      <w:r>
        <w:t xml:space="preserve"> has a range of short- and long-term health impacts and</w:t>
      </w:r>
      <w:r w:rsidRPr="0043256C">
        <w:t xml:space="preserve"> is associated </w:t>
      </w:r>
      <w:r>
        <w:t xml:space="preserve">with </w:t>
      </w:r>
      <w:r w:rsidRPr="0043256C">
        <w:t>a high risk of obesity in adulthood.</w:t>
      </w:r>
      <w:r w:rsidR="008E4A1B">
        <w:fldChar w:fldCharType="begin"/>
      </w:r>
      <w:r w:rsidR="005B3C51">
        <w:instrText xml:space="preserve"> ADDIN EN.CITE &lt;EndNote&gt;&lt;Cite&gt;&lt;Author&gt;Singh&lt;/Author&gt;&lt;Year&gt;2008&lt;/Year&gt;&lt;RecNum&gt;1055&lt;/RecNum&gt;&lt;DisplayText&gt;&lt;style face="superscript"&gt;131&lt;/style&gt;&lt;/DisplayText&gt;&lt;record&gt;&lt;rec-number&gt;1055&lt;/rec-number&gt;&lt;foreign-keys&gt;&lt;key app="EN" db-id="zxa00wf2opvf9oeeset50xz7ezpfwre2v20z"&gt;1055&lt;/key&gt;&lt;/foreign-keys&gt;&lt;ref-type name="Journal Article"&gt;17&lt;/ref-type&gt;&lt;contributors&gt;&lt;authors&gt;&lt;author&gt;Singh, AS&lt;/author&gt;&lt;author&gt;Mulder, C&lt;/author&gt;&lt;author&gt;Twisk, JK&lt;/author&gt;&lt;author&gt;van Mechelen, W&lt;/author&gt;&lt;author&gt;Chinapaw, MJ&lt;/author&gt;&lt;/authors&gt;&lt;/contributors&gt;&lt;titles&gt;&lt;title&gt;Tracking of childhood overweight into adulthood: a systematic review of the literature&lt;/title&gt;&lt;secondary-title&gt;Obesity Reviews&lt;/secondary-title&gt;&lt;/titles&gt;&lt;periodical&gt;&lt;full-title&gt;Obesity Reviews&lt;/full-title&gt;&lt;/periodical&gt;&lt;pages&gt;474-88&lt;/pages&gt;&lt;volume&gt;9&lt;/volume&gt;&lt;dates&gt;&lt;year&gt;2008&lt;/year&gt;&lt;/dates&gt;&lt;urls&gt;&lt;related-urls&gt;&lt;url&gt;http://www.ncbi.nlm.nih.gov/pubmed/18331423&lt;/url&gt;&lt;/related-urls&gt;&lt;/urls&gt;&lt;/record&gt;&lt;/Cite&gt;&lt;/EndNote&gt;</w:instrText>
      </w:r>
      <w:r w:rsidR="008E4A1B">
        <w:fldChar w:fldCharType="separate"/>
      </w:r>
      <w:r w:rsidR="005B3C51" w:rsidRPr="005B3C51">
        <w:rPr>
          <w:noProof/>
          <w:vertAlign w:val="superscript"/>
        </w:rPr>
        <w:t>131</w:t>
      </w:r>
      <w:r w:rsidR="008E4A1B">
        <w:fldChar w:fldCharType="end"/>
      </w:r>
      <w:r w:rsidRPr="0043256C">
        <w:t xml:space="preserve"> The later into adole</w:t>
      </w:r>
      <w:r>
        <w:t>scence that overweight persists</w:t>
      </w:r>
      <w:r w:rsidRPr="0043256C">
        <w:t xml:space="preserve"> and the more overweight </w:t>
      </w:r>
      <w:r>
        <w:t>children are</w:t>
      </w:r>
      <w:r w:rsidRPr="0043256C">
        <w:t>, the greater the chance they will be obese as adults.</w:t>
      </w:r>
      <w:r w:rsidR="008E4A1B">
        <w:fldChar w:fldCharType="begin"/>
      </w:r>
      <w:r w:rsidR="005B3C51">
        <w:instrText xml:space="preserve"> ADDIN EN.CITE &lt;EndNote&gt;&lt;Cite&gt;&lt;Author&gt;Must&lt;/Author&gt;&lt;Year&gt;1999&lt;/Year&gt;&lt;RecNum&gt;651&lt;/RecNum&gt;&lt;DisplayText&gt;&lt;style face="superscript"&gt;132&lt;/style&gt;&lt;/DisplayText&gt;&lt;record&gt;&lt;rec-number&gt;651&lt;/rec-number&gt;&lt;foreign-keys&gt;&lt;key app="EN" db-id="zxa00wf2opvf9oeeset50xz7ezpfwre2v20z"&gt;651&lt;/key&gt;&lt;/foreign-keys&gt;&lt;ref-type name="Journal Article"&gt;17&lt;/ref-type&gt;&lt;contributors&gt;&lt;authors&gt;&lt;author&gt;Must, A&lt;/author&gt;&lt;author&gt;Strauss, R&lt;/author&gt;&lt;/authors&gt;&lt;/contributors&gt;&lt;titles&gt;&lt;title&gt;Risks and consequences of childhood and adolescent obesity&lt;/title&gt;&lt;secondary-title&gt;Int J Obes Relat Metab Disord&lt;/secondary-title&gt;&lt;/titles&gt;&lt;periodical&gt;&lt;full-title&gt;Int J Obes Relat Metab Disord&lt;/full-title&gt;&lt;/periodical&gt;&lt;pages&gt;S2–S11&lt;/pages&gt;&lt;volume&gt;23&lt;/volume&gt;&lt;number&gt;S2&lt;/number&gt;&lt;dates&gt;&lt;year&gt;1999&lt;/year&gt;&lt;/dates&gt;&lt;urls&gt;&lt;related-urls&gt;&lt;url&gt;http://www.ncbi.nlm.nih.gov/pubmed/10340798&lt;/url&gt;&lt;/related-urls&gt;&lt;/urls&gt;&lt;/record&gt;&lt;/Cite&gt;&lt;/EndNote&gt;</w:instrText>
      </w:r>
      <w:r w:rsidR="008E4A1B">
        <w:fldChar w:fldCharType="separate"/>
      </w:r>
      <w:r w:rsidR="005B3C51" w:rsidRPr="005B3C51">
        <w:rPr>
          <w:noProof/>
          <w:vertAlign w:val="superscript"/>
        </w:rPr>
        <w:t>132</w:t>
      </w:r>
      <w:r w:rsidR="008E4A1B">
        <w:fldChar w:fldCharType="end"/>
      </w:r>
      <w:r>
        <w:t xml:space="preserve"> </w:t>
      </w:r>
      <w:r w:rsidRPr="0043256C">
        <w:t xml:space="preserve">Therefore, </w:t>
      </w:r>
      <w:r>
        <w:t>preventing and addressing overweight and obesity in children and adolescents offers significant gains.</w:t>
      </w:r>
    </w:p>
    <w:p w:rsidR="00473299" w:rsidRDefault="00473299" w:rsidP="00473299"/>
    <w:p w:rsidR="00473299" w:rsidRDefault="00473299" w:rsidP="00473299">
      <w:r>
        <w:t xml:space="preserve">It should be noted that the focus of initiatives targeting children should be on </w:t>
      </w:r>
      <w:r>
        <w:rPr>
          <w:i/>
        </w:rPr>
        <w:t xml:space="preserve">healthy growth and development </w:t>
      </w:r>
      <w:r>
        <w:t>(including physical, psychological and cognitive development) rather than weight. This helps to manage the risks of under</w:t>
      </w:r>
      <w:r w:rsidR="008E4CB3">
        <w:t>-</w:t>
      </w:r>
      <w:r>
        <w:t>nutrition or an unhealthy obsession with weight loss in children of a healthy weight.</w:t>
      </w:r>
      <w:r w:rsidR="008E4A1B">
        <w:fldChar w:fldCharType="begin"/>
      </w:r>
      <w:r w:rsidR="005B3C51">
        <w:instrText xml:space="preserve"> ADDIN EN.CITE &lt;EndNote&gt;&lt;Cite&gt;&lt;Author&gt;Kleinert&lt;/Author&gt;&lt;Year&gt;2015&lt;/Year&gt;&lt;RecNum&gt;1056&lt;/RecNum&gt;&lt;DisplayText&gt;&lt;style face="superscript"&gt;133&lt;/style&gt;&lt;/DisplayText&gt;&lt;record&gt;&lt;rec-number&gt;1056&lt;/rec-number&gt;&lt;foreign-keys&gt;&lt;key app="EN" db-id="zxa00wf2opvf9oeeset50xz7ezpfwre2v20z"&gt;1056&lt;/key&gt;&lt;/foreign-keys&gt;&lt;ref-type name="Journal Article"&gt;17&lt;/ref-type&gt;&lt;contributors&gt;&lt;authors&gt;&lt;author&gt;Kleinert, S&lt;/author&gt;&lt;author&gt;Horton, R&lt;/author&gt;&lt;/authors&gt;&lt;/contributors&gt;&lt;titles&gt;&lt;title&gt;Rethinking and reframing obesity&lt;/title&gt;&lt;secondary-title&gt;The Lancet&lt;/secondary-title&gt;&lt;/titles&gt;&lt;periodical&gt;&lt;full-title&gt;The Lancet&lt;/full-title&gt;&lt;/periodical&gt;&lt;pages&gt;2326-2328&lt;/pages&gt;&lt;volume&gt;385&lt;/volume&gt;&lt;dates&gt;&lt;year&gt;2015&lt;/year&gt;&lt;/dates&gt;&lt;urls&gt;&lt;related-urls&gt;&lt;url&gt;http://www.thelancet.com/journals/lancet/article/PIIS0140-6736(15)60163-5/abstract&lt;/url&gt;&lt;/related-urls&gt;&lt;/urls&gt;&lt;/record&gt;&lt;/Cite&gt;&lt;/EndNote&gt;</w:instrText>
      </w:r>
      <w:r w:rsidR="008E4A1B">
        <w:fldChar w:fldCharType="separate"/>
      </w:r>
      <w:r w:rsidR="005B3C51" w:rsidRPr="005B3C51">
        <w:rPr>
          <w:noProof/>
          <w:vertAlign w:val="superscript"/>
        </w:rPr>
        <w:t>133</w:t>
      </w:r>
      <w:r w:rsidR="008E4A1B">
        <w:fldChar w:fldCharType="end"/>
      </w:r>
    </w:p>
    <w:p w:rsidR="00DF295F" w:rsidRDefault="00DF295F" w:rsidP="00DF295F"/>
    <w:p w:rsidR="00DF295F" w:rsidRPr="004B613A" w:rsidRDefault="00E5540D" w:rsidP="00DF295F">
      <w:pPr>
        <w:rPr>
          <w:rFonts w:eastAsia="Arial"/>
          <w:color w:val="808080" w:themeColor="background1" w:themeShade="80"/>
          <w:sz w:val="28"/>
          <w:szCs w:val="28"/>
        </w:rPr>
      </w:pPr>
      <w:r w:rsidRPr="004B613A">
        <w:rPr>
          <w:rFonts w:eastAsia="Arial"/>
          <w:color w:val="808080" w:themeColor="background1" w:themeShade="80"/>
          <w:sz w:val="28"/>
          <w:szCs w:val="28"/>
        </w:rPr>
        <w:t>M</w:t>
      </w:r>
      <w:r w:rsidR="00DF295F" w:rsidRPr="004B613A">
        <w:rPr>
          <w:rFonts w:eastAsia="Arial"/>
          <w:color w:val="808080" w:themeColor="background1" w:themeShade="80"/>
          <w:sz w:val="28"/>
          <w:szCs w:val="28"/>
        </w:rPr>
        <w:t xml:space="preserve">otivate behaviour to achieve and maintain a healthy weight </w:t>
      </w:r>
      <w:r w:rsidR="00F72CC9" w:rsidRPr="004B613A">
        <w:rPr>
          <w:rFonts w:eastAsia="Arial"/>
          <w:color w:val="808080" w:themeColor="background1" w:themeShade="80"/>
          <w:sz w:val="28"/>
          <w:szCs w:val="28"/>
        </w:rPr>
        <w:t>among adults</w:t>
      </w:r>
    </w:p>
    <w:p w:rsidR="00DF295F" w:rsidRDefault="00DF295F" w:rsidP="00DF295F"/>
    <w:p w:rsidR="00E5540D" w:rsidRDefault="00EF4447" w:rsidP="00E5540D">
      <w:r>
        <w:t xml:space="preserve">Common </w:t>
      </w:r>
      <w:r w:rsidR="00E5540D">
        <w:t>misperceptions about what is a healthy weight</w:t>
      </w:r>
      <w:r>
        <w:t xml:space="preserve"> need to be challenged</w:t>
      </w:r>
      <w:r w:rsidR="00E5540D">
        <w:t xml:space="preserve">. </w:t>
      </w:r>
      <w:r w:rsidR="00E5540D" w:rsidRPr="00293757">
        <w:t>Studies</w:t>
      </w:r>
      <w:r w:rsidR="00E5540D">
        <w:t xml:space="preserve"> </w:t>
      </w:r>
      <w:r w:rsidR="00E5540D" w:rsidRPr="00293757">
        <w:t xml:space="preserve">show that adults consistently </w:t>
      </w:r>
      <w:r w:rsidR="00E5540D">
        <w:t>underestimate</w:t>
      </w:r>
      <w:r w:rsidR="00E5540D" w:rsidRPr="00293757">
        <w:t xml:space="preserve"> their weight status and parents </w:t>
      </w:r>
      <w:r w:rsidR="00E5540D">
        <w:t>mistake</w:t>
      </w:r>
      <w:r w:rsidR="00E5540D" w:rsidRPr="00293757">
        <w:t xml:space="preserve"> the weight status of their children</w:t>
      </w:r>
      <w:r w:rsidR="00E5540D">
        <w:t>.</w:t>
      </w:r>
      <w:r w:rsidR="008E4A1B">
        <w:fldChar w:fldCharType="begin"/>
      </w:r>
      <w:r w:rsidR="005B3C51">
        <w:instrText xml:space="preserve"> ADDIN EN.CITE &lt;EndNote&gt;&lt;Cite&gt;&lt;Author&gt;Donath&lt;/Author&gt;&lt;Year&gt;2000&lt;/Year&gt;&lt;RecNum&gt;413&lt;/RecNum&gt;&lt;DisplayText&gt;&lt;style face="superscript"&gt;134, 135&lt;/style&gt;&lt;/DisplayText&gt;&lt;record&gt;&lt;rec-number&gt;413&lt;/rec-number&gt;&lt;foreign-keys&gt;&lt;key app="EN" db-id="zxa00wf2opvf9oeeset50xz7ezpfwre2v20z"&gt;413&lt;/key&gt;&lt;/foreign-keys&gt;&lt;ref-type name="Journal Article"&gt;17&lt;/ref-type&gt;&lt;contributors&gt;&lt;authors&gt;&lt;author&gt;Donath, SM&lt;/author&gt;&lt;/authors&gt;&lt;/contributors&gt;&lt;titles&gt;&lt;title&gt;Who&amp;apos;s overweight? Comparison of the medical definition and community views&lt;/title&gt;&lt;secondary-title&gt;Med J Aust&lt;/secondary-title&gt;&lt;/titles&gt;&lt;pages&gt;375-7&lt;/pages&gt;&lt;volume&gt;172&lt;/volume&gt;&lt;number&gt;8&lt;/number&gt;&lt;dates&gt;&lt;year&gt;2000&lt;/year&gt;&lt;/dates&gt;&lt;urls&gt;&lt;related-urls&gt;&lt;url&gt;http://www.ncbi.nlm.nih.gov/pubmed/10840489&lt;/url&gt;&lt;/related-urls&gt;&lt;/urls&gt;&lt;/record&gt;&lt;/Cite&gt;&lt;Cite&gt;&lt;Author&gt;Merema&lt;/Author&gt;&lt;Year&gt;2015&lt;/Year&gt;&lt;RecNum&gt;626&lt;/RecNum&gt;&lt;record&gt;&lt;rec-number&gt;626&lt;/rec-number&gt;&lt;foreign-keys&gt;&lt;key app="EN" db-id="zxa00wf2opvf9oeeset50xz7ezpfwre2v20z"&gt;626&lt;/key&gt;&lt;/foreign-keys&gt;&lt;ref-type name="Journal Article"&gt;17&lt;/ref-type&gt;&lt;contributors&gt;&lt;authors&gt;&lt;author&gt;Merema, Matt R.&lt;/author&gt;&lt;author&gt;Sullivan, Denise L.&lt;/author&gt;&lt;author&gt;Pollard, Christina M.&lt;/author&gt;&lt;author&gt;Abraham, Jillian A.&lt;/author&gt;&lt;author&gt;Tomlin, Stephania M.&lt;/author&gt;&lt;author&gt;Radomiljac, Ali L.&lt;/author&gt;&lt;/authors&gt;&lt;/contributors&gt;&lt;titles&gt;&lt;title&gt;Parents&amp;apos; perception of their child&amp;apos;s weight status and intention to intervene: a Western Australian cross-sectional population survey, 2009-12&lt;/title&gt;&lt;secondary-title&gt;Aust N Z J Publ Health&lt;/secondary-title&gt;&lt;/titles&gt;&lt;periodical&gt;&lt;full-title&gt;Aust N Z J Publ Health&lt;/full-title&gt;&lt;/periodical&gt;&lt;pages&gt;68-70&lt;/pages&gt;&lt;volume&gt;40&lt;/volume&gt;&lt;number&gt;1&lt;/number&gt;&lt;dates&gt;&lt;year&gt;2015&lt;/year&gt;&lt;pub-dates&gt;&lt;date&gt;2015/11/11&lt;/date&gt;&lt;/pub-dates&gt;&lt;/dates&gt;&lt;publisher&gt;Wiley-Blackwell&lt;/publisher&gt;&lt;isbn&gt;1326-0200&lt;/isbn&gt;&lt;urls&gt;&lt;related-urls&gt;&lt;url&gt;http://dx.doi.org/10.1111/1753-6405.12483&lt;/url&gt;&lt;/related-urls&gt;&lt;/urls&gt;&lt;electronic-resource-num&gt;10.1111/1753-6405.12483&lt;/electronic-resource-num&gt;&lt;/record&gt;&lt;/Cite&gt;&lt;/EndNote&gt;</w:instrText>
      </w:r>
      <w:r w:rsidR="008E4A1B">
        <w:fldChar w:fldCharType="separate"/>
      </w:r>
      <w:r w:rsidR="005B3C51" w:rsidRPr="005B3C51">
        <w:rPr>
          <w:noProof/>
          <w:vertAlign w:val="superscript"/>
        </w:rPr>
        <w:t>134, 135</w:t>
      </w:r>
      <w:r w:rsidR="008E4A1B">
        <w:fldChar w:fldCharType="end"/>
      </w:r>
      <w:r w:rsidR="00E5540D" w:rsidRPr="00293757">
        <w:t xml:space="preserve"> </w:t>
      </w:r>
      <w:r>
        <w:t>These</w:t>
      </w:r>
      <w:r w:rsidR="00E5540D" w:rsidRPr="00DB0732">
        <w:t xml:space="preserve"> </w:t>
      </w:r>
      <w:r w:rsidR="00E5540D">
        <w:t>misperception</w:t>
      </w:r>
      <w:r>
        <w:t>s</w:t>
      </w:r>
      <w:r w:rsidR="00E5540D" w:rsidRPr="00DB0732">
        <w:t xml:space="preserve"> </w:t>
      </w:r>
      <w:r>
        <w:t xml:space="preserve">are </w:t>
      </w:r>
      <w:r w:rsidR="00E5540D" w:rsidRPr="00DB0732">
        <w:t>likely to continue as rates of overweight and obesity increase</w:t>
      </w:r>
      <w:r w:rsidR="00E5540D">
        <w:t xml:space="preserve"> in the community, as much</w:t>
      </w:r>
      <w:r w:rsidR="00E5540D" w:rsidRPr="00DB0732">
        <w:t xml:space="preserve"> of </w:t>
      </w:r>
      <w:r w:rsidR="0029147E">
        <w:t>how people view themselves</w:t>
      </w:r>
      <w:r w:rsidR="00E5540D" w:rsidRPr="00DB0732">
        <w:t xml:space="preserve"> informed by social comparison</w:t>
      </w:r>
      <w:r w:rsidR="00E5540D">
        <w:t>.</w:t>
      </w:r>
      <w:r w:rsidR="008E4A1B">
        <w:fldChar w:fldCharType="begin"/>
      </w:r>
      <w:r w:rsidR="005B3C51">
        <w:instrText xml:space="preserve"> ADDIN EN.CITE &lt;EndNote&gt;&lt;Cite&gt;&lt;Author&gt;Buunk&lt;/Author&gt;&lt;Year&gt;2013&lt;/Year&gt;&lt;RecNum&gt;288&lt;/RecNum&gt;&lt;DisplayText&gt;&lt;style face="superscript"&gt;136&lt;/style&gt;&lt;/DisplayText&gt;&lt;record&gt;&lt;rec-number&gt;288&lt;/rec-number&gt;&lt;foreign-keys&gt;&lt;key app="EN" db-id="zxa00wf2opvf9oeeset50xz7ezpfwre2v20z"&gt;288&lt;/key&gt;&lt;/foreign-keys&gt;&lt;ref-type name="Book Section"&gt;5&lt;/ref-type&gt;&lt;contributors&gt;&lt;authors&gt;&lt;author&gt;Buunk, BP&lt;/author&gt;&lt;author&gt;Gibbons, FX&lt;/author&gt;&lt;author&gt;Reis-Bergan, M&lt;/author&gt;&lt;/authors&gt;&lt;secondary-authors&gt;&lt;author&gt;Gibbons, FX&lt;/author&gt;&lt;author&gt;Buunk, A&lt;/author&gt;&lt;/secondary-authors&gt;&lt;/contributors&gt;&lt;titles&gt;&lt;title&gt;Social comparison in health and illness: a historical overview&lt;/title&gt;&lt;secondary-title&gt;Health, coping and well-being: perspectives from Social Comparison Theory&lt;/secondary-title&gt;&lt;/titles&gt;&lt;dates&gt;&lt;year&gt;2013&lt;/year&gt;&lt;/dates&gt;&lt;pub-location&gt;New York&lt;/pub-location&gt;&lt;publisher&gt;Psychology Press&lt;/publisher&gt;&lt;urls&gt;&lt;/urls&gt;&lt;/record&gt;&lt;/Cite&gt;&lt;/EndNote&gt;</w:instrText>
      </w:r>
      <w:r w:rsidR="008E4A1B">
        <w:fldChar w:fldCharType="separate"/>
      </w:r>
      <w:r w:rsidR="005B3C51" w:rsidRPr="005B3C51">
        <w:rPr>
          <w:noProof/>
          <w:vertAlign w:val="superscript"/>
        </w:rPr>
        <w:t>136</w:t>
      </w:r>
      <w:r w:rsidR="008E4A1B">
        <w:fldChar w:fldCharType="end"/>
      </w:r>
      <w:r w:rsidR="00E5540D">
        <w:t xml:space="preserve"> </w:t>
      </w:r>
    </w:p>
    <w:p w:rsidR="00E5540D" w:rsidRDefault="00E5540D" w:rsidP="00E5540D"/>
    <w:p w:rsidR="00E5540D" w:rsidRDefault="00E5540D" w:rsidP="00E5540D">
      <w:r w:rsidRPr="00430B88">
        <w:rPr>
          <w:shd w:val="clear" w:color="auto" w:fill="FFFFFF"/>
        </w:rPr>
        <w:t>Being overweight or obese puts people at greater risk of a range of health problems including heart disease, stroke, type 2 diabetes and some cancers.</w:t>
      </w:r>
      <w:r w:rsidR="008E4A1B">
        <w:rPr>
          <w:shd w:val="clear" w:color="auto" w:fill="FFFFFF"/>
        </w:rPr>
        <w:fldChar w:fldCharType="begin"/>
      </w:r>
      <w:r w:rsidR="005B3C51">
        <w:rPr>
          <w:shd w:val="clear" w:color="auto" w:fill="FFFFFF"/>
        </w:rPr>
        <w:instrText xml:space="preserve"> ADDIN EN.CITE &lt;EndNote&gt;&lt;Cite&gt;&lt;Author&gt;Guh&lt;/Author&gt;&lt;Year&gt;2009&lt;/Year&gt;&lt;RecNum&gt;1050&lt;/RecNum&gt;&lt;DisplayText&gt;&lt;style face="superscript"&gt;137&lt;/style&gt;&lt;/DisplayText&gt;&lt;record&gt;&lt;rec-number&gt;1050&lt;/rec-number&gt;&lt;foreign-keys&gt;&lt;key app="EN" db-id="zxa00wf2opvf9oeeset50xz7ezpfwre2v20z"&gt;1050&lt;/key&gt;&lt;/foreign-keys&gt;&lt;ref-type name="Journal Article"&gt;17&lt;/ref-type&gt;&lt;contributors&gt;&lt;authors&gt;&lt;author&gt;Guh, DP&lt;/author&gt;&lt;author&gt;Zhang, W&lt;/author&gt;&lt;author&gt;Bansback, N&lt;/author&gt;&lt;author&gt;et al,&lt;/author&gt;&lt;/authors&gt;&lt;/contributors&gt;&lt;titles&gt;&lt;title&gt;The incidence of co-morbidities related to obesity and overweight: a systematic review and meta-analysis&lt;/title&gt;&lt;secondary-title&gt;BMC Public Health&lt;/secondary-title&gt;&lt;/titles&gt;&lt;periodical&gt;&lt;full-title&gt;BMC Public Health&lt;/full-title&gt;&lt;/periodical&gt;&lt;pages&gt;Article no. 88&lt;/pages&gt;&lt;volume&gt;9&lt;/volume&gt;&lt;dates&gt;&lt;year&gt;2009&lt;/year&gt;&lt;/dates&gt;&lt;urls&gt;&lt;related-urls&gt;&lt;url&gt;http://bmcpublichealth.biomedcentral.com/articles/10.1186/1471-2458-9-88&lt;/url&gt;&lt;/related-urls&gt;&lt;/urls&gt;&lt;/record&gt;&lt;/Cite&gt;&lt;/EndNote&gt;</w:instrText>
      </w:r>
      <w:r w:rsidR="008E4A1B">
        <w:rPr>
          <w:shd w:val="clear" w:color="auto" w:fill="FFFFFF"/>
        </w:rPr>
        <w:fldChar w:fldCharType="separate"/>
      </w:r>
      <w:r w:rsidR="005B3C51" w:rsidRPr="005B3C51">
        <w:rPr>
          <w:noProof/>
          <w:shd w:val="clear" w:color="auto" w:fill="FFFFFF"/>
          <w:vertAlign w:val="superscript"/>
        </w:rPr>
        <w:t>137</w:t>
      </w:r>
      <w:r w:rsidR="008E4A1B">
        <w:rPr>
          <w:shd w:val="clear" w:color="auto" w:fill="FFFFFF"/>
        </w:rPr>
        <w:fldChar w:fldCharType="end"/>
      </w:r>
      <w:r>
        <w:rPr>
          <w:i/>
          <w:shd w:val="clear" w:color="auto" w:fill="FFFFFF"/>
        </w:rPr>
        <w:t xml:space="preserve"> </w:t>
      </w:r>
      <w:r w:rsidRPr="002E7F8C">
        <w:t xml:space="preserve">The </w:t>
      </w:r>
      <w:r>
        <w:t xml:space="preserve">associated health </w:t>
      </w:r>
      <w:r w:rsidRPr="002E7F8C">
        <w:t>risk</w:t>
      </w:r>
      <w:r>
        <w:t>s appear</w:t>
      </w:r>
      <w:r w:rsidRPr="00753F8A">
        <w:t xml:space="preserve"> to increase with increasing BMI.</w:t>
      </w:r>
      <w:r w:rsidR="008E4A1B">
        <w:fldChar w:fldCharType="begin"/>
      </w:r>
      <w:r w:rsidR="005B3C51">
        <w:instrText xml:space="preserve"> ADDIN EN.CITE &lt;EndNote&gt;&lt;Cite&gt;&lt;Author&gt;National Health and Medical Research Council&lt;/Author&gt;&lt;Year&gt;2013&lt;/Year&gt;&lt;RecNum&gt;668&lt;/RecNum&gt;&lt;DisplayText&gt;&lt;style face="superscript"&gt;138&lt;/style&gt;&lt;/DisplayText&gt;&lt;record&gt;&lt;rec-number&gt;668&lt;/rec-number&gt;&lt;foreign-keys&gt;&lt;key app="EN" db-id="zxa00wf2opvf9oeeset50xz7ezpfwre2v20z"&gt;668&lt;/key&gt;&lt;/foreign-keys&gt;&lt;ref-type name="Report"&gt;27&lt;/ref-type&gt;&lt;contributors&gt;&lt;authors&gt;&lt;author&gt;National Health and Medical Research Council,&lt;/author&gt;&lt;/authors&gt;&lt;/contributors&gt;&lt;titles&gt;&lt;title&gt;Clinical practice guidelines for the management of overweight and obesity in adults, adolescents and children in Australia&lt;/title&gt;&lt;/titles&gt;&lt;dates&gt;&lt;year&gt;2013&lt;/year&gt;&lt;/dates&gt;&lt;pub-location&gt;Melbourne&lt;/pub-location&gt;&lt;publisher&gt;National Health and Medical Research Council&lt;/publisher&gt;&lt;urls&gt;&lt;related-urls&gt;&lt;url&gt;http://www.nhmrc.gov.au/guidelines-publications/n57&lt;/url&gt;&lt;/related-urls&gt;&lt;/urls&gt;&lt;/record&gt;&lt;/Cite&gt;&lt;/EndNote&gt;</w:instrText>
      </w:r>
      <w:r w:rsidR="008E4A1B">
        <w:fldChar w:fldCharType="separate"/>
      </w:r>
      <w:r w:rsidR="005B3C51" w:rsidRPr="005B3C51">
        <w:rPr>
          <w:noProof/>
          <w:vertAlign w:val="superscript"/>
        </w:rPr>
        <w:t>138</w:t>
      </w:r>
      <w:r w:rsidR="008E4A1B">
        <w:fldChar w:fldCharType="end"/>
      </w:r>
      <w:r>
        <w:t xml:space="preserve"> There has been a general increase in adult weight and BMI since 2002 in WA.</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r>
        <w:t xml:space="preserve"> Given this, it is important to address gradual weight gain through adult life by encouraging behaviour that supports maintenance of a healthy weight and early reversal of small weight gains. </w:t>
      </w:r>
      <w:r w:rsidRPr="00D61DCA">
        <w:t xml:space="preserve">With a large proportion of the adult population overweight or obese, the benefits of </w:t>
      </w:r>
      <w:r>
        <w:t xml:space="preserve">even </w:t>
      </w:r>
      <w:r w:rsidRPr="00D61DCA">
        <w:t xml:space="preserve">small, sustained weight loss must also be emphasised. </w:t>
      </w:r>
      <w:r>
        <w:t>A</w:t>
      </w:r>
      <w:r w:rsidRPr="00D61DCA">
        <w:t xml:space="preserve"> modest loss of 5</w:t>
      </w:r>
      <w:r>
        <w:t>–</w:t>
      </w:r>
      <w:r w:rsidRPr="00D61DCA">
        <w:t>10% of body weight can lead to significant health benefits.</w:t>
      </w:r>
      <w:r w:rsidR="008E4A1B">
        <w:fldChar w:fldCharType="begin"/>
      </w:r>
      <w:r w:rsidR="005B3C51">
        <w:instrText xml:space="preserve"> ADDIN EN.CITE &lt;EndNote&gt;&lt;Cite&gt;&lt;Author&gt;National Health and Medical Research Council&lt;/Author&gt;&lt;Year&gt;2013&lt;/Year&gt;&lt;RecNum&gt;668&lt;/RecNum&gt;&lt;DisplayText&gt;&lt;style face="superscript"&gt;138&lt;/style&gt;&lt;/DisplayText&gt;&lt;record&gt;&lt;rec-number&gt;668&lt;/rec-number&gt;&lt;foreign-keys&gt;&lt;key app="EN" db-id="zxa00wf2opvf9oeeset50xz7ezpfwre2v20z"&gt;668&lt;/key&gt;&lt;/foreign-keys&gt;&lt;ref-type name="Report"&gt;27&lt;/ref-type&gt;&lt;contributors&gt;&lt;authors&gt;&lt;author&gt;National Health and Medical Research Council,&lt;/author&gt;&lt;/authors&gt;&lt;/contributors&gt;&lt;titles&gt;&lt;title&gt;Clinical practice guidelines for the management of overweight and obesity in adults, adolescents and children in Australia&lt;/title&gt;&lt;/titles&gt;&lt;dates&gt;&lt;year&gt;2013&lt;/year&gt;&lt;/dates&gt;&lt;pub-location&gt;Melbourne&lt;/pub-location&gt;&lt;publisher&gt;National Health and Medical Research Council&lt;/publisher&gt;&lt;urls&gt;&lt;related-urls&gt;&lt;url&gt;http://www.nhmrc.gov.au/guidelines-publications/n57&lt;/url&gt;&lt;/related-urls&gt;&lt;/urls&gt;&lt;/record&gt;&lt;/Cite&gt;&lt;/EndNote&gt;</w:instrText>
      </w:r>
      <w:r w:rsidR="008E4A1B">
        <w:fldChar w:fldCharType="separate"/>
      </w:r>
      <w:r w:rsidR="005B3C51" w:rsidRPr="005B3C51">
        <w:rPr>
          <w:noProof/>
          <w:vertAlign w:val="superscript"/>
        </w:rPr>
        <w:t>138</w:t>
      </w:r>
      <w:r w:rsidR="008E4A1B">
        <w:fldChar w:fldCharType="end"/>
      </w:r>
    </w:p>
    <w:p w:rsidR="001673A9" w:rsidRPr="002E7F8C" w:rsidRDefault="001673A9" w:rsidP="00DF295F">
      <w:pPr>
        <w:pStyle w:val="NormalWeb"/>
        <w:shd w:val="clear" w:color="auto" w:fill="FFFFFF"/>
        <w:spacing w:before="0" w:beforeAutospacing="0" w:after="0" w:afterAutospacing="0"/>
      </w:pPr>
    </w:p>
    <w:p w:rsidR="00DF295F" w:rsidRDefault="00DF295F" w:rsidP="00DF295F"/>
    <w:p w:rsidR="00F515F4" w:rsidRDefault="00F515F4">
      <w:pPr>
        <w:widowControl/>
        <w:spacing w:after="200" w:line="276" w:lineRule="auto"/>
        <w:rPr>
          <w:rFonts w:eastAsiaTheme="majorEastAsia" w:cstheme="majorBidi"/>
          <w:b/>
          <w:color w:val="31849B" w:themeColor="accent5" w:themeShade="BF"/>
          <w:sz w:val="32"/>
          <w:szCs w:val="32"/>
        </w:rPr>
      </w:pPr>
      <w:bookmarkStart w:id="40" w:name="_Toc454180226"/>
      <w:r>
        <w:br w:type="page"/>
      </w:r>
    </w:p>
    <w:p w:rsidR="00DF295F" w:rsidRDefault="00DF295F" w:rsidP="00DF295F">
      <w:pPr>
        <w:pStyle w:val="Heading2"/>
      </w:pPr>
      <w:bookmarkStart w:id="41" w:name="_Toc462049329"/>
      <w:r w:rsidRPr="004842E5">
        <w:lastRenderedPageBreak/>
        <w:t xml:space="preserve">Strategic </w:t>
      </w:r>
      <w:r>
        <w:t xml:space="preserve">directions for </w:t>
      </w:r>
      <w:r w:rsidR="00A944C1">
        <w:t>curbing the rise in</w:t>
      </w:r>
      <w:r>
        <w:t xml:space="preserve"> overweight and obesity in </w:t>
      </w:r>
      <w:bookmarkEnd w:id="40"/>
      <w:r w:rsidR="000C39AE">
        <w:t>WA</w:t>
      </w:r>
      <w:bookmarkEnd w:id="41"/>
    </w:p>
    <w:p w:rsidR="00666838" w:rsidRDefault="00666838" w:rsidP="00666838">
      <w:pPr>
        <w:rPr>
          <w:shd w:val="clear" w:color="auto" w:fill="DAEEF3" w:themeFill="accent5" w:themeFillTint="33"/>
        </w:rPr>
      </w:pPr>
    </w:p>
    <w:p w:rsidR="0089430A" w:rsidRPr="004B613A" w:rsidRDefault="00023048" w:rsidP="00296B5E">
      <w:pPr>
        <w:widowControl/>
        <w:shd w:val="clear" w:color="auto" w:fill="F2F2F2" w:themeFill="background1" w:themeFillShade="F2"/>
        <w:spacing w:after="200" w:line="276" w:lineRule="auto"/>
        <w:rPr>
          <w:color w:val="808080" w:themeColor="background1" w:themeShade="80"/>
        </w:rPr>
      </w:pPr>
      <w:r w:rsidRPr="004B613A">
        <w:rPr>
          <w:color w:val="808080" w:themeColor="background1" w:themeShade="80"/>
        </w:rPr>
        <w:t xml:space="preserve">The strategic directions presented in this section overlap with and complement those outlined in the earlier sections on </w:t>
      </w:r>
      <w:r w:rsidR="00C4748A">
        <w:rPr>
          <w:b/>
          <w:color w:val="808080" w:themeColor="background1" w:themeShade="80"/>
        </w:rPr>
        <w:t>Healthy eating</w:t>
      </w:r>
      <w:r w:rsidRPr="004B613A">
        <w:rPr>
          <w:color w:val="808080" w:themeColor="background1" w:themeShade="80"/>
        </w:rPr>
        <w:t xml:space="preserve"> and </w:t>
      </w:r>
      <w:r w:rsidRPr="004B613A">
        <w:rPr>
          <w:b/>
          <w:color w:val="808080" w:themeColor="background1" w:themeShade="80"/>
        </w:rPr>
        <w:t>A more active WA</w:t>
      </w:r>
      <w:r w:rsidRPr="004B613A">
        <w:rPr>
          <w:color w:val="808080" w:themeColor="background1" w:themeShade="80"/>
        </w:rPr>
        <w:t>. Approaches for preventing overweight and obesity must also recognise that increasing physical activity and healthier eating can improve health outcomes, independent of weight loss.</w:t>
      </w:r>
    </w:p>
    <w:tbl>
      <w:tblPr>
        <w:tblStyle w:val="TableGrid"/>
        <w:tblW w:w="0" w:type="auto"/>
        <w:tblLook w:val="04A0" w:firstRow="1" w:lastRow="0" w:firstColumn="1" w:lastColumn="0" w:noHBand="0" w:noVBand="1"/>
      </w:tblPr>
      <w:tblGrid>
        <w:gridCol w:w="9242"/>
      </w:tblGrid>
      <w:tr w:rsidR="0089430A" w:rsidTr="004B613A">
        <w:tc>
          <w:tcPr>
            <w:tcW w:w="9242" w:type="dxa"/>
            <w:shd w:val="clear" w:color="auto" w:fill="808080" w:themeFill="background1" w:themeFillShade="80"/>
          </w:tcPr>
          <w:p w:rsidR="001738D8" w:rsidRPr="00E04212" w:rsidRDefault="001738D8" w:rsidP="001738D8">
            <w:pPr>
              <w:rPr>
                <w:b/>
                <w:color w:val="FFFFFF" w:themeColor="background1"/>
              </w:rPr>
            </w:pPr>
            <w:r w:rsidRPr="00307557">
              <w:rPr>
                <w:b/>
                <w:color w:val="FFFFFF" w:themeColor="background1"/>
              </w:rPr>
              <w:t>Healthy policies</w:t>
            </w:r>
          </w:p>
          <w:p w:rsidR="0089430A" w:rsidRDefault="0089430A" w:rsidP="001738D8">
            <w:pPr>
              <w:pStyle w:val="ListParagraph"/>
            </w:pPr>
          </w:p>
        </w:tc>
      </w:tr>
      <w:tr w:rsidR="0089430A" w:rsidTr="0089430A">
        <w:tc>
          <w:tcPr>
            <w:tcW w:w="9242" w:type="dxa"/>
          </w:tcPr>
          <w:p w:rsidR="001738D8" w:rsidRPr="00131AAC" w:rsidRDefault="001738D8" w:rsidP="007065F3">
            <w:pPr>
              <w:pStyle w:val="ListParagraph"/>
              <w:numPr>
                <w:ilvl w:val="0"/>
                <w:numId w:val="14"/>
              </w:numPr>
              <w:ind w:left="426"/>
            </w:pPr>
            <w:r>
              <w:t>S</w:t>
            </w:r>
            <w:r w:rsidRPr="00131AAC">
              <w:t xml:space="preserve">upport </w:t>
            </w:r>
            <w:r>
              <w:t xml:space="preserve">the development and implementation of </w:t>
            </w:r>
            <w:r w:rsidR="005B4260">
              <w:t>p</w:t>
            </w:r>
            <w:r w:rsidRPr="00131AAC">
              <w:t xml:space="preserve">olicies </w:t>
            </w:r>
            <w:r>
              <w:t>that have a positive impact on obesity and its determinants</w:t>
            </w:r>
            <w:r w:rsidRPr="008C0709">
              <w:t xml:space="preserve"> </w:t>
            </w:r>
          </w:p>
          <w:p w:rsidR="0089430A" w:rsidRDefault="00CC3C4A" w:rsidP="007065F3">
            <w:pPr>
              <w:pStyle w:val="ListParagraph"/>
              <w:numPr>
                <w:ilvl w:val="0"/>
                <w:numId w:val="14"/>
              </w:numPr>
              <w:ind w:left="426"/>
            </w:pPr>
            <w:r>
              <w:t>S</w:t>
            </w:r>
            <w:r w:rsidR="001738D8" w:rsidRPr="00131AAC">
              <w:t>upport the development and implementation of organisational policies</w:t>
            </w:r>
            <w:r w:rsidR="001738D8" w:rsidRPr="0058387D">
              <w:t xml:space="preserve"> </w:t>
            </w:r>
            <w:r w:rsidR="001738D8">
              <w:t>that</w:t>
            </w:r>
            <w:r w:rsidR="001738D8" w:rsidRPr="00131AAC">
              <w:t xml:space="preserve"> facilitate increased physical activity and healthy eating an</w:t>
            </w:r>
            <w:r w:rsidR="001738D8">
              <w:t>d reduced sedentary behaviour</w:t>
            </w:r>
            <w:r w:rsidR="001738D8" w:rsidRPr="00131AAC">
              <w:t xml:space="preserve"> </w:t>
            </w:r>
          </w:p>
        </w:tc>
      </w:tr>
      <w:tr w:rsidR="0089430A" w:rsidTr="004B613A">
        <w:tc>
          <w:tcPr>
            <w:tcW w:w="9242" w:type="dxa"/>
            <w:shd w:val="clear" w:color="auto" w:fill="808080" w:themeFill="background1" w:themeFillShade="80"/>
          </w:tcPr>
          <w:p w:rsidR="001738D8" w:rsidRPr="00307557" w:rsidRDefault="001738D8" w:rsidP="001738D8">
            <w:pPr>
              <w:rPr>
                <w:b/>
                <w:color w:val="FFFFFF" w:themeColor="background1"/>
              </w:rPr>
            </w:pPr>
            <w:r w:rsidRPr="00307557">
              <w:rPr>
                <w:b/>
                <w:color w:val="FFFFFF" w:themeColor="background1"/>
              </w:rPr>
              <w:t>Legislation and regulation</w:t>
            </w:r>
          </w:p>
          <w:p w:rsidR="0089430A" w:rsidRDefault="0089430A" w:rsidP="001738D8">
            <w:pPr>
              <w:pStyle w:val="ListParagraph"/>
            </w:pPr>
          </w:p>
        </w:tc>
      </w:tr>
      <w:tr w:rsidR="0089430A" w:rsidTr="0089430A">
        <w:tc>
          <w:tcPr>
            <w:tcW w:w="9242" w:type="dxa"/>
          </w:tcPr>
          <w:p w:rsidR="001738D8" w:rsidRDefault="001738D8" w:rsidP="007065F3">
            <w:pPr>
              <w:pStyle w:val="ListParagraph"/>
              <w:numPr>
                <w:ilvl w:val="0"/>
                <w:numId w:val="14"/>
              </w:numPr>
              <w:ind w:left="426"/>
            </w:pPr>
            <w:r>
              <w:t>Support</w:t>
            </w:r>
            <w:r w:rsidRPr="00131AAC">
              <w:t xml:space="preserve"> stronger controls</w:t>
            </w:r>
            <w:r w:rsidR="0004299B">
              <w:t xml:space="preserve"> across all levels of Government</w:t>
            </w:r>
            <w:r w:rsidRPr="00131AAC">
              <w:t xml:space="preserve"> to reduce </w:t>
            </w:r>
            <w:r>
              <w:t>e</w:t>
            </w:r>
            <w:r w:rsidRPr="00131AAC">
              <w:t>xposure to the marketing and promoti</w:t>
            </w:r>
            <w:r>
              <w:t>on of ultra-processed discretionary food and drink</w:t>
            </w:r>
            <w:r w:rsidR="005B4260">
              <w:t>s, particularly for children</w:t>
            </w:r>
          </w:p>
          <w:p w:rsidR="0089430A" w:rsidRDefault="00EA2835" w:rsidP="007065F3">
            <w:pPr>
              <w:pStyle w:val="ListParagraph"/>
              <w:numPr>
                <w:ilvl w:val="0"/>
                <w:numId w:val="14"/>
              </w:numPr>
              <w:ind w:left="426"/>
            </w:pPr>
            <w:r>
              <w:t>Support food regulation to improve the nutrition content of food products through reformulation and portion control and assist consumers to make informed food choices (nutrition labelling and</w:t>
            </w:r>
            <w:r w:rsidR="00762DA3">
              <w:t xml:space="preserve"> information at point of sale)</w:t>
            </w:r>
          </w:p>
        </w:tc>
      </w:tr>
      <w:tr w:rsidR="0089430A" w:rsidTr="004B613A">
        <w:tc>
          <w:tcPr>
            <w:tcW w:w="9242" w:type="dxa"/>
            <w:shd w:val="clear" w:color="auto" w:fill="808080" w:themeFill="background1" w:themeFillShade="80"/>
          </w:tcPr>
          <w:p w:rsidR="00690E51" w:rsidRPr="00307557" w:rsidRDefault="00690E51" w:rsidP="00690E51">
            <w:pPr>
              <w:rPr>
                <w:b/>
                <w:color w:val="FFFFFF" w:themeColor="background1"/>
              </w:rPr>
            </w:pPr>
            <w:r w:rsidRPr="00307557">
              <w:rPr>
                <w:b/>
                <w:color w:val="FFFFFF" w:themeColor="background1"/>
              </w:rPr>
              <w:t>Economic interventions</w:t>
            </w:r>
          </w:p>
          <w:p w:rsidR="0089430A" w:rsidRDefault="0089430A" w:rsidP="001738D8">
            <w:pPr>
              <w:pStyle w:val="ListParagraph"/>
            </w:pPr>
          </w:p>
        </w:tc>
      </w:tr>
      <w:tr w:rsidR="0089430A" w:rsidTr="0089430A">
        <w:tc>
          <w:tcPr>
            <w:tcW w:w="9242" w:type="dxa"/>
          </w:tcPr>
          <w:p w:rsidR="0089430A" w:rsidRDefault="004355BE" w:rsidP="007065F3">
            <w:pPr>
              <w:pStyle w:val="ListParagraph"/>
              <w:numPr>
                <w:ilvl w:val="0"/>
                <w:numId w:val="14"/>
              </w:numPr>
              <w:ind w:left="426"/>
            </w:pPr>
            <w:r>
              <w:t>Investigate and consider</w:t>
            </w:r>
            <w:r w:rsidR="00EA2835" w:rsidRPr="00EA2835">
              <w:t xml:space="preserve"> fiscal policies with the potential to reduc</w:t>
            </w:r>
            <w:r w:rsidR="0072514F">
              <w:t xml:space="preserve">e </w:t>
            </w:r>
            <w:r w:rsidR="00EA2835" w:rsidRPr="00EA2835">
              <w:t>consumption of unhealthy food and drinks and increas</w:t>
            </w:r>
            <w:r w:rsidR="0072514F">
              <w:t>e</w:t>
            </w:r>
            <w:r w:rsidR="00EA2835" w:rsidRPr="00EA2835">
              <w:t xml:space="preserve"> consumption of healthy foods</w:t>
            </w:r>
          </w:p>
        </w:tc>
      </w:tr>
      <w:tr w:rsidR="0089430A" w:rsidTr="004B613A">
        <w:tc>
          <w:tcPr>
            <w:tcW w:w="9242" w:type="dxa"/>
            <w:shd w:val="clear" w:color="auto" w:fill="808080" w:themeFill="background1" w:themeFillShade="80"/>
          </w:tcPr>
          <w:p w:rsidR="00690E51" w:rsidRPr="00307557" w:rsidRDefault="00690E51" w:rsidP="00690E51">
            <w:pPr>
              <w:rPr>
                <w:b/>
                <w:color w:val="FFFFFF" w:themeColor="background1"/>
              </w:rPr>
            </w:pPr>
            <w:r w:rsidRPr="00307557">
              <w:rPr>
                <w:b/>
                <w:color w:val="FFFFFF" w:themeColor="background1"/>
              </w:rPr>
              <w:t>Supportive environments</w:t>
            </w:r>
          </w:p>
          <w:p w:rsidR="0089430A" w:rsidRDefault="0089430A" w:rsidP="00690E51">
            <w:pPr>
              <w:pStyle w:val="ListParagraph"/>
            </w:pPr>
          </w:p>
        </w:tc>
      </w:tr>
      <w:tr w:rsidR="0089430A" w:rsidTr="0089430A">
        <w:tc>
          <w:tcPr>
            <w:tcW w:w="9242" w:type="dxa"/>
          </w:tcPr>
          <w:p w:rsidR="00690E51" w:rsidRPr="00C375BC" w:rsidRDefault="00690E51" w:rsidP="007065F3">
            <w:pPr>
              <w:pStyle w:val="ListParagraph"/>
              <w:numPr>
                <w:ilvl w:val="0"/>
                <w:numId w:val="14"/>
              </w:numPr>
              <w:ind w:left="426"/>
            </w:pPr>
            <w:r>
              <w:t xml:space="preserve">Work across government and key sectors to encourage and support </w:t>
            </w:r>
            <w:r w:rsidRPr="00C375BC">
              <w:t xml:space="preserve">environmental changes that </w:t>
            </w:r>
            <w:r>
              <w:t xml:space="preserve">facilitate </w:t>
            </w:r>
            <w:r w:rsidRPr="00C375BC">
              <w:t>increase</w:t>
            </w:r>
            <w:r>
              <w:t>d</w:t>
            </w:r>
            <w:r w:rsidRPr="00C375BC">
              <w:t xml:space="preserve"> physical activity and access to healthy foods</w:t>
            </w:r>
          </w:p>
          <w:p w:rsidR="00690E51" w:rsidRPr="00C21B33" w:rsidRDefault="00690E51" w:rsidP="007065F3">
            <w:pPr>
              <w:pStyle w:val="ListParagraph"/>
              <w:numPr>
                <w:ilvl w:val="0"/>
                <w:numId w:val="14"/>
              </w:numPr>
              <w:ind w:left="426"/>
            </w:pPr>
            <w:r w:rsidRPr="00C21B33">
              <w:t>Support and implement initiatives that engage with key sectors within the food industry to increase the production, marketing and availabilit</w:t>
            </w:r>
            <w:r w:rsidR="005B4260">
              <w:t>y of healthier food and drinks</w:t>
            </w:r>
          </w:p>
          <w:p w:rsidR="00690E51" w:rsidRDefault="00690E51" w:rsidP="007065F3">
            <w:pPr>
              <w:pStyle w:val="ListParagraph"/>
              <w:numPr>
                <w:ilvl w:val="0"/>
                <w:numId w:val="14"/>
              </w:numPr>
              <w:ind w:left="426"/>
            </w:pPr>
            <w:r>
              <w:t xml:space="preserve">Facilitate the creation of health-promoting environments that support </w:t>
            </w:r>
            <w:r w:rsidRPr="00C375BC">
              <w:t>physical activity, healthy eating and reduce</w:t>
            </w:r>
            <w:r>
              <w:t>d</w:t>
            </w:r>
            <w:r w:rsidRPr="00C375BC">
              <w:t xml:space="preserve"> sedentary behavior </w:t>
            </w:r>
            <w:r>
              <w:t>with</w:t>
            </w:r>
            <w:r w:rsidRPr="00C375BC">
              <w:t>in key settings such as workplaces, schools and child</w:t>
            </w:r>
            <w:r>
              <w:t xml:space="preserve"> </w:t>
            </w:r>
            <w:r w:rsidR="005B4260">
              <w:t>care</w:t>
            </w:r>
          </w:p>
          <w:p w:rsidR="001738D8" w:rsidRPr="001738D8" w:rsidRDefault="00690E51" w:rsidP="007065F3">
            <w:pPr>
              <w:pStyle w:val="ListParagraph"/>
              <w:numPr>
                <w:ilvl w:val="0"/>
                <w:numId w:val="14"/>
              </w:numPr>
              <w:ind w:left="426"/>
              <w:rPr>
                <w:rFonts w:asciiTheme="majorHAnsi" w:hAnsiTheme="majorHAnsi"/>
                <w:b/>
                <w:sz w:val="26"/>
                <w:szCs w:val="26"/>
              </w:rPr>
            </w:pPr>
            <w:r>
              <w:t>Support and implement initiatives that limit exposure to the marketing and promotion of ultra-processed discretionary food and drinks, both in children’s sett</w:t>
            </w:r>
            <w:r w:rsidR="00D76ED3">
              <w:t>ings and the broader community</w:t>
            </w:r>
          </w:p>
        </w:tc>
      </w:tr>
      <w:tr w:rsidR="0089430A" w:rsidTr="004B613A">
        <w:tc>
          <w:tcPr>
            <w:tcW w:w="9242" w:type="dxa"/>
            <w:shd w:val="clear" w:color="auto" w:fill="808080" w:themeFill="background1" w:themeFillShade="80"/>
          </w:tcPr>
          <w:p w:rsidR="00690E51" w:rsidRPr="00307557" w:rsidRDefault="00690E51" w:rsidP="00690E51">
            <w:pPr>
              <w:rPr>
                <w:b/>
                <w:color w:val="FFFFFF" w:themeColor="background1"/>
              </w:rPr>
            </w:pPr>
            <w:r w:rsidRPr="00307557">
              <w:rPr>
                <w:b/>
                <w:color w:val="FFFFFF" w:themeColor="background1"/>
              </w:rPr>
              <w:t>Public awareness and engagement</w:t>
            </w:r>
          </w:p>
          <w:p w:rsidR="0089430A" w:rsidRDefault="0089430A" w:rsidP="00690E51">
            <w:pPr>
              <w:pStyle w:val="ListParagraph"/>
            </w:pPr>
          </w:p>
        </w:tc>
      </w:tr>
      <w:tr w:rsidR="0089430A" w:rsidTr="0089430A">
        <w:tc>
          <w:tcPr>
            <w:tcW w:w="9242" w:type="dxa"/>
          </w:tcPr>
          <w:p w:rsidR="00690E51" w:rsidRDefault="00690E51" w:rsidP="007065F3">
            <w:pPr>
              <w:pStyle w:val="ListParagraph"/>
              <w:numPr>
                <w:ilvl w:val="0"/>
                <w:numId w:val="14"/>
              </w:numPr>
              <w:ind w:left="426"/>
            </w:pPr>
            <w:r w:rsidRPr="00C375BC">
              <w:t xml:space="preserve">Invest in sustained, high quality statewide public education campaigns that </w:t>
            </w:r>
            <w:r>
              <w:t>increase community understanding about the risks of overweight and obesity and motivate behaviour necessary to support</w:t>
            </w:r>
            <w:r w:rsidRPr="00C375BC">
              <w:t xml:space="preserve"> </w:t>
            </w:r>
            <w:r>
              <w:t>achievement and m</w:t>
            </w:r>
            <w:r w:rsidR="00D76ED3">
              <w:t xml:space="preserve">aintenance of a </w:t>
            </w:r>
            <w:r w:rsidR="00D76ED3">
              <w:lastRenderedPageBreak/>
              <w:t>healthy weight</w:t>
            </w:r>
          </w:p>
          <w:p w:rsidR="00690E51" w:rsidRDefault="00690E51" w:rsidP="007065F3">
            <w:pPr>
              <w:pStyle w:val="ListParagraph"/>
              <w:numPr>
                <w:ilvl w:val="0"/>
                <w:numId w:val="14"/>
              </w:numPr>
              <w:ind w:left="426"/>
            </w:pPr>
            <w:r w:rsidRPr="00C375BC">
              <w:t xml:space="preserve">Increase access to </w:t>
            </w:r>
            <w:r>
              <w:t>evidence</w:t>
            </w:r>
            <w:r w:rsidR="00917431">
              <w:t>-</w:t>
            </w:r>
            <w:r>
              <w:t xml:space="preserve">based </w:t>
            </w:r>
            <w:r w:rsidRPr="00C375BC">
              <w:t xml:space="preserve">advice </w:t>
            </w:r>
            <w:r>
              <w:t xml:space="preserve">across multiple settings </w:t>
            </w:r>
            <w:r w:rsidRPr="00C375BC">
              <w:t>about what is a healthy weight and how to prevent unhealthy wei</w:t>
            </w:r>
            <w:r w:rsidR="00D76ED3">
              <w:t>ght gain across key life stages</w:t>
            </w:r>
            <w:r w:rsidRPr="00C375BC">
              <w:t xml:space="preserve"> </w:t>
            </w:r>
          </w:p>
          <w:p w:rsidR="002B2C3C" w:rsidRDefault="00690E51" w:rsidP="007065F3">
            <w:pPr>
              <w:pStyle w:val="ListParagraph"/>
              <w:numPr>
                <w:ilvl w:val="0"/>
                <w:numId w:val="14"/>
              </w:numPr>
              <w:ind w:left="426"/>
            </w:pPr>
            <w:r w:rsidRPr="00C375BC">
              <w:t xml:space="preserve">Implement strategies that stimulate debate and increase community demand and support for </w:t>
            </w:r>
            <w:r w:rsidR="00423249">
              <w:t xml:space="preserve">measures </w:t>
            </w:r>
            <w:r w:rsidR="00D76ED3">
              <w:t>aimed at obesity prevention</w:t>
            </w:r>
            <w:r w:rsidRPr="00C375BC">
              <w:t xml:space="preserve"> </w:t>
            </w:r>
          </w:p>
        </w:tc>
      </w:tr>
      <w:tr w:rsidR="002B2C3C" w:rsidTr="004B613A">
        <w:tc>
          <w:tcPr>
            <w:tcW w:w="9242" w:type="dxa"/>
            <w:shd w:val="clear" w:color="auto" w:fill="808080" w:themeFill="background1" w:themeFillShade="80"/>
          </w:tcPr>
          <w:p w:rsidR="002B2C3C" w:rsidRDefault="00393F44" w:rsidP="002B2C3C">
            <w:pPr>
              <w:rPr>
                <w:b/>
                <w:color w:val="FFFFFF" w:themeColor="background1"/>
              </w:rPr>
            </w:pPr>
            <w:r w:rsidRPr="00393F44">
              <w:rPr>
                <w:b/>
                <w:color w:val="FFFFFF" w:themeColor="background1"/>
              </w:rPr>
              <w:lastRenderedPageBreak/>
              <w:t>Community development</w:t>
            </w:r>
          </w:p>
          <w:p w:rsidR="00393F44" w:rsidRPr="00C375BC" w:rsidRDefault="00393F44" w:rsidP="002B2C3C"/>
        </w:tc>
      </w:tr>
      <w:tr w:rsidR="002B2C3C" w:rsidTr="0089430A">
        <w:tc>
          <w:tcPr>
            <w:tcW w:w="9242" w:type="dxa"/>
          </w:tcPr>
          <w:p w:rsidR="002B2C3C" w:rsidRPr="00742F2A" w:rsidRDefault="002B2C3C" w:rsidP="007065F3">
            <w:pPr>
              <w:pStyle w:val="ListParagraph"/>
              <w:numPr>
                <w:ilvl w:val="0"/>
                <w:numId w:val="14"/>
              </w:numPr>
              <w:ind w:left="426"/>
            </w:pPr>
            <w:r w:rsidRPr="00742F2A">
              <w:t>Engage with the community and key stakeholders</w:t>
            </w:r>
            <w:r>
              <w:t>,</w:t>
            </w:r>
            <w:r w:rsidRPr="00742F2A">
              <w:t xml:space="preserve"> including </w:t>
            </w:r>
            <w:r w:rsidR="00CE0656">
              <w:t>Local G</w:t>
            </w:r>
            <w:r w:rsidRPr="00742F2A">
              <w:t>overnment</w:t>
            </w:r>
            <w:r w:rsidR="00CE0656">
              <w:t>s</w:t>
            </w:r>
            <w:r>
              <w:t>,</w:t>
            </w:r>
            <w:r w:rsidRPr="00742F2A">
              <w:t xml:space="preserve"> to identify and </w:t>
            </w:r>
            <w:r w:rsidR="000E6983">
              <w:t>implement priority</w:t>
            </w:r>
            <w:r w:rsidRPr="00742F2A">
              <w:t xml:space="preserve"> actions that support obesity prevention at a local level </w:t>
            </w:r>
          </w:p>
          <w:p w:rsidR="002B2C3C" w:rsidRDefault="00960278" w:rsidP="007065F3">
            <w:pPr>
              <w:pStyle w:val="ListParagraph"/>
              <w:numPr>
                <w:ilvl w:val="0"/>
                <w:numId w:val="14"/>
              </w:numPr>
              <w:ind w:left="426"/>
            </w:pPr>
            <w:r>
              <w:t>Encourage and support</w:t>
            </w:r>
            <w:r w:rsidR="002B2C3C" w:rsidRPr="00742F2A">
              <w:t xml:space="preserve"> community-based obesity prevention initiatives in partnership with key stakeholders to maximise their reach and impact</w:t>
            </w:r>
          </w:p>
          <w:p w:rsidR="00960278" w:rsidRPr="00C375BC" w:rsidRDefault="00960278" w:rsidP="00B77551">
            <w:pPr>
              <w:pStyle w:val="ListParagraph"/>
              <w:numPr>
                <w:ilvl w:val="0"/>
                <w:numId w:val="14"/>
              </w:numPr>
              <w:ind w:left="426"/>
            </w:pPr>
            <w:r>
              <w:t xml:space="preserve">Work with Local Government to develop Local Public </w:t>
            </w:r>
            <w:r w:rsidR="0097174E">
              <w:t xml:space="preserve">Health </w:t>
            </w:r>
            <w:r>
              <w:t xml:space="preserve">Plans which </w:t>
            </w:r>
            <w:r w:rsidR="00B77551">
              <w:t>include measures to address overweight and obesity</w:t>
            </w:r>
          </w:p>
        </w:tc>
      </w:tr>
      <w:tr w:rsidR="0089430A" w:rsidTr="004B613A">
        <w:tc>
          <w:tcPr>
            <w:tcW w:w="9242" w:type="dxa"/>
            <w:shd w:val="clear" w:color="auto" w:fill="808080" w:themeFill="background1" w:themeFillShade="80"/>
          </w:tcPr>
          <w:p w:rsidR="00690E51" w:rsidRPr="00307557" w:rsidRDefault="00690E51" w:rsidP="00690E51">
            <w:pPr>
              <w:rPr>
                <w:b/>
                <w:color w:val="FFFFFF" w:themeColor="background1"/>
              </w:rPr>
            </w:pPr>
            <w:r w:rsidRPr="00307557">
              <w:rPr>
                <w:b/>
                <w:color w:val="FFFFFF" w:themeColor="background1"/>
              </w:rPr>
              <w:t>Targeted interventions</w:t>
            </w:r>
          </w:p>
          <w:p w:rsidR="0089430A" w:rsidRDefault="0089430A" w:rsidP="00690E51">
            <w:pPr>
              <w:pStyle w:val="ListParagraph"/>
            </w:pPr>
          </w:p>
        </w:tc>
      </w:tr>
      <w:tr w:rsidR="0089430A" w:rsidTr="0089430A">
        <w:tc>
          <w:tcPr>
            <w:tcW w:w="9242" w:type="dxa"/>
          </w:tcPr>
          <w:p w:rsidR="00690E51" w:rsidRPr="00230FF6" w:rsidRDefault="00690E51" w:rsidP="007065F3">
            <w:pPr>
              <w:pStyle w:val="ListParagraph"/>
              <w:numPr>
                <w:ilvl w:val="0"/>
                <w:numId w:val="14"/>
              </w:numPr>
              <w:ind w:left="426"/>
            </w:pPr>
            <w:r w:rsidRPr="00230FF6">
              <w:t>Implement strategies targeting those planning pregnancy, pregnant women and parents</w:t>
            </w:r>
            <w:r>
              <w:t>/families</w:t>
            </w:r>
            <w:r w:rsidRPr="00230FF6">
              <w:t xml:space="preserve"> to increase behaviours t</w:t>
            </w:r>
            <w:r>
              <w:t>hat</w:t>
            </w:r>
            <w:r w:rsidRPr="00230FF6">
              <w:t xml:space="preserve"> support </w:t>
            </w:r>
            <w:r>
              <w:t>the healthy growth and development of children</w:t>
            </w:r>
          </w:p>
          <w:p w:rsidR="00690E51" w:rsidRPr="00230FF6" w:rsidRDefault="00690E51" w:rsidP="007065F3">
            <w:pPr>
              <w:pStyle w:val="ListParagraph"/>
              <w:numPr>
                <w:ilvl w:val="0"/>
                <w:numId w:val="14"/>
              </w:numPr>
              <w:ind w:left="426"/>
            </w:pPr>
            <w:r w:rsidRPr="00230FF6">
              <w:t>Invest in initiatives for children who are identified as above a healthy weight and their families to support adoption of</w:t>
            </w:r>
            <w:r w:rsidR="00D76ED3">
              <w:t xml:space="preserve"> healthy lifestyle behaviours</w:t>
            </w:r>
          </w:p>
          <w:p w:rsidR="0089430A" w:rsidRDefault="00690E51" w:rsidP="007065F3">
            <w:pPr>
              <w:pStyle w:val="ListParagraph"/>
              <w:numPr>
                <w:ilvl w:val="0"/>
                <w:numId w:val="14"/>
              </w:numPr>
              <w:ind w:left="426"/>
            </w:pPr>
            <w:r w:rsidRPr="00D14E1D">
              <w:t>Complement population approaches with targeted approaches that are inclusive of needs and issues of specific sub populations at higher risk of overweight and obesity (</w:t>
            </w:r>
            <w:r w:rsidR="00D76ED3" w:rsidRPr="00D14E1D">
              <w:t>for example</w:t>
            </w:r>
            <w:r w:rsidRPr="00D14E1D">
              <w:t xml:space="preserve"> Aboriginal people, C</w:t>
            </w:r>
            <w:r w:rsidR="00372742" w:rsidRPr="00D14E1D">
              <w:t>a</w:t>
            </w:r>
            <w:r w:rsidRPr="00D14E1D">
              <w:t>LD groups with higher obesity ra</w:t>
            </w:r>
            <w:r w:rsidR="00D76ED3" w:rsidRPr="00D14E1D">
              <w:t>tes, people with disabilities)</w:t>
            </w:r>
          </w:p>
        </w:tc>
      </w:tr>
      <w:tr w:rsidR="0089430A" w:rsidTr="004B613A">
        <w:tc>
          <w:tcPr>
            <w:tcW w:w="9242" w:type="dxa"/>
            <w:shd w:val="clear" w:color="auto" w:fill="808080" w:themeFill="background1" w:themeFillShade="80"/>
          </w:tcPr>
          <w:p w:rsidR="00690E51" w:rsidRPr="00307557" w:rsidRDefault="00690E51" w:rsidP="00690E51">
            <w:pPr>
              <w:rPr>
                <w:b/>
                <w:color w:val="FFFFFF" w:themeColor="background1"/>
              </w:rPr>
            </w:pPr>
            <w:r w:rsidRPr="00307557">
              <w:rPr>
                <w:b/>
                <w:color w:val="FFFFFF" w:themeColor="background1"/>
              </w:rPr>
              <w:t xml:space="preserve">Strategic coordination, building partnerships and </w:t>
            </w:r>
            <w:r w:rsidR="00E04212">
              <w:rPr>
                <w:b/>
                <w:color w:val="FFFFFF" w:themeColor="background1"/>
              </w:rPr>
              <w:t>workforce development</w:t>
            </w:r>
          </w:p>
          <w:p w:rsidR="0089430A" w:rsidRDefault="0089430A" w:rsidP="00E04212"/>
        </w:tc>
      </w:tr>
      <w:tr w:rsidR="0089430A" w:rsidTr="002A7368">
        <w:trPr>
          <w:trHeight w:val="3901"/>
        </w:trPr>
        <w:tc>
          <w:tcPr>
            <w:tcW w:w="9242" w:type="dxa"/>
          </w:tcPr>
          <w:p w:rsidR="00690E51" w:rsidRPr="00742F2A" w:rsidRDefault="00690E51" w:rsidP="007065F3">
            <w:pPr>
              <w:pStyle w:val="ListParagraph"/>
              <w:numPr>
                <w:ilvl w:val="0"/>
                <w:numId w:val="14"/>
              </w:numPr>
              <w:ind w:left="426"/>
            </w:pPr>
            <w:r>
              <w:t>S</w:t>
            </w:r>
            <w:r w:rsidRPr="00742F2A">
              <w:t xml:space="preserve">trengthen existing </w:t>
            </w:r>
            <w:r>
              <w:t xml:space="preserve">and develop new partnerships across all sectors to ensure a comprehensive, consistent and effective </w:t>
            </w:r>
            <w:r w:rsidRPr="00742F2A">
              <w:t>approach to addressing overweight and obesity</w:t>
            </w:r>
            <w:r>
              <w:t xml:space="preserve"> and its determinants</w:t>
            </w:r>
            <w:r w:rsidRPr="00742F2A">
              <w:t xml:space="preserve"> </w:t>
            </w:r>
          </w:p>
          <w:p w:rsidR="00690E51" w:rsidRDefault="00690E51" w:rsidP="007065F3">
            <w:pPr>
              <w:pStyle w:val="ListParagraph"/>
              <w:numPr>
                <w:ilvl w:val="0"/>
                <w:numId w:val="14"/>
              </w:numPr>
              <w:ind w:left="426"/>
            </w:pPr>
            <w:r w:rsidRPr="00742F2A">
              <w:t xml:space="preserve">Strengthen, upskill and support </w:t>
            </w:r>
            <w:r>
              <w:t xml:space="preserve">relevant </w:t>
            </w:r>
            <w:r w:rsidR="00E0041B">
              <w:t>sectors</w:t>
            </w:r>
            <w:r w:rsidRPr="00230FF6">
              <w:t xml:space="preserve"> of the workforce</w:t>
            </w:r>
            <w:r>
              <w:t xml:space="preserve"> (public health, broader</w:t>
            </w:r>
            <w:r w:rsidR="00E0041B">
              <w:t xml:space="preserve"> health and non-health</w:t>
            </w:r>
            <w:r>
              <w:t>)</w:t>
            </w:r>
            <w:r w:rsidRPr="00742F2A">
              <w:t xml:space="preserve"> to address overweight and obesity, poor diet and physical inactivity</w:t>
            </w:r>
            <w:r>
              <w:t xml:space="preserve"> in their programs, policy and plans</w:t>
            </w:r>
            <w:r w:rsidRPr="00230FF6">
              <w:t xml:space="preserve"> </w:t>
            </w:r>
          </w:p>
          <w:p w:rsidR="00690E51" w:rsidRPr="00742F2A" w:rsidRDefault="00690E51" w:rsidP="007065F3">
            <w:pPr>
              <w:pStyle w:val="ListParagraph"/>
              <w:numPr>
                <w:ilvl w:val="0"/>
                <w:numId w:val="14"/>
              </w:numPr>
              <w:ind w:left="426"/>
            </w:pPr>
            <w:r w:rsidRPr="00742F2A">
              <w:t xml:space="preserve">Support and undertake research in line with the </w:t>
            </w:r>
            <w:r w:rsidR="00423249" w:rsidRPr="00AD0C94">
              <w:rPr>
                <w:i/>
              </w:rPr>
              <w:t xml:space="preserve">National Preventive Health Research Strategy </w:t>
            </w:r>
            <w:r w:rsidR="00D14E1D">
              <w:rPr>
                <w:i/>
              </w:rPr>
              <w:t xml:space="preserve">2013–2018 </w:t>
            </w:r>
            <w:hyperlink r:id="rId25" w:history="1">
              <w:r w:rsidR="00423249" w:rsidRPr="00AD0C94">
                <w:rPr>
                  <w:i/>
                </w:rPr>
                <w:t xml:space="preserve">Priority-driven </w:t>
              </w:r>
              <w:r w:rsidR="00A005EF">
                <w:rPr>
                  <w:i/>
                </w:rPr>
                <w:t>r</w:t>
              </w:r>
              <w:r w:rsidR="00423249" w:rsidRPr="00AD0C94">
                <w:rPr>
                  <w:i/>
                </w:rPr>
                <w:t xml:space="preserve">esearch </w:t>
              </w:r>
              <w:r w:rsidR="00A005EF">
                <w:rPr>
                  <w:i/>
                </w:rPr>
                <w:t>a</w:t>
              </w:r>
              <w:r w:rsidR="00423249" w:rsidRPr="00AD0C94">
                <w:rPr>
                  <w:i/>
                </w:rPr>
                <w:t xml:space="preserve">genda for </w:t>
              </w:r>
              <w:r w:rsidR="00A005EF">
                <w:rPr>
                  <w:i/>
                </w:rPr>
                <w:t>o</w:t>
              </w:r>
              <w:r w:rsidR="00423249" w:rsidRPr="00AD0C94">
                <w:rPr>
                  <w:i/>
                </w:rPr>
                <w:t xml:space="preserve">besity </w:t>
              </w:r>
              <w:r w:rsidR="00A005EF">
                <w:rPr>
                  <w:i/>
                </w:rPr>
                <w:t>p</w:t>
              </w:r>
              <w:r w:rsidR="00423249" w:rsidRPr="00AD0C94">
                <w:rPr>
                  <w:i/>
                </w:rPr>
                <w:t>revention</w:t>
              </w:r>
            </w:hyperlink>
          </w:p>
          <w:p w:rsidR="00690E51" w:rsidRPr="000049AC" w:rsidRDefault="00690E51" w:rsidP="007065F3">
            <w:pPr>
              <w:pStyle w:val="ListParagraph"/>
              <w:numPr>
                <w:ilvl w:val="0"/>
                <w:numId w:val="14"/>
              </w:numPr>
              <w:ind w:left="426"/>
            </w:pPr>
            <w:r w:rsidRPr="000049AC">
              <w:t>Continue to collect evidence to inform new approaches and monitor the effectiveness of existing initiatives targeting overweight and obesit</w:t>
            </w:r>
            <w:r w:rsidR="008E582B">
              <w:t>y and its related risk factors</w:t>
            </w:r>
          </w:p>
          <w:p w:rsidR="0089430A" w:rsidRDefault="00690E51" w:rsidP="007065F3">
            <w:pPr>
              <w:pStyle w:val="ListParagraph"/>
              <w:numPr>
                <w:ilvl w:val="0"/>
                <w:numId w:val="14"/>
              </w:numPr>
              <w:ind w:left="426"/>
            </w:pPr>
            <w:r w:rsidRPr="000049AC">
              <w:t>Support continued population monitoring of overweight and obesity as well as individual and key environmental facto</w:t>
            </w:r>
            <w:r w:rsidR="008E582B">
              <w:t>rs that impact on obesity rates</w:t>
            </w:r>
          </w:p>
        </w:tc>
      </w:tr>
    </w:tbl>
    <w:p w:rsidR="000B78C3" w:rsidRPr="00547C06" w:rsidRDefault="00B6397B" w:rsidP="008E582B">
      <w:pPr>
        <w:pStyle w:val="Heading1"/>
      </w:pPr>
      <w:r>
        <w:br w:type="page"/>
      </w:r>
      <w:bookmarkStart w:id="42" w:name="_Toc462049330"/>
      <w:r w:rsidR="000B78C3" w:rsidRPr="00547C06">
        <w:lastRenderedPageBreak/>
        <w:t>Making smoking history</w:t>
      </w:r>
      <w:bookmarkEnd w:id="42"/>
    </w:p>
    <w:p w:rsidR="009F3218" w:rsidRDefault="009F3218" w:rsidP="00E23479">
      <w:pPr>
        <w:rPr>
          <w:i/>
          <w:lang w:val="en-AU"/>
        </w:rPr>
      </w:pPr>
    </w:p>
    <w:p w:rsidR="00FD7B23" w:rsidRPr="000A33E2" w:rsidRDefault="00D964DE" w:rsidP="000A33E2">
      <w:pPr>
        <w:shd w:val="clear" w:color="auto" w:fill="F2F2F2" w:themeFill="background1" w:themeFillShade="F2"/>
        <w:rPr>
          <w:i/>
          <w:color w:val="808080" w:themeColor="background1" w:themeShade="80"/>
          <w:lang w:val="en-AU"/>
        </w:rPr>
      </w:pPr>
      <w:r w:rsidRPr="000A33E2">
        <w:rPr>
          <w:i/>
          <w:color w:val="808080" w:themeColor="background1" w:themeShade="80"/>
          <w:lang w:val="en-AU"/>
        </w:rPr>
        <w:t>Tackling s</w:t>
      </w:r>
      <w:r w:rsidR="00FD7B23" w:rsidRPr="000A33E2">
        <w:rPr>
          <w:i/>
          <w:color w:val="808080" w:themeColor="background1" w:themeShade="80"/>
          <w:lang w:val="en-AU"/>
        </w:rPr>
        <w:t xml:space="preserve">moking remains a key </w:t>
      </w:r>
      <w:r w:rsidRPr="000A33E2">
        <w:rPr>
          <w:i/>
          <w:color w:val="808080" w:themeColor="background1" w:themeShade="80"/>
          <w:lang w:val="en-AU"/>
        </w:rPr>
        <w:t>priority area for improving</w:t>
      </w:r>
      <w:r w:rsidR="00FD7B23" w:rsidRPr="000A33E2">
        <w:rPr>
          <w:i/>
          <w:color w:val="808080" w:themeColor="background1" w:themeShade="80"/>
          <w:lang w:val="en-AU"/>
        </w:rPr>
        <w:t xml:space="preserve"> the health of </w:t>
      </w:r>
      <w:r w:rsidR="00CE4C33" w:rsidRPr="000A33E2">
        <w:rPr>
          <w:i/>
          <w:color w:val="808080" w:themeColor="background1" w:themeShade="80"/>
          <w:lang w:val="en-AU"/>
        </w:rPr>
        <w:t>Western Australia</w:t>
      </w:r>
      <w:r w:rsidR="00AF5E6A" w:rsidRPr="000A33E2">
        <w:rPr>
          <w:i/>
          <w:color w:val="808080" w:themeColor="background1" w:themeShade="80"/>
          <w:lang w:val="en-AU"/>
        </w:rPr>
        <w:t>ns</w:t>
      </w:r>
      <w:r w:rsidR="00DD3604" w:rsidRPr="000A33E2">
        <w:rPr>
          <w:i/>
          <w:color w:val="808080" w:themeColor="background1" w:themeShade="80"/>
          <w:lang w:val="en-AU"/>
        </w:rPr>
        <w:t>:</w:t>
      </w:r>
      <w:r w:rsidR="0099210E" w:rsidRPr="000A33E2">
        <w:rPr>
          <w:i/>
          <w:color w:val="808080" w:themeColor="background1" w:themeShade="80"/>
          <w:lang w:val="en-AU"/>
        </w:rPr>
        <w:t xml:space="preserve"> </w:t>
      </w:r>
      <w:r w:rsidR="00DD3604" w:rsidRPr="000A33E2">
        <w:rPr>
          <w:i/>
          <w:color w:val="808080" w:themeColor="background1" w:themeShade="80"/>
          <w:lang w:val="en-AU"/>
        </w:rPr>
        <w:t>t</w:t>
      </w:r>
      <w:r w:rsidR="00FD7B23" w:rsidRPr="000A33E2">
        <w:rPr>
          <w:i/>
          <w:color w:val="808080" w:themeColor="background1" w:themeShade="80"/>
          <w:lang w:val="en-AU"/>
        </w:rPr>
        <w:t xml:space="preserve">wo out of three </w:t>
      </w:r>
      <w:r w:rsidR="00DD3604" w:rsidRPr="000A33E2">
        <w:rPr>
          <w:i/>
          <w:color w:val="808080" w:themeColor="background1" w:themeShade="80"/>
          <w:lang w:val="en-AU"/>
        </w:rPr>
        <w:t>long</w:t>
      </w:r>
      <w:r w:rsidRPr="000A33E2">
        <w:rPr>
          <w:i/>
          <w:color w:val="808080" w:themeColor="background1" w:themeShade="80"/>
          <w:lang w:val="en-AU"/>
        </w:rPr>
        <w:t>-</w:t>
      </w:r>
      <w:r w:rsidR="00DD3604" w:rsidRPr="000A33E2">
        <w:rPr>
          <w:i/>
          <w:color w:val="808080" w:themeColor="background1" w:themeShade="80"/>
          <w:lang w:val="en-AU"/>
        </w:rPr>
        <w:t xml:space="preserve">term </w:t>
      </w:r>
      <w:r w:rsidR="00FD7B23" w:rsidRPr="000A33E2">
        <w:rPr>
          <w:i/>
          <w:color w:val="808080" w:themeColor="background1" w:themeShade="80"/>
          <w:lang w:val="en-AU"/>
        </w:rPr>
        <w:t xml:space="preserve">smokers </w:t>
      </w:r>
      <w:r w:rsidR="002A090E" w:rsidRPr="000A33E2">
        <w:rPr>
          <w:i/>
          <w:color w:val="808080" w:themeColor="background1" w:themeShade="80"/>
          <w:lang w:val="en-AU"/>
        </w:rPr>
        <w:t xml:space="preserve">are likely to </w:t>
      </w:r>
      <w:r w:rsidR="00D220B7" w:rsidRPr="000A33E2">
        <w:rPr>
          <w:i/>
          <w:color w:val="808080" w:themeColor="background1" w:themeShade="80"/>
          <w:lang w:val="en-AU"/>
        </w:rPr>
        <w:t xml:space="preserve">die </w:t>
      </w:r>
      <w:r w:rsidRPr="000A33E2">
        <w:rPr>
          <w:i/>
          <w:color w:val="808080" w:themeColor="background1" w:themeShade="80"/>
          <w:lang w:val="en-AU"/>
        </w:rPr>
        <w:t>from their</w:t>
      </w:r>
      <w:r w:rsidR="00DD3604" w:rsidRPr="000A33E2">
        <w:rPr>
          <w:i/>
          <w:color w:val="808080" w:themeColor="background1" w:themeShade="80"/>
          <w:lang w:val="en-AU"/>
        </w:rPr>
        <w:t xml:space="preserve"> tobacco use.</w:t>
      </w:r>
      <w:r w:rsidR="008E4A1B" w:rsidRPr="000A33E2">
        <w:rPr>
          <w:i/>
          <w:color w:val="808080" w:themeColor="background1" w:themeShade="80"/>
          <w:lang w:val="en-AU"/>
        </w:rPr>
        <w:fldChar w:fldCharType="begin"/>
      </w:r>
      <w:r w:rsidR="005B3C51">
        <w:rPr>
          <w:i/>
          <w:color w:val="808080" w:themeColor="background1" w:themeShade="80"/>
          <w:lang w:val="en-AU"/>
        </w:rPr>
        <w:instrText xml:space="preserve"> ADDIN EN.CITE &lt;EndNote&gt;&lt;Cite&gt;&lt;Author&gt;Banks&lt;/Author&gt;&lt;Year&gt;2015&lt;/Year&gt;&lt;RecNum&gt;234&lt;/RecNum&gt;&lt;DisplayText&gt;&lt;style face="superscript"&gt;139&lt;/style&gt;&lt;/DisplayText&gt;&lt;record&gt;&lt;rec-number&gt;234&lt;/rec-number&gt;&lt;foreign-keys&gt;&lt;key app="EN" db-id="zxa00wf2opvf9oeeset50xz7ezpfwre2v20z"&gt;234&lt;/key&gt;&lt;/foreign-keys&gt;&lt;ref-type name="Journal Article"&gt;17&lt;/ref-type&gt;&lt;contributors&gt;&lt;authors&gt;&lt;author&gt;Banks, Emily&lt;/author&gt;&lt;author&gt;Joshy, Grace&lt;/author&gt;&lt;author&gt;Weber, Marianne F.&lt;/author&gt;&lt;author&gt;Liu, Bette&lt;/author&gt;&lt;author&gt;Grenfell, Robert&lt;/author&gt;&lt;author&gt;Egger, Sam&lt;/author&gt;&lt;author&gt;Paige, Ellie&lt;/author&gt;&lt;author&gt;Lopez, Alan D.&lt;/author&gt;&lt;author&gt;Sitas, Freddy&lt;/author&gt;&lt;author&gt;Beral, Valerie&lt;/author&gt;&lt;/authors&gt;&lt;/contributors&gt;&lt;titles&gt;&lt;title&gt;Tobacco smoking and all-cause mortality in a large Australian cohort study: findings from a mature epidemic with current low smoking prevalence&lt;/title&gt;&lt;secondary-title&gt;BMC Med&lt;/secondary-title&gt;&lt;/titles&gt;&lt;periodical&gt;&lt;full-title&gt;BMC Med&lt;/full-title&gt;&lt;/periodical&gt;&lt;pages&gt;38&lt;/pages&gt;&lt;volume&gt;13&lt;/volume&gt;&lt;number&gt;1&lt;/number&gt;&lt;dates&gt;&lt;year&gt;2015&lt;/year&gt;&lt;/dates&gt;&lt;publisher&gt;Springer Science + Business Media&lt;/publisher&gt;&lt;isbn&gt;1741-7015&lt;/isbn&gt;&lt;urls&gt;&lt;related-urls&gt;&lt;url&gt;http://dx.doi.org/10.1186/s12916-015-0281-z&lt;/url&gt;&lt;/related-urls&gt;&lt;/urls&gt;&lt;electronic-resource-num&gt;10.1186/s12916-015-0281-z&lt;/electronic-resource-num&gt;&lt;/record&gt;&lt;/Cite&gt;&lt;/EndNote&gt;</w:instrText>
      </w:r>
      <w:r w:rsidR="008E4A1B" w:rsidRPr="000A33E2">
        <w:rPr>
          <w:i/>
          <w:color w:val="808080" w:themeColor="background1" w:themeShade="80"/>
          <w:lang w:val="en-AU"/>
        </w:rPr>
        <w:fldChar w:fldCharType="separate"/>
      </w:r>
      <w:r w:rsidR="005B3C51" w:rsidRPr="005B3C51">
        <w:rPr>
          <w:i/>
          <w:noProof/>
          <w:color w:val="808080" w:themeColor="background1" w:themeShade="80"/>
          <w:vertAlign w:val="superscript"/>
          <w:lang w:val="en-AU"/>
        </w:rPr>
        <w:t>139</w:t>
      </w:r>
      <w:r w:rsidR="008E4A1B" w:rsidRPr="000A33E2">
        <w:rPr>
          <w:i/>
          <w:color w:val="808080" w:themeColor="background1" w:themeShade="80"/>
          <w:lang w:val="en-AU"/>
        </w:rPr>
        <w:fldChar w:fldCharType="end"/>
      </w:r>
      <w:r w:rsidR="00E23479" w:rsidRPr="000A33E2">
        <w:rPr>
          <w:color w:val="808080" w:themeColor="background1" w:themeShade="80"/>
        </w:rPr>
        <w:t xml:space="preserve"> </w:t>
      </w:r>
      <w:r w:rsidR="00D220B7" w:rsidRPr="000A33E2">
        <w:rPr>
          <w:i/>
          <w:iCs/>
          <w:color w:val="808080" w:themeColor="background1" w:themeShade="80"/>
        </w:rPr>
        <w:t xml:space="preserve">While smoking </w:t>
      </w:r>
      <w:r w:rsidR="00927575" w:rsidRPr="000A33E2">
        <w:rPr>
          <w:i/>
          <w:iCs/>
          <w:color w:val="808080" w:themeColor="background1" w:themeShade="80"/>
        </w:rPr>
        <w:t>rates</w:t>
      </w:r>
      <w:r w:rsidR="00D220B7" w:rsidRPr="000A33E2">
        <w:rPr>
          <w:i/>
          <w:iCs/>
          <w:color w:val="808080" w:themeColor="background1" w:themeShade="80"/>
        </w:rPr>
        <w:t xml:space="preserve"> overall </w:t>
      </w:r>
      <w:r w:rsidR="00927575" w:rsidRPr="000A33E2">
        <w:rPr>
          <w:i/>
          <w:iCs/>
          <w:color w:val="808080" w:themeColor="background1" w:themeShade="80"/>
        </w:rPr>
        <w:t>are</w:t>
      </w:r>
      <w:r w:rsidR="00D220B7" w:rsidRPr="000A33E2">
        <w:rPr>
          <w:i/>
          <w:iCs/>
          <w:color w:val="808080" w:themeColor="background1" w:themeShade="80"/>
        </w:rPr>
        <w:t xml:space="preserve"> lower than ever, challenges remain</w:t>
      </w:r>
      <w:r w:rsidR="00CD493E" w:rsidRPr="000A33E2">
        <w:rPr>
          <w:i/>
          <w:iCs/>
          <w:color w:val="808080" w:themeColor="background1" w:themeShade="80"/>
        </w:rPr>
        <w:t>. S</w:t>
      </w:r>
      <w:r w:rsidR="00D220B7" w:rsidRPr="000A33E2">
        <w:rPr>
          <w:i/>
          <w:iCs/>
          <w:color w:val="808080" w:themeColor="background1" w:themeShade="80"/>
        </w:rPr>
        <w:t>ome groups still have much higher smoking rates, new nicotine delivery products are being developed, and evidence grows about harmful tobacco additives.</w:t>
      </w:r>
    </w:p>
    <w:p w:rsidR="00412582" w:rsidRPr="00140E96" w:rsidRDefault="00412582" w:rsidP="000B78C3">
      <w:pPr>
        <w:ind w:left="720"/>
        <w:rPr>
          <w:i/>
        </w:rPr>
      </w:pPr>
    </w:p>
    <w:p w:rsidR="000B78C3" w:rsidRPr="006A438C" w:rsidRDefault="000B78C3" w:rsidP="00EA1976">
      <w:pPr>
        <w:pStyle w:val="Heading2"/>
      </w:pPr>
      <w:bookmarkStart w:id="43" w:name="_Toc462049331"/>
      <w:r w:rsidRPr="006A438C">
        <w:t xml:space="preserve">A snapshot of smoking in </w:t>
      </w:r>
      <w:r w:rsidR="00291EDB">
        <w:t>WA</w:t>
      </w:r>
      <w:bookmarkEnd w:id="43"/>
    </w:p>
    <w:p w:rsidR="000B78C3" w:rsidRPr="001A199D" w:rsidRDefault="000B78C3" w:rsidP="00AF5E6A"/>
    <w:p w:rsidR="000B78C3" w:rsidRPr="00BD4FD3" w:rsidRDefault="000B78C3" w:rsidP="002D3837">
      <w:pPr>
        <w:pStyle w:val="ListParagraph"/>
        <w:numPr>
          <w:ilvl w:val="0"/>
          <w:numId w:val="5"/>
        </w:numPr>
        <w:ind w:left="426"/>
      </w:pPr>
      <w:r w:rsidRPr="001A199D">
        <w:t>In 201</w:t>
      </w:r>
      <w:r>
        <w:t>5</w:t>
      </w:r>
      <w:r w:rsidRPr="001A199D">
        <w:t xml:space="preserve">, 9% of the </w:t>
      </w:r>
      <w:r w:rsidR="00477A88">
        <w:t>WA</w:t>
      </w:r>
      <w:r w:rsidRPr="001A199D">
        <w:t xml:space="preserve"> population aged 1</w:t>
      </w:r>
      <w:r>
        <w:t>8</w:t>
      </w:r>
      <w:r w:rsidRPr="001A199D">
        <w:t xml:space="preserve"> and over were daily smokers</w:t>
      </w:r>
      <w:r>
        <w:t>.</w:t>
      </w:r>
      <w:r w:rsidR="00E62C65">
        <w:t xml:space="preserve"> </w:t>
      </w:r>
      <w:r w:rsidRPr="001A199D">
        <w:t xml:space="preserve">Men </w:t>
      </w:r>
      <w:r w:rsidRPr="00BD4FD3">
        <w:t xml:space="preserve">were more likely to be daily smokers than women (11% compared to </w:t>
      </w:r>
      <w:r w:rsidR="00B212E6" w:rsidRPr="00BD4FD3">
        <w:t>8</w:t>
      </w:r>
      <w:r w:rsidRPr="00BD4FD3">
        <w:t>%).</w:t>
      </w:r>
      <w:r w:rsidR="008E4A1B" w:rsidRPr="00BD4FD3">
        <w:fldChar w:fldCharType="begin"/>
      </w:r>
      <w:r w:rsidR="009F7E7C" w:rsidRPr="00BD4FD3">
        <w:instrText xml:space="preserve"> ADDIN EN.CITE &lt;EndNote&gt;&lt;Cite&gt;&lt;Author&gt;Epidemiology Branch&lt;/Author&gt;&lt;Year&gt;2016&lt;/Year&gt;&lt;RecNum&gt;970&lt;/RecNum&gt;&lt;DisplayText&gt;&lt;style face="superscript"&gt;22&lt;/style&gt;&lt;/DisplayText&gt;&lt;record&gt;&lt;rec-number&gt;970&lt;/rec-number&gt;&lt;foreign-keys&gt;&lt;key app="EN" db-id="zxa00wf2opvf9oeeset50xz7ezpfwre2v20z"&gt;970&lt;/key&gt;&lt;/foreign-keys&gt;&lt;ref-type name="Report"&gt;27&lt;/ref-type&gt;&lt;contributors&gt;&lt;authors&gt;&lt;author&gt;Epidemiology Branch,&lt;/author&gt;&lt;/authors&gt;&lt;/contributors&gt;&lt;titles&gt;&lt;title&gt;Lifestyle risk factor and chronic health condition information for WA children and adults, 2002–15, HWSS&lt;/title&gt;&lt;/titles&gt;&lt;dates&gt;&lt;year&gt;2016&lt;/year&gt;&lt;/dates&gt;&lt;pub-location&gt;Perth&lt;/pub-location&gt;&lt;publisher&gt;Department of Health, Western Australia&lt;/publisher&gt;&lt;urls&gt;&lt;/urls&gt;&lt;/record&gt;&lt;/Cite&gt;&lt;/EndNote&gt;</w:instrText>
      </w:r>
      <w:r w:rsidR="008E4A1B" w:rsidRPr="00BD4FD3">
        <w:fldChar w:fldCharType="separate"/>
      </w:r>
      <w:r w:rsidR="009F7E7C" w:rsidRPr="00BD4FD3">
        <w:rPr>
          <w:noProof/>
          <w:vertAlign w:val="superscript"/>
        </w:rPr>
        <w:t>22</w:t>
      </w:r>
      <w:r w:rsidR="008E4A1B" w:rsidRPr="00BD4FD3">
        <w:fldChar w:fldCharType="end"/>
      </w:r>
      <w:r w:rsidR="00FD13B6">
        <w:t xml:space="preserve"> </w:t>
      </w:r>
    </w:p>
    <w:p w:rsidR="00207716" w:rsidRPr="00BD4FD3" w:rsidRDefault="00207716" w:rsidP="002D3837">
      <w:pPr>
        <w:pStyle w:val="ListParagraph"/>
        <w:ind w:left="426"/>
      </w:pPr>
    </w:p>
    <w:p w:rsidR="000B78C3" w:rsidRPr="0015353E" w:rsidRDefault="000B78C3" w:rsidP="002D3837">
      <w:pPr>
        <w:pStyle w:val="ListParagraph"/>
        <w:numPr>
          <w:ilvl w:val="0"/>
          <w:numId w:val="5"/>
        </w:numPr>
        <w:ind w:left="426"/>
      </w:pPr>
      <w:r w:rsidRPr="0015353E">
        <w:t>Fewer than 5</w:t>
      </w:r>
      <w:r w:rsidR="008834CF" w:rsidRPr="0015353E">
        <w:t>%</w:t>
      </w:r>
      <w:r w:rsidRPr="0015353E">
        <w:t xml:space="preserve"> of </w:t>
      </w:r>
      <w:r w:rsidR="00477A88" w:rsidRPr="0015353E">
        <w:t>WA</w:t>
      </w:r>
      <w:r w:rsidRPr="0015353E">
        <w:t xml:space="preserve"> secondary school students aged 12–17 reported that they were regular smokers in 2014 (4.8%). Prevalence was </w:t>
      </w:r>
      <w:r w:rsidR="00645B8B" w:rsidRPr="0015353E">
        <w:t xml:space="preserve">the same </w:t>
      </w:r>
      <w:r w:rsidR="00B0135C" w:rsidRPr="0015353E">
        <w:t>for boys</w:t>
      </w:r>
      <w:r w:rsidRPr="0015353E">
        <w:t xml:space="preserve"> and girls.</w:t>
      </w:r>
      <w:r w:rsidR="008E4A1B" w:rsidRPr="0015353E">
        <w:fldChar w:fldCharType="begin"/>
      </w:r>
      <w:r w:rsidR="005B3C51">
        <w:instrText xml:space="preserve"> ADDIN EN.CITE &lt;EndNote&gt;&lt;Cite&gt;&lt;Author&gt;Department of Health&lt;/Author&gt;&lt;Year&gt;2016&lt;/Year&gt;&lt;RecNum&gt;1062&lt;/RecNum&gt;&lt;DisplayText&gt;&lt;style face="superscript"&gt;140&lt;/style&gt;&lt;/DisplayText&gt;&lt;record&gt;&lt;rec-number&gt;1062&lt;/rec-number&gt;&lt;foreign-keys&gt;&lt;key app="EN" db-id="zxa00wf2opvf9oeeset50xz7ezpfwre2v20z"&gt;1062&lt;/key&gt;&lt;/foreign-keys&gt;&lt;ref-type name="Report"&gt;27&lt;/ref-type&gt;&lt;contributors&gt;&lt;authors&gt;&lt;author&gt;Department of Health,&lt;/author&gt;&lt;author&gt;Western Australia,&lt;/author&gt;&lt;/authors&gt;&lt;/contributors&gt;&lt;titles&gt;&lt;title&gt;Australian Secondary Students’ Alcohol and Drug Survey 2014: Western Australian results: tobacco&lt;/title&gt;&lt;/titles&gt;&lt;dates&gt;&lt;year&gt;2016&lt;/year&gt;&lt;/dates&gt;&lt;pub-location&gt;Perth&lt;/pub-location&gt;&lt;publisher&gt;Department of Health, Western Australia&lt;/publisher&gt;&lt;urls&gt;&lt;/urls&gt;&lt;/record&gt;&lt;/Cite&gt;&lt;/EndNote&gt;</w:instrText>
      </w:r>
      <w:r w:rsidR="008E4A1B" w:rsidRPr="0015353E">
        <w:fldChar w:fldCharType="separate"/>
      </w:r>
      <w:r w:rsidR="005B3C51" w:rsidRPr="005B3C51">
        <w:rPr>
          <w:noProof/>
          <w:vertAlign w:val="superscript"/>
        </w:rPr>
        <w:t>140</w:t>
      </w:r>
      <w:r w:rsidR="008E4A1B" w:rsidRPr="0015353E">
        <w:fldChar w:fldCharType="end"/>
      </w:r>
      <w:r w:rsidR="00C91317" w:rsidRPr="0015353E">
        <w:t xml:space="preserve"> </w:t>
      </w:r>
    </w:p>
    <w:p w:rsidR="000B78C3" w:rsidRPr="0015353E" w:rsidRDefault="000B78C3" w:rsidP="002D3837">
      <w:pPr>
        <w:pStyle w:val="ListParagraph"/>
        <w:ind w:left="426"/>
      </w:pPr>
    </w:p>
    <w:p w:rsidR="000B78C3" w:rsidRPr="0015353E" w:rsidRDefault="000B78C3" w:rsidP="002D3837">
      <w:pPr>
        <w:pStyle w:val="ListParagraph"/>
        <w:numPr>
          <w:ilvl w:val="0"/>
          <w:numId w:val="5"/>
        </w:numPr>
        <w:ind w:left="426"/>
      </w:pPr>
      <w:r w:rsidRPr="0015353E">
        <w:t>Between 1984</w:t>
      </w:r>
      <w:r w:rsidR="00191221" w:rsidRPr="0015353E">
        <w:t>–</w:t>
      </w:r>
      <w:r w:rsidRPr="0015353E">
        <w:t>2014, weekly smoking rates among 12–17 year olds fell from 2</w:t>
      </w:r>
      <w:r w:rsidR="00B212E6" w:rsidRPr="0015353E">
        <w:t>1</w:t>
      </w:r>
      <w:r w:rsidRPr="0015353E">
        <w:t>% to 4.8%.</w:t>
      </w:r>
      <w:r w:rsidR="008E4A1B" w:rsidRPr="0015353E">
        <w:fldChar w:fldCharType="begin"/>
      </w:r>
      <w:r w:rsidR="005B3C51">
        <w:instrText xml:space="preserve"> ADDIN EN.CITE &lt;EndNote&gt;&lt;Cite&gt;&lt;Author&gt;Department of Health&lt;/Author&gt;&lt;Year&gt;2016&lt;/Year&gt;&lt;RecNum&gt;1062&lt;/RecNum&gt;&lt;DisplayText&gt;&lt;style face="superscript"&gt;140&lt;/style&gt;&lt;/DisplayText&gt;&lt;record&gt;&lt;rec-number&gt;1062&lt;/rec-number&gt;&lt;foreign-keys&gt;&lt;key app="EN" db-id="zxa00wf2opvf9oeeset50xz7ezpfwre2v20z"&gt;1062&lt;/key&gt;&lt;/foreign-keys&gt;&lt;ref-type name="Report"&gt;27&lt;/ref-type&gt;&lt;contributors&gt;&lt;authors&gt;&lt;author&gt;Department of Health,&lt;/author&gt;&lt;author&gt;Western Australia,&lt;/author&gt;&lt;/authors&gt;&lt;/contributors&gt;&lt;titles&gt;&lt;title&gt;Australian Secondary Students’ Alcohol and Drug Survey 2014: Western Australian results: tobacco&lt;/title&gt;&lt;/titles&gt;&lt;dates&gt;&lt;year&gt;2016&lt;/year&gt;&lt;/dates&gt;&lt;pub-location&gt;Perth&lt;/pub-location&gt;&lt;publisher&gt;Department of Health, Western Australia&lt;/publisher&gt;&lt;urls&gt;&lt;/urls&gt;&lt;/record&gt;&lt;/Cite&gt;&lt;/EndNote&gt;</w:instrText>
      </w:r>
      <w:r w:rsidR="008E4A1B" w:rsidRPr="0015353E">
        <w:fldChar w:fldCharType="separate"/>
      </w:r>
      <w:r w:rsidR="005B3C51" w:rsidRPr="005B3C51">
        <w:rPr>
          <w:noProof/>
          <w:vertAlign w:val="superscript"/>
        </w:rPr>
        <w:t>140</w:t>
      </w:r>
      <w:r w:rsidR="008E4A1B" w:rsidRPr="0015353E">
        <w:fldChar w:fldCharType="end"/>
      </w:r>
    </w:p>
    <w:p w:rsidR="000B78C3" w:rsidRPr="00BD4FD3" w:rsidRDefault="000B78C3" w:rsidP="002D3837">
      <w:pPr>
        <w:pStyle w:val="ListParagraph"/>
        <w:ind w:left="426"/>
      </w:pPr>
    </w:p>
    <w:p w:rsidR="000B78C3" w:rsidRPr="001A199D" w:rsidRDefault="000B78C3" w:rsidP="002C50CD">
      <w:pPr>
        <w:pStyle w:val="ListParagraph"/>
        <w:numPr>
          <w:ilvl w:val="0"/>
          <w:numId w:val="5"/>
        </w:numPr>
        <w:ind w:left="426"/>
      </w:pPr>
      <w:r w:rsidRPr="00BD4FD3">
        <w:t>43</w:t>
      </w:r>
      <w:r w:rsidRPr="001A199D">
        <w:t>% of Aboriginal people aged 15 and over in WA were smokers in 2012</w:t>
      </w:r>
      <w:r w:rsidR="00735DC5">
        <w:t>–</w:t>
      </w:r>
      <w:r w:rsidRPr="001A199D">
        <w:t xml:space="preserve">13, </w:t>
      </w:r>
      <w:r w:rsidR="00DD09D0">
        <w:t>close</w:t>
      </w:r>
      <w:r w:rsidRPr="001A199D">
        <w:t xml:space="preserve"> to the</w:t>
      </w:r>
      <w:r w:rsidR="00915872">
        <w:t xml:space="preserve"> national </w:t>
      </w:r>
      <w:r w:rsidR="00DD09D0">
        <w:t xml:space="preserve">prevalence for </w:t>
      </w:r>
      <w:r w:rsidR="00CE3DBD">
        <w:t>Aboriginal people of 44%.</w:t>
      </w:r>
      <w:r w:rsidR="0067189C">
        <w:fldChar w:fldCharType="begin"/>
      </w:r>
      <w:r w:rsidR="005B3C51">
        <w:instrText xml:space="preserve"> ADDIN EN.CITE &lt;EndNote&gt;&lt;Cite&gt;&lt;Author&gt;Statistics&lt;/Author&gt;&lt;Year&gt;2014&lt;/Year&gt;&lt;RecNum&gt;1104&lt;/RecNum&gt;&lt;DisplayText&gt;&lt;style face="superscript"&gt;141&lt;/style&gt;&lt;/DisplayText&gt;&lt;record&gt;&lt;rec-number&gt;1104&lt;/rec-number&gt;&lt;foreign-keys&gt;&lt;key app="EN" db-id="zxa00wf2opvf9oeeset50xz7ezpfwre2v20z"&gt;1104&lt;/key&gt;&lt;/foreign-keys&gt;&lt;ref-type name="Report"&gt;27&lt;/ref-type&gt;&lt;contributors&gt;&lt;authors&gt;&lt;author&gt;Australian Bureau of Statistics,&lt;/author&gt;&lt;/authors&gt;&lt;/contributors&gt;&lt;titles&gt;&lt;title&gt;4727.0.55.006 - Australian Aboriginal and Torres Strait Islander Health Survey: Updated Results, 2012–13&lt;/title&gt;&lt;/titles&gt;&lt;dates&gt;&lt;year&gt;2014&lt;/year&gt;&lt;/dates&gt;&lt;pub-location&gt;Canberra&lt;/pub-location&gt;&lt;publisher&gt;ABS&lt;/publisher&gt;&lt;urls&gt;&lt;related-urls&gt;&lt;url&gt;http://www.abs.gov.au/ausstats/abs@.nsf/Lookup/by%20Subject/4727.0.55.006~2012%E2%80%9313~Main%20Features~Selected%20health%20risk%20factors~11&lt;/url&gt;&lt;/related-urls&gt;&lt;/urls&gt;&lt;/record&gt;&lt;/Cite&gt;&lt;/EndNote&gt;</w:instrText>
      </w:r>
      <w:r w:rsidR="0067189C">
        <w:fldChar w:fldCharType="separate"/>
      </w:r>
      <w:r w:rsidR="005B3C51" w:rsidRPr="005B3C51">
        <w:rPr>
          <w:noProof/>
          <w:vertAlign w:val="superscript"/>
        </w:rPr>
        <w:t>141</w:t>
      </w:r>
      <w:r w:rsidR="0067189C">
        <w:fldChar w:fldCharType="end"/>
      </w:r>
      <w:r w:rsidR="00B95495">
        <w:t xml:space="preserve"> </w:t>
      </w:r>
      <w:r w:rsidR="005C1F6E">
        <w:t xml:space="preserve">Nationally, between </w:t>
      </w:r>
      <w:r w:rsidR="00D94A2B">
        <w:t xml:space="preserve"> 2002 and 2012–13 smoking among Aboriginal males declined from 51% to 44% and among Aboriginal females from 47% to 40%</w:t>
      </w:r>
      <w:r w:rsidR="005C1F6E">
        <w:t>.</w:t>
      </w:r>
      <w:r w:rsidR="002C50CD">
        <w:fldChar w:fldCharType="begin"/>
      </w:r>
      <w:r w:rsidR="005B3C51">
        <w:instrText xml:space="preserve"> ADDIN EN.CITE &lt;EndNote&gt;&lt;Cite&gt;&lt;Author&gt;Australian Bureau of Statistics&lt;/Author&gt;&lt;Year&gt;2014&lt;/Year&gt;&lt;RecNum&gt;1104&lt;/RecNum&gt;&lt;DisplayText&gt;&lt;style face="superscript"&gt;141&lt;/style&gt;&lt;/DisplayText&gt;&lt;record&gt;&lt;rec-number&gt;1104&lt;/rec-number&gt;&lt;foreign-keys&gt;&lt;key app="EN" db-id="zxa00wf2opvf9oeeset50xz7ezpfwre2v20z"&gt;1104&lt;/key&gt;&lt;/foreign-keys&gt;&lt;ref-type name="Report"&gt;27&lt;/ref-type&gt;&lt;contributors&gt;&lt;authors&gt;&lt;author&gt;Australian Bureau of Statistics,&lt;/author&gt;&lt;/authors&gt;&lt;/contributors&gt;&lt;titles&gt;&lt;title&gt;4727.0.55.006 - Australian Aboriginal and Torres Strait Islander Health Survey: Updated Results, 2012–13&lt;/title&gt;&lt;/titles&gt;&lt;dates&gt;&lt;year&gt;2014&lt;/year&gt;&lt;/dates&gt;&lt;pub-location&gt;Canberra&lt;/pub-location&gt;&lt;publisher&gt;ABS&lt;/publisher&gt;&lt;urls&gt;&lt;related-urls&gt;&lt;url&gt;http://www.abs.gov.au/ausstats/abs@.nsf/Lookup/by%20Subject/4727.0.55.006~2012%E2%80%9313~Main%20Features~Selected%20health%20risk%20factors~11&lt;/url&gt;&lt;/related-urls&gt;&lt;/urls&gt;&lt;/record&gt;&lt;/Cite&gt;&lt;/EndNote&gt;</w:instrText>
      </w:r>
      <w:r w:rsidR="002C50CD">
        <w:fldChar w:fldCharType="separate"/>
      </w:r>
      <w:r w:rsidR="005B3C51" w:rsidRPr="005B3C51">
        <w:rPr>
          <w:noProof/>
          <w:vertAlign w:val="superscript"/>
        </w:rPr>
        <w:t>141</w:t>
      </w:r>
      <w:r w:rsidR="002C50CD">
        <w:fldChar w:fldCharType="end"/>
      </w:r>
    </w:p>
    <w:p w:rsidR="000B78C3" w:rsidRDefault="000B78C3" w:rsidP="002D3837">
      <w:pPr>
        <w:pStyle w:val="ListParagraph"/>
        <w:ind w:left="426"/>
      </w:pPr>
    </w:p>
    <w:p w:rsidR="00FD669E" w:rsidRDefault="009421BA" w:rsidP="00781421">
      <w:pPr>
        <w:pStyle w:val="ListParagraph"/>
        <w:numPr>
          <w:ilvl w:val="0"/>
          <w:numId w:val="5"/>
        </w:numPr>
        <w:ind w:left="426"/>
      </w:pPr>
      <w:r>
        <w:t xml:space="preserve">National data show that </w:t>
      </w:r>
      <w:r w:rsidR="00B16074">
        <w:t xml:space="preserve">in 2013, </w:t>
      </w:r>
      <w:r>
        <w:t xml:space="preserve">daily smokers </w:t>
      </w:r>
      <w:r w:rsidR="00B16074">
        <w:t>were</w:t>
      </w:r>
      <w:r>
        <w:t xml:space="preserve"> twice as likely to have been diagnosed with</w:t>
      </w:r>
      <w:r w:rsidR="00B16074">
        <w:t>,</w:t>
      </w:r>
      <w:r>
        <w:t xml:space="preserve"> or treated for a mental health condition.</w:t>
      </w:r>
      <w:r w:rsidR="00B16074">
        <w:fldChar w:fldCharType="begin"/>
      </w:r>
      <w:r w:rsidR="005B3C51">
        <w:instrText xml:space="preserve"> ADDIN EN.CITE &lt;EndNote&gt;&lt;Cite&gt;&lt;Author&gt;Australian Institute of Health and Welfare&lt;/Author&gt;&lt;Year&gt;2014&lt;/Year&gt;&lt;RecNum&gt;26&lt;/RecNum&gt;&lt;DisplayText&gt;&lt;style face="superscript"&gt;142&lt;/style&gt;&lt;/DisplayText&gt;&lt;record&gt;&lt;rec-number&gt;26&lt;/rec-number&gt;&lt;foreign-keys&gt;&lt;key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Welfare&lt;/publisher&gt;&lt;urls&gt;&lt;related-urls&gt;&lt;url&gt;http://www.aihw.gov.au/WorkArea/DownloadAsset.aspx?id=60129549848&lt;/url&gt;&lt;/related-urls&gt;&lt;/urls&gt;&lt;/record&gt;&lt;/Cite&gt;&lt;Cite&gt;&lt;Author&gt;Australian Institute of Health and Welfare&lt;/Author&gt;&lt;Year&gt;2014&lt;/Year&gt;&lt;RecNum&gt;26&lt;/RecNum&gt;&lt;record&gt;&lt;rec-number&gt;26&lt;/rec-number&gt;&lt;foreign-keys&gt;&lt;key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Welfare&lt;/publisher&gt;&lt;urls&gt;&lt;related-urls&gt;&lt;url&gt;http://www.aihw.gov.au/WorkArea/DownloadAsset.aspx?id=60129549848&lt;/url&gt;&lt;/related-urls&gt;&lt;/urls&gt;&lt;/record&gt;&lt;/Cite&gt;&lt;/EndNote&gt;</w:instrText>
      </w:r>
      <w:r w:rsidR="00B16074">
        <w:fldChar w:fldCharType="separate"/>
      </w:r>
      <w:r w:rsidR="005B3C51" w:rsidRPr="005B3C51">
        <w:rPr>
          <w:noProof/>
          <w:vertAlign w:val="superscript"/>
        </w:rPr>
        <w:t>142</w:t>
      </w:r>
      <w:r w:rsidR="00B16074">
        <w:fldChar w:fldCharType="end"/>
      </w:r>
      <w:r w:rsidR="00B16074">
        <w:t xml:space="preserve"> </w:t>
      </w:r>
    </w:p>
    <w:p w:rsidR="00FD669E" w:rsidRPr="001A199D" w:rsidRDefault="00FD669E" w:rsidP="002D3837">
      <w:pPr>
        <w:pStyle w:val="ListParagraph"/>
        <w:ind w:left="426"/>
      </w:pPr>
    </w:p>
    <w:p w:rsidR="000B78C3" w:rsidRPr="001A199D" w:rsidRDefault="000B78C3" w:rsidP="002D3837">
      <w:pPr>
        <w:pStyle w:val="ListParagraph"/>
        <w:numPr>
          <w:ilvl w:val="0"/>
          <w:numId w:val="6"/>
        </w:numPr>
        <w:ind w:left="426"/>
      </w:pPr>
      <w:r w:rsidRPr="001A199D">
        <w:t>Lower socioeconomic groups</w:t>
      </w:r>
      <w:r w:rsidR="00B0135C">
        <w:t>,</w:t>
      </w:r>
      <w:r w:rsidR="008E4A1B">
        <w:fldChar w:fldCharType="begin"/>
      </w:r>
      <w:r w:rsidR="005B3C51">
        <w:instrText xml:space="preserve"> ADDIN EN.CITE &lt;EndNote&gt;&lt;Cite&gt;&lt;Author&gt;Australian Institute of Health and Welfare&lt;/Author&gt;&lt;Year&gt;2014&lt;/Year&gt;&lt;RecNum&gt;26&lt;/RecNum&gt;&lt;DisplayText&gt;&lt;style face="superscript"&gt;142&lt;/style&gt;&lt;/DisplayText&gt;&lt;record&gt;&lt;rec-number&gt;26&lt;/rec-number&gt;&lt;foreign-keys&gt;&lt;key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Welfare&lt;/publisher&gt;&lt;urls&gt;&lt;related-urls&gt;&lt;url&gt;http://www.aihw.gov.au/WorkArea/DownloadAsset.aspx?id=60129549848&lt;/url&gt;&lt;/related-urls&gt;&lt;/urls&gt;&lt;/record&gt;&lt;/Cite&gt;&lt;Cite&gt;&lt;Author&gt;Australian Institute of Health and Welfare&lt;/Author&gt;&lt;Year&gt;2014&lt;/Year&gt;&lt;RecNum&gt;26&lt;/RecNum&gt;&lt;record&gt;&lt;rec-number&gt;26&lt;/rec-number&gt;&lt;foreign-keys&gt;&lt;key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Welfare&lt;/publisher&gt;&lt;urls&gt;&lt;related-urls&gt;&lt;url&gt;http://www.aihw.gov.au/WorkArea/DownloadAsset.aspx?id=60129549848&lt;/url&gt;&lt;/related-urls&gt;&lt;/urls&gt;&lt;/record&gt;&lt;/Cite&gt;&lt;/EndNote&gt;</w:instrText>
      </w:r>
      <w:r w:rsidR="008E4A1B">
        <w:fldChar w:fldCharType="separate"/>
      </w:r>
      <w:r w:rsidR="005B3C51" w:rsidRPr="005B3C51">
        <w:rPr>
          <w:noProof/>
          <w:vertAlign w:val="superscript"/>
        </w:rPr>
        <w:t>142</w:t>
      </w:r>
      <w:r w:rsidR="008E4A1B">
        <w:fldChar w:fldCharType="end"/>
      </w:r>
      <w:r w:rsidRPr="001A199D">
        <w:t xml:space="preserve"> people who live outside major cities</w:t>
      </w:r>
      <w:r w:rsidR="00FD669E">
        <w:t>,</w:t>
      </w:r>
      <w:r w:rsidR="008E4A1B">
        <w:fldChar w:fldCharType="begin"/>
      </w:r>
      <w:r w:rsidR="005B3C51">
        <w:instrText xml:space="preserve"> ADDIN EN.CITE &lt;EndNote&gt;&lt;Cite&gt;&lt;Author&gt;Australian Institute of Health and Welfare&lt;/Author&gt;&lt;Year&gt;2014&lt;/Year&gt;&lt;RecNum&gt;26&lt;/RecNum&gt;&lt;DisplayText&gt;&lt;style face="superscript"&gt;142&lt;/style&gt;&lt;/DisplayText&gt;&lt;record&gt;&lt;rec-number&gt;26&lt;/rec-number&gt;&lt;foreign-keys&gt;&lt;key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Welfare&lt;/publisher&gt;&lt;urls&gt;&lt;related-urls&gt;&lt;url&gt;http://www.aihw.gov.au/WorkArea/DownloadAsset.aspx?id=60129549848&lt;/url&gt;&lt;/related-urls&gt;&lt;/urls&gt;&lt;/record&gt;&lt;/Cite&gt;&lt;/EndNote&gt;</w:instrText>
      </w:r>
      <w:r w:rsidR="008E4A1B">
        <w:fldChar w:fldCharType="separate"/>
      </w:r>
      <w:r w:rsidR="005B3C51" w:rsidRPr="005B3C51">
        <w:rPr>
          <w:noProof/>
          <w:vertAlign w:val="superscript"/>
        </w:rPr>
        <w:t>142</w:t>
      </w:r>
      <w:r w:rsidR="008E4A1B">
        <w:fldChar w:fldCharType="end"/>
      </w:r>
      <w:r w:rsidRPr="001A199D">
        <w:t xml:space="preserve"> prison inmates</w:t>
      </w:r>
      <w:r w:rsidR="00B0135C">
        <w:t>,</w:t>
      </w:r>
      <w:r w:rsidR="008E4A1B">
        <w:fldChar w:fldCharType="begin"/>
      </w:r>
      <w:r w:rsidR="005B3C51">
        <w:instrText xml:space="preserve"> ADDIN EN.CITE &lt;EndNote&gt;&lt;Cite&gt;&lt;Author&gt;Butler&lt;/Author&gt;&lt;Year&gt;2008&lt;/Year&gt;&lt;RecNum&gt;285&lt;/RecNum&gt;&lt;DisplayText&gt;&lt;style face="superscript"&gt;143&lt;/style&gt;&lt;/DisplayText&gt;&lt;record&gt;&lt;rec-number&gt;285&lt;/rec-number&gt;&lt;foreign-keys&gt;&lt;key app="EN" db-id="zxa00wf2opvf9oeeset50xz7ezpfwre2v20z"&gt;285&lt;/key&gt;&lt;/foreign-keys&gt;&lt;ref-type name="Report"&gt;27&lt;/ref-type&gt;&lt;contributors&gt;&lt;authors&gt;&lt;author&gt;Butler, T&lt;/author&gt;&lt;author&gt;Papanastasiou, C&lt;/author&gt;&lt;/authors&gt;&lt;/contributors&gt;&lt;titles&gt;&lt;title&gt;National Prison Entrants&amp;apos; Bloodborne Virus and Risk Behaviour Survey report, 2004 and 2007&lt;/title&gt;&lt;/titles&gt;&lt;dates&gt;&lt;year&gt;2008&lt;/year&gt;&lt;/dates&gt;&lt;publisher&gt;National Drug Research Institute, Curtin University, and National Centre in HIV Epidemiology and Clinical Research, University of New South Wales&lt;/publisher&gt;&lt;urls&gt;&lt;related-urls&gt;&lt;url&gt;http://ndri.curtin.edu.au/local/docs/pdf/publications/R223.pdf&lt;/url&gt;&lt;/related-urls&gt;&lt;/urls&gt;&lt;/record&gt;&lt;/Cite&gt;&lt;/EndNote&gt;</w:instrText>
      </w:r>
      <w:r w:rsidR="008E4A1B">
        <w:fldChar w:fldCharType="separate"/>
      </w:r>
      <w:r w:rsidR="005B3C51" w:rsidRPr="005B3C51">
        <w:rPr>
          <w:noProof/>
          <w:vertAlign w:val="superscript"/>
        </w:rPr>
        <w:t>143</w:t>
      </w:r>
      <w:r w:rsidR="008E4A1B">
        <w:fldChar w:fldCharType="end"/>
      </w:r>
      <w:r w:rsidRPr="001A199D">
        <w:t xml:space="preserve"> gay, lesbian and bisexual people</w:t>
      </w:r>
      <w:r w:rsidR="00B316E8">
        <w:t>,</w:t>
      </w:r>
      <w:r w:rsidR="008E4A1B">
        <w:fldChar w:fldCharType="begin"/>
      </w:r>
      <w:r w:rsidR="005B3C51">
        <w:instrText xml:space="preserve"> ADDIN EN.CITE &lt;EndNote&gt;&lt;Cite&gt;&lt;Author&gt;Australian Institute of Health and Welfare&lt;/Author&gt;&lt;Year&gt;2014&lt;/Year&gt;&lt;RecNum&gt;26&lt;/RecNum&gt;&lt;DisplayText&gt;&lt;style face="superscript"&gt;142&lt;/style&gt;&lt;/DisplayText&gt;&lt;record&gt;&lt;rec-number&gt;26&lt;/rec-number&gt;&lt;foreign-keys&gt;&lt;key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Welfare&lt;/publisher&gt;&lt;urls&gt;&lt;related-urls&gt;&lt;url&gt;http://www.aihw.gov.au/WorkArea/DownloadAsset.aspx?id=60129549848&lt;/url&gt;&lt;/related-urls&gt;&lt;/urls&gt;&lt;/record&gt;&lt;/Cite&gt;&lt;/EndNote&gt;</w:instrText>
      </w:r>
      <w:r w:rsidR="008E4A1B">
        <w:fldChar w:fldCharType="separate"/>
      </w:r>
      <w:r w:rsidR="005B3C51" w:rsidRPr="005B3C51">
        <w:rPr>
          <w:noProof/>
          <w:vertAlign w:val="superscript"/>
        </w:rPr>
        <w:t>142</w:t>
      </w:r>
      <w:r w:rsidR="008E4A1B">
        <w:fldChar w:fldCharType="end"/>
      </w:r>
      <w:r w:rsidRPr="001A199D">
        <w:t xml:space="preserve"> and some overseas-born communities</w:t>
      </w:r>
      <w:r w:rsidR="008E4A1B">
        <w:fldChar w:fldCharType="begin"/>
      </w:r>
      <w:r w:rsidR="005B3C51">
        <w:instrText xml:space="preserve"> ADDIN EN.CITE &lt;EndNote&gt;&lt;Cite&gt;&lt;Author&gt;Australian Institute of Health and Welfare&lt;/Author&gt;&lt;Year&gt;2013&lt;/Year&gt;&lt;RecNum&gt;1063&lt;/RecNum&gt;&lt;DisplayText&gt;&lt;style face="superscript"&gt;144&lt;/style&gt;&lt;/DisplayText&gt;&lt;record&gt;&lt;rec-number&gt;1063&lt;/rec-number&gt;&lt;foreign-keys&gt;&lt;key app="EN" db-id="zxa00wf2opvf9oeeset50xz7ezpfwre2v20z"&gt;1063&lt;/key&gt;&lt;/foreign-keys&gt;&lt;ref-type name="Report"&gt;27&lt;/ref-type&gt;&lt;contributors&gt;&lt;authors&gt;&lt;author&gt;Australian Institute of Health and Welfare,&lt;/author&gt;&lt;/authors&gt;&lt;/contributors&gt;&lt;titles&gt;&lt;title&gt;National Drug Strategy Household Survey detailed report 2013. Supplementary tables. Specific population groups tables&lt;/title&gt;&lt;/titles&gt;&lt;dates&gt;&lt;year&gt;2013&lt;/year&gt;&lt;/dates&gt;&lt;pub-location&gt;Canberra&lt;/pub-location&gt;&lt;publisher&gt;Australian Institute of Health and Welfare&lt;/publisher&gt;&lt;urls&gt;&lt;related-urls&gt;&lt;url&gt;http://www.aihw.gov.au/publication-detail/?id=%2060129549469&amp;amp;tab=3&lt;/url&gt;&lt;/related-urls&gt;&lt;/urls&gt;&lt;/record&gt;&lt;/Cite&gt;&lt;/EndNote&gt;</w:instrText>
      </w:r>
      <w:r w:rsidR="008E4A1B">
        <w:fldChar w:fldCharType="separate"/>
      </w:r>
      <w:r w:rsidR="005B3C51" w:rsidRPr="005B3C51">
        <w:rPr>
          <w:noProof/>
          <w:vertAlign w:val="superscript"/>
        </w:rPr>
        <w:t>144</w:t>
      </w:r>
      <w:r w:rsidR="008E4A1B">
        <w:fldChar w:fldCharType="end"/>
      </w:r>
      <w:r w:rsidRPr="001A199D">
        <w:t xml:space="preserve"> also have a higher prevalence of smoking than the general population.</w:t>
      </w:r>
    </w:p>
    <w:p w:rsidR="000B78C3" w:rsidRPr="001A199D" w:rsidRDefault="000B78C3" w:rsidP="002D3837">
      <w:pPr>
        <w:pStyle w:val="ListParagraph"/>
        <w:ind w:left="426"/>
      </w:pPr>
    </w:p>
    <w:p w:rsidR="000B78C3" w:rsidRPr="007A4435" w:rsidRDefault="000B78C3" w:rsidP="002D3837">
      <w:pPr>
        <w:pStyle w:val="ListParagraph"/>
        <w:numPr>
          <w:ilvl w:val="0"/>
          <w:numId w:val="6"/>
        </w:numPr>
        <w:ind w:left="426"/>
      </w:pPr>
      <w:r w:rsidRPr="001A199D">
        <w:t>In WA in 2013, 1</w:t>
      </w:r>
      <w:r w:rsidR="00B316E8">
        <w:t>1</w:t>
      </w:r>
      <w:r w:rsidRPr="001A199D">
        <w:t xml:space="preserve">% of women reported smoking during the first 20 weeks of </w:t>
      </w:r>
      <w:r w:rsidRPr="007A4435">
        <w:t>pregnancy, and 9% reported smoking after the first 20 weeks of pregnancy. Prevalence of smoking during pregnancy is higher in some groups, including Aboriginal women, younger women, and women who are disadvantaged.</w:t>
      </w:r>
      <w:r w:rsidR="008E4A1B">
        <w:fldChar w:fldCharType="begin"/>
      </w:r>
      <w:r w:rsidR="005B3C51">
        <w:instrText xml:space="preserve"> ADDIN EN.CITE &lt;EndNote&gt;&lt;Cite&gt;&lt;Author&gt;Australian Institute of Health and Welfare&lt;/Author&gt;&lt;Year&gt;2015&lt;/Year&gt;&lt;RecNum&gt;1057&lt;/RecNum&gt;&lt;DisplayText&gt;&lt;style face="superscript"&gt;145&lt;/style&gt;&lt;/DisplayText&gt;&lt;record&gt;&lt;rec-number&gt;1057&lt;/rec-number&gt;&lt;foreign-keys&gt;&lt;key app="EN" db-id="zxa00wf2opvf9oeeset50xz7ezpfwre2v20z"&gt;1057&lt;/key&gt;&lt;/foreign-keys&gt;&lt;ref-type name="Report"&gt;27&lt;/ref-type&gt;&lt;contributors&gt;&lt;authors&gt;&lt;author&gt;Australian Institute of Health and Welfare,&lt;/author&gt;&lt;/authors&gt;&lt;/contributors&gt;&lt;titles&gt;&lt;title&gt;Perinatal data portal. Smoking&lt;/title&gt;&lt;/titles&gt;&lt;dates&gt;&lt;year&gt;2015&lt;/year&gt;&lt;/dates&gt;&lt;pub-location&gt;Canberra&lt;/pub-location&gt;&lt;publisher&gt;Australian Institute of Health and Welfare&lt;/publisher&gt;&lt;urls&gt;&lt;/urls&gt;&lt;/record&gt;&lt;/Cite&gt;&lt;/EndNote&gt;</w:instrText>
      </w:r>
      <w:r w:rsidR="008E4A1B">
        <w:fldChar w:fldCharType="separate"/>
      </w:r>
      <w:r w:rsidR="005B3C51" w:rsidRPr="005B3C51">
        <w:rPr>
          <w:noProof/>
          <w:vertAlign w:val="superscript"/>
        </w:rPr>
        <w:t>145</w:t>
      </w:r>
      <w:r w:rsidR="008E4A1B">
        <w:fldChar w:fldCharType="end"/>
      </w:r>
      <w:r w:rsidR="00F41F38" w:rsidRPr="007A4435">
        <w:t xml:space="preserve"> </w:t>
      </w:r>
    </w:p>
    <w:p w:rsidR="000B78C3" w:rsidRPr="007A4435" w:rsidRDefault="000B78C3" w:rsidP="002D3837">
      <w:pPr>
        <w:pStyle w:val="ListParagraph"/>
        <w:ind w:left="426"/>
      </w:pPr>
    </w:p>
    <w:p w:rsidR="000B78C3" w:rsidRPr="0015353E" w:rsidRDefault="000B78C3" w:rsidP="002D3837">
      <w:pPr>
        <w:pStyle w:val="ListParagraph"/>
        <w:numPr>
          <w:ilvl w:val="0"/>
          <w:numId w:val="6"/>
        </w:numPr>
        <w:ind w:left="426"/>
      </w:pPr>
      <w:r w:rsidRPr="0015353E">
        <w:t>Most homes in WA are smoke-free. In 201</w:t>
      </w:r>
      <w:r w:rsidR="00E62C65" w:rsidRPr="0015353E">
        <w:t>5</w:t>
      </w:r>
      <w:r w:rsidRPr="0015353E">
        <w:t>, only 2% of adults reported smoking in their home on a frequent basis,</w:t>
      </w:r>
      <w:r w:rsidR="008E4A1B" w:rsidRPr="0015353E">
        <w:fldChar w:fldCharType="begin"/>
      </w:r>
      <w:r w:rsidR="009F7E7C" w:rsidRPr="0015353E">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rsidRPr="0015353E">
        <w:fldChar w:fldCharType="separate"/>
      </w:r>
      <w:r w:rsidR="009F7E7C" w:rsidRPr="0015353E">
        <w:rPr>
          <w:noProof/>
          <w:vertAlign w:val="superscript"/>
        </w:rPr>
        <w:t>20</w:t>
      </w:r>
      <w:r w:rsidR="008E4A1B" w:rsidRPr="0015353E">
        <w:fldChar w:fldCharType="end"/>
      </w:r>
      <w:r w:rsidRPr="0015353E">
        <w:t xml:space="preserve"> and </w:t>
      </w:r>
      <w:r w:rsidR="00477EBE" w:rsidRPr="0015353E">
        <w:t>between 2002 and 2014 the prevalence of children</w:t>
      </w:r>
      <w:r w:rsidR="00F00780" w:rsidRPr="0015353E">
        <w:t xml:space="preserve"> aged 15 and under</w:t>
      </w:r>
      <w:r w:rsidR="00477EBE" w:rsidRPr="0015353E">
        <w:t xml:space="preserve"> living in a smoke-free house increased from 91% to </w:t>
      </w:r>
      <w:r w:rsidRPr="0015353E">
        <w:t>99%.</w:t>
      </w:r>
      <w:r w:rsidR="008E4A1B" w:rsidRPr="0015353E">
        <w:fldChar w:fldCharType="begin"/>
      </w:r>
      <w:r w:rsidR="009F7E7C" w:rsidRPr="0015353E">
        <w:instrText xml:space="preserve"> ADDIN EN.CITE &lt;EndNote&gt;&lt;Cite&gt;&lt;Author&gt;Tomlin&lt;/Author&gt;&lt;Year&gt;2015&lt;/Year&gt;&lt;RecNum&gt;1041&lt;/RecNum&gt;&lt;DisplayText&gt;&lt;style face="superscript"&gt;21&lt;/style&gt;&lt;/DisplayText&gt;&lt;record&gt;&lt;rec-number&gt;1041&lt;/rec-number&gt;&lt;foreign-keys&gt;&lt;key app="EN" db-id="zxa00wf2opvf9oeeset50xz7ezpfwre2v20z"&gt;1041&lt;/key&gt;&lt;/foreign-keys&gt;&lt;ref-type name="Report"&gt;27&lt;/ref-type&gt;&lt;contributors&gt;&lt;authors&gt;&lt;author&gt;Tomlin, S., &lt;/author&gt;&lt;author&gt;Radomiljac, A.,&lt;/author&gt;&lt;author&gt;Kay, A. &lt;/author&gt;&lt;/authors&gt;&lt;secondary-authors&gt;&lt;author&gt;Department of Health, Western Australia.&lt;/author&gt;&lt;/secondary-authors&gt;&lt;/contributors&gt;&lt;titles&gt;&lt;title&gt;Health and wellbeing of children in Western Australia in 2014, overview and trends&lt;/title&gt;&lt;/titles&gt;&lt;dates&gt;&lt;year&gt;2015&lt;/year&gt;&lt;/dates&gt;&lt;pub-location&gt;Perth&lt;/pub-location&gt;&lt;publisher&gt;Department of Health, Western Australia&lt;/publisher&gt;&lt;urls&gt;&lt;related-urls&gt;&lt;url&gt;http://ww2.health.wa.gov.au/~/media/Files/Corporate/Reports%20and%20publications/Population%20surveys/Health-wellbeing-Children-WA-2014-OandT.ashx&lt;/url&gt;&lt;/related-urls&gt;&lt;/urls&gt;&lt;/record&gt;&lt;/Cite&gt;&lt;/EndNote&gt;</w:instrText>
      </w:r>
      <w:r w:rsidR="008E4A1B" w:rsidRPr="0015353E">
        <w:fldChar w:fldCharType="separate"/>
      </w:r>
      <w:r w:rsidR="009F7E7C" w:rsidRPr="0015353E">
        <w:rPr>
          <w:noProof/>
          <w:vertAlign w:val="superscript"/>
        </w:rPr>
        <w:t>21</w:t>
      </w:r>
      <w:r w:rsidR="008E4A1B" w:rsidRPr="0015353E">
        <w:fldChar w:fldCharType="end"/>
      </w:r>
      <w:r w:rsidR="00C91317" w:rsidRPr="0015353E">
        <w:t xml:space="preserve"> </w:t>
      </w:r>
    </w:p>
    <w:p w:rsidR="000B78C3" w:rsidRPr="001A199D" w:rsidRDefault="000B78C3" w:rsidP="002D3837">
      <w:pPr>
        <w:pStyle w:val="ListParagraph"/>
        <w:ind w:left="426"/>
      </w:pPr>
    </w:p>
    <w:p w:rsidR="000B78C3" w:rsidRDefault="000B78C3" w:rsidP="002D3837">
      <w:pPr>
        <w:pStyle w:val="ListParagraph"/>
        <w:numPr>
          <w:ilvl w:val="0"/>
          <w:numId w:val="6"/>
        </w:numPr>
        <w:ind w:left="426" w:hanging="357"/>
      </w:pPr>
      <w:r w:rsidRPr="001A199D">
        <w:t>In Australia in 2004</w:t>
      </w:r>
      <w:r w:rsidR="00735DC5">
        <w:t>–</w:t>
      </w:r>
      <w:r w:rsidRPr="001A199D">
        <w:t xml:space="preserve">05, there were over 40 deaths in infants </w:t>
      </w:r>
      <w:r w:rsidR="00735DC5">
        <w:t>exposed</w:t>
      </w:r>
      <w:r w:rsidRPr="001A199D">
        <w:t xml:space="preserve"> to maternal smoking.</w:t>
      </w:r>
      <w:r w:rsidR="008E4A1B">
        <w:fldChar w:fldCharType="begin"/>
      </w:r>
      <w:r w:rsidR="005B3C51">
        <w:instrText xml:space="preserve"> ADDIN EN.CITE &lt;EndNote&gt;&lt;Cite ExcludeYear="1"&gt;&lt;Author&gt;Winstanley&lt;/Author&gt;&lt;RecNum&gt;924&lt;/RecNum&gt;&lt;DisplayText&gt;&lt;style face="superscript"&gt;146&lt;/style&gt;&lt;/DisplayText&gt;&lt;record&gt;&lt;rec-number&gt;924&lt;/rec-number&gt;&lt;foreign-keys&gt;&lt;key app="EN" db-id="zxa00wf2opvf9oeeset50xz7ezpfwre2v20z"&gt;924&lt;/key&gt;&lt;/foreign-keys&gt;&lt;ref-type name="Book Section"&gt;5&lt;/ref-type&gt;&lt;contributors&gt;&lt;authors&gt;&lt;author&gt;Winstanley, M&lt;/author&gt;&lt;/authors&gt;&lt;secondary-authors&gt;&lt;author&gt;Winstanley, M&lt;/author&gt;&lt;author&gt;Scollo, M&lt;/author&gt;&lt;/secondary-authors&gt;&lt;/contributors&gt;&lt;titles&gt;&lt;title&gt;Chapter 3 . The health effects of active smoking&lt;/title&gt;&lt;secondary-title&gt;Tobacco in Australia: facts and issues&lt;/secondary-title&gt;&lt;/titles&gt;&lt;dates&gt;&lt;/dates&gt;&lt;pub-location&gt;Melbourne&lt;/pub-location&gt;&lt;publisher&gt;Cancer Council Victoria&lt;/publisher&gt;&lt;urls&gt;&lt;related-urls&gt;&lt;url&gt;http://www.tobaccoinaustralia.org.au/chapter-3-health-effects&lt;/url&gt;&lt;/related-urls&gt;&lt;/urls&gt;&lt;/record&gt;&lt;/Cite&gt;&lt;/EndNote&gt;</w:instrText>
      </w:r>
      <w:r w:rsidR="008E4A1B">
        <w:fldChar w:fldCharType="separate"/>
      </w:r>
      <w:r w:rsidR="005B3C51" w:rsidRPr="005B3C51">
        <w:rPr>
          <w:noProof/>
          <w:vertAlign w:val="superscript"/>
        </w:rPr>
        <w:t>146</w:t>
      </w:r>
      <w:r w:rsidR="008E4A1B">
        <w:fldChar w:fldCharType="end"/>
      </w:r>
    </w:p>
    <w:p w:rsidR="007031A2" w:rsidRDefault="007031A2" w:rsidP="007031A2">
      <w:pPr>
        <w:pStyle w:val="ListParagraph"/>
      </w:pPr>
    </w:p>
    <w:p w:rsidR="007031A2" w:rsidRPr="001A199D" w:rsidRDefault="007031A2" w:rsidP="002D3837">
      <w:pPr>
        <w:pStyle w:val="ListParagraph"/>
        <w:numPr>
          <w:ilvl w:val="0"/>
          <w:numId w:val="6"/>
        </w:numPr>
        <w:ind w:left="426" w:hanging="357"/>
      </w:pPr>
      <w:r>
        <w:t>In WA in 2009</w:t>
      </w:r>
      <w:r w:rsidR="00D44A08">
        <w:t>–</w:t>
      </w:r>
      <w:r>
        <w:t xml:space="preserve">10, </w:t>
      </w:r>
      <w:r w:rsidR="00D44A08">
        <w:t xml:space="preserve">it is estimated that </w:t>
      </w:r>
      <w:r>
        <w:t xml:space="preserve">1,420 deaths were attributable to </w:t>
      </w:r>
      <w:r w:rsidR="00D44A08">
        <w:t xml:space="preserve">tobacco </w:t>
      </w:r>
      <w:r>
        <w:lastRenderedPageBreak/>
        <w:t>smoking.</w:t>
      </w:r>
      <w:r w:rsidR="0099210E">
        <w:t xml:space="preserve"> </w:t>
      </w:r>
      <w:r>
        <w:t>Eleven of these deaths occurred in people exposed to secondhand smoke.</w:t>
      </w:r>
      <w:r w:rsidR="00B639C2">
        <w:fldChar w:fldCharType="begin"/>
      </w:r>
      <w:r w:rsidR="00547316">
        <w:instrText xml:space="preserve"> ADDIN EN.CITE &lt;EndNote&gt;&lt;Cite&gt;&lt;Author&gt;Collins&lt;/Author&gt;&lt;Year&gt;2014&lt;/Year&gt;&lt;RecNum&gt;339&lt;/RecNum&gt;&lt;DisplayText&gt;&lt;style face="superscript"&gt;35&lt;/style&gt;&lt;/DisplayText&gt;&lt;record&gt;&lt;rec-number&gt;339&lt;/rec-number&gt;&lt;foreign-keys&gt;&lt;key app="EN" db-id="zxa00wf2opvf9oeeset50xz7ezpfwre2v20z"&gt;339&lt;/key&gt;&lt;/foreign-keys&gt;&lt;ref-type name="Report"&gt;27&lt;/ref-type&gt;&lt;contributors&gt;&lt;authors&gt;&lt;author&gt;Collins, D&lt;/author&gt;&lt;author&gt;Lapsley, H&lt;/author&gt;&lt;/authors&gt;&lt;/contributors&gt;&lt;titles&gt;&lt;title&gt;The social costs of smoking in Western Australia in 2009/10 and the social benefits of public policy measures to reduce smoking prevalence&lt;/title&gt;&lt;/titles&gt;&lt;dates&gt;&lt;year&gt;2014&lt;/year&gt;&lt;/dates&gt;&lt;pub-location&gt;Perth&lt;/pub-location&gt;&lt;publisher&gt;Cancer Council Western Australia&lt;/publisher&gt;&lt;urls&gt;&lt;related-urls&gt;&lt;url&gt;http://www.cancerwa.asn.au/resources/2014-10-28-Social-Costs-of-Smoking-Final.pdf&lt;/url&gt;&lt;/related-urls&gt;&lt;/urls&gt;&lt;/record&gt;&lt;/Cite&gt;&lt;/EndNote&gt;</w:instrText>
      </w:r>
      <w:r w:rsidR="00B639C2">
        <w:fldChar w:fldCharType="separate"/>
      </w:r>
      <w:r w:rsidR="00547316" w:rsidRPr="00547316">
        <w:rPr>
          <w:noProof/>
          <w:vertAlign w:val="superscript"/>
        </w:rPr>
        <w:t>35</w:t>
      </w:r>
      <w:r w:rsidR="00B639C2">
        <w:fldChar w:fldCharType="end"/>
      </w:r>
      <w:r>
        <w:t xml:space="preserve"> </w:t>
      </w:r>
    </w:p>
    <w:p w:rsidR="000B78C3" w:rsidRPr="001A199D" w:rsidRDefault="000B78C3" w:rsidP="002D3837">
      <w:pPr>
        <w:pStyle w:val="ListParagraph"/>
        <w:ind w:left="426"/>
      </w:pPr>
    </w:p>
    <w:p w:rsidR="000B78C3" w:rsidRDefault="000B78C3" w:rsidP="002D3837">
      <w:pPr>
        <w:pStyle w:val="ListParagraph"/>
        <w:numPr>
          <w:ilvl w:val="0"/>
          <w:numId w:val="6"/>
        </w:numPr>
        <w:ind w:left="426"/>
      </w:pPr>
      <w:r w:rsidRPr="001A199D">
        <w:t xml:space="preserve">Tobacco was responsible for </w:t>
      </w:r>
      <w:r w:rsidR="00FA6155">
        <w:t>9</w:t>
      </w:r>
      <w:r w:rsidRPr="001A199D">
        <w:t>% of the total burden of disease in 20</w:t>
      </w:r>
      <w:r w:rsidR="00FA6155">
        <w:t>11 in Australia</w:t>
      </w:r>
      <w:r w:rsidRPr="001A199D">
        <w:t xml:space="preserve">. Most of the disease burden was due to </w:t>
      </w:r>
      <w:r w:rsidR="00B741BB">
        <w:t>respiratory diseases and cancers.</w:t>
      </w:r>
      <w:r w:rsidR="00A44859">
        <w:fldChar w:fldCharType="begin"/>
      </w:r>
      <w:r w:rsidR="00A44859">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A44859">
        <w:fldChar w:fldCharType="separate"/>
      </w:r>
      <w:r w:rsidR="00A44859" w:rsidRPr="00A44859">
        <w:rPr>
          <w:noProof/>
          <w:vertAlign w:val="superscript"/>
        </w:rPr>
        <w:t>2</w:t>
      </w:r>
      <w:r w:rsidR="00A44859">
        <w:fldChar w:fldCharType="end"/>
      </w:r>
    </w:p>
    <w:p w:rsidR="00255EF3" w:rsidRDefault="00255EF3" w:rsidP="00255EF3">
      <w:pPr>
        <w:pStyle w:val="ListParagraph"/>
      </w:pPr>
    </w:p>
    <w:p w:rsidR="00255EF3" w:rsidRDefault="00255EF3" w:rsidP="00255EF3">
      <w:pPr>
        <w:pStyle w:val="ListParagraph"/>
        <w:ind w:left="426"/>
      </w:pPr>
    </w:p>
    <w:p w:rsidR="005D699E" w:rsidRDefault="005D699E" w:rsidP="007A67CD">
      <w:pPr>
        <w:rPr>
          <w:rFonts w:eastAsiaTheme="majorEastAsia"/>
        </w:rPr>
      </w:pPr>
    </w:p>
    <w:p w:rsidR="000B78C3" w:rsidRDefault="000B78C3" w:rsidP="00154C32">
      <w:pPr>
        <w:pStyle w:val="Heading2"/>
      </w:pPr>
      <w:bookmarkStart w:id="44" w:name="_Toc462049332"/>
      <w:r w:rsidRPr="001A199D">
        <w:t xml:space="preserve">Priorities for </w:t>
      </w:r>
      <w:r w:rsidR="00455139">
        <w:t>making smoking history</w:t>
      </w:r>
      <w:r w:rsidRPr="001A199D">
        <w:t xml:space="preserve"> in WA</w:t>
      </w:r>
      <w:bookmarkEnd w:id="44"/>
    </w:p>
    <w:p w:rsidR="00154C32" w:rsidRPr="00154C32" w:rsidRDefault="00154C32" w:rsidP="00154C32"/>
    <w:p w:rsidR="000B78C3" w:rsidRPr="00EA2C21" w:rsidRDefault="000B78C3" w:rsidP="00154C32">
      <w:pPr>
        <w:rPr>
          <w:rFonts w:eastAsia="Arial"/>
          <w:color w:val="808080" w:themeColor="background1" w:themeShade="80"/>
          <w:sz w:val="28"/>
          <w:szCs w:val="28"/>
        </w:rPr>
      </w:pPr>
      <w:r w:rsidRPr="00EA2C21">
        <w:rPr>
          <w:rFonts w:eastAsia="Arial"/>
          <w:color w:val="808080" w:themeColor="background1" w:themeShade="80"/>
          <w:sz w:val="28"/>
          <w:szCs w:val="28"/>
        </w:rPr>
        <w:t>Continue</w:t>
      </w:r>
      <w:r w:rsidR="007C08A8" w:rsidRPr="00EA2C21">
        <w:rPr>
          <w:rFonts w:eastAsia="Arial"/>
          <w:color w:val="808080" w:themeColor="background1" w:themeShade="80"/>
          <w:sz w:val="28"/>
          <w:szCs w:val="28"/>
        </w:rPr>
        <w:t xml:space="preserve"> efforts</w:t>
      </w:r>
      <w:r w:rsidRPr="00EA2C21">
        <w:rPr>
          <w:rFonts w:eastAsia="Arial"/>
          <w:color w:val="808080" w:themeColor="background1" w:themeShade="80"/>
          <w:sz w:val="28"/>
          <w:szCs w:val="28"/>
        </w:rPr>
        <w:t xml:space="preserve"> to </w:t>
      </w:r>
      <w:r w:rsidR="007E766B" w:rsidRPr="00EA2C21">
        <w:rPr>
          <w:rFonts w:eastAsia="Arial"/>
          <w:color w:val="808080" w:themeColor="background1" w:themeShade="80"/>
          <w:sz w:val="28"/>
          <w:szCs w:val="28"/>
        </w:rPr>
        <w:t>lower smoking rates</w:t>
      </w:r>
    </w:p>
    <w:p w:rsidR="00B533E3" w:rsidRDefault="00B533E3" w:rsidP="000B78C3"/>
    <w:p w:rsidR="000B78C3" w:rsidRDefault="000B78C3" w:rsidP="000B78C3">
      <w:r w:rsidRPr="00AA5887">
        <w:t xml:space="preserve">Although there has been significant progress made in </w:t>
      </w:r>
      <w:r w:rsidR="00006D91">
        <w:t xml:space="preserve">reducing the prevalence of </w:t>
      </w:r>
      <w:r w:rsidRPr="00AA5887">
        <w:t xml:space="preserve"> tobacco </w:t>
      </w:r>
      <w:r w:rsidR="001214D1">
        <w:t>use</w:t>
      </w:r>
      <w:r w:rsidRPr="00AA5887">
        <w:t xml:space="preserve"> in </w:t>
      </w:r>
      <w:r w:rsidR="007D0F9E">
        <w:t>WA</w:t>
      </w:r>
      <w:r w:rsidRPr="00AA5887">
        <w:t xml:space="preserve">, smoking continues to have a major impact on public health. The greatest burden of tobacco-caused death and disease occurs among some of the most disadvantaged groups in </w:t>
      </w:r>
      <w:r w:rsidR="006913FE">
        <w:t>the</w:t>
      </w:r>
      <w:r w:rsidRPr="00AA5887">
        <w:t xml:space="preserve"> community. </w:t>
      </w:r>
    </w:p>
    <w:p w:rsidR="00F943BE" w:rsidRPr="00AA5887" w:rsidRDefault="00F943BE" w:rsidP="000B78C3"/>
    <w:p w:rsidR="000B78C3" w:rsidRPr="00AA5887" w:rsidRDefault="000B78C3" w:rsidP="000B78C3">
      <w:r w:rsidRPr="00AA5887">
        <w:t>Encouraging and supporting smokers to quit, and discouraging non-smokers from taking up tobacco use, are primary objectives of tobacco control. Quitting smoking at any age results in immediate health benefits, irrespective of how long a person has been smoking.</w:t>
      </w:r>
    </w:p>
    <w:p w:rsidR="000B78C3" w:rsidRPr="00AA5887" w:rsidRDefault="000B78C3" w:rsidP="000B78C3"/>
    <w:p w:rsidR="004065AF" w:rsidRPr="003D1832" w:rsidRDefault="000B78C3" w:rsidP="003C14F4">
      <w:pPr>
        <w:widowControl/>
        <w:autoSpaceDE w:val="0"/>
        <w:autoSpaceDN w:val="0"/>
        <w:adjustRightInd w:val="0"/>
      </w:pPr>
      <w:r w:rsidRPr="00AA5887">
        <w:t xml:space="preserve">Decades of experience gained from tobacco control in Australia and internationally have provided clear direction about best practice in reducing the prevalence of </w:t>
      </w:r>
      <w:r w:rsidRPr="003D1832">
        <w:t>smoking.</w:t>
      </w:r>
      <w:r w:rsidR="0099210E" w:rsidRPr="003D1832">
        <w:t xml:space="preserve"> </w:t>
      </w:r>
      <w:r w:rsidRPr="003D1832">
        <w:t>The comprehensive approach required to reduce tobacco-related harm has been articulated by the National Preventative Health Taskforce</w:t>
      </w:r>
      <w:r w:rsidR="006913FE" w:rsidRPr="003D1832">
        <w:t>,</w:t>
      </w:r>
      <w:r w:rsidR="008E4A1B" w:rsidRPr="003D1832">
        <w:fldChar w:fldCharType="begin"/>
      </w:r>
      <w:r w:rsidR="00547316">
        <w:instrText xml:space="preserve"> ADDIN EN.CITE &lt;EndNote&gt;&lt;Cite&gt;&lt;Author&gt;National Preventative Health Taskforce&lt;/Author&gt;&lt;Year&gt;2009&lt;/Year&gt;&lt;RecNum&gt;679&lt;/RecNum&gt;&lt;DisplayText&gt;&lt;style face="superscript"&gt;51&lt;/style&gt;&lt;/DisplayText&gt;&lt;record&gt;&lt;rec-number&gt;679&lt;/rec-number&gt;&lt;foreign-keys&gt;&lt;key app="EN" db-id="zxa00wf2opvf9oeeset50xz7ezpfwre2v20z"&gt;679&lt;/key&gt;&lt;/foreign-keys&gt;&lt;ref-type name="Report"&gt;27&lt;/ref-type&gt;&lt;contributors&gt;&lt;authors&gt;&lt;author&gt;National Preventative Health Taskforce,&lt;/author&gt;&lt;/authors&gt;&lt;/contributors&gt;&lt;titles&gt;&lt;title&gt;Australia:  the healthiest country by 2020.  National Preventative Health Strategy - the roadmap for action&lt;/title&gt;&lt;/titles&gt;&lt;dates&gt;&lt;year&gt;2009&lt;/year&gt;&lt;/dates&gt;&lt;pub-location&gt;Canberra&lt;/pub-location&gt;&lt;publisher&gt;Commonwealth of Australia&lt;/publisher&gt;&lt;urls&gt;&lt;related-urls&gt;&lt;url&gt;http://www.health.gov.au/internet/preventativehealth/publishing.nsf/content/a06c2fcf439ecda1ca2574dd0081e40c/$file/discussion-28oct.pdf&lt;/url&gt;&lt;/related-urls&gt;&lt;/urls&gt;&lt;access-date&gt;June 2010&lt;/access-date&gt;&lt;/record&gt;&lt;/Cite&gt;&lt;/EndNote&gt;</w:instrText>
      </w:r>
      <w:r w:rsidR="008E4A1B" w:rsidRPr="003D1832">
        <w:fldChar w:fldCharType="separate"/>
      </w:r>
      <w:r w:rsidR="00547316" w:rsidRPr="00547316">
        <w:rPr>
          <w:noProof/>
          <w:vertAlign w:val="superscript"/>
        </w:rPr>
        <w:t>51</w:t>
      </w:r>
      <w:r w:rsidR="008E4A1B" w:rsidRPr="003D1832">
        <w:fldChar w:fldCharType="end"/>
      </w:r>
      <w:r w:rsidR="0005746C" w:rsidRPr="003D1832">
        <w:t xml:space="preserve"> </w:t>
      </w:r>
      <w:r w:rsidRPr="003D1832">
        <w:t xml:space="preserve">the </w:t>
      </w:r>
      <w:r w:rsidRPr="003D1832">
        <w:rPr>
          <w:i/>
        </w:rPr>
        <w:t>Nati</w:t>
      </w:r>
      <w:r w:rsidR="00F943BE" w:rsidRPr="003D1832">
        <w:rPr>
          <w:i/>
        </w:rPr>
        <w:t>onal Tobacco Strategy 2012–2018</w:t>
      </w:r>
      <w:r w:rsidR="00CF255B" w:rsidRPr="003D1832">
        <w:rPr>
          <w:i/>
        </w:rPr>
        <w:t xml:space="preserve"> </w:t>
      </w:r>
      <w:r w:rsidR="00CF255B" w:rsidRPr="003D1832">
        <w:t>(NTS)</w:t>
      </w:r>
      <w:r w:rsidR="006913FE" w:rsidRPr="003D1832">
        <w:t>,</w:t>
      </w:r>
      <w:r w:rsidR="008E4A1B" w:rsidRPr="003D1832">
        <w:fldChar w:fldCharType="begin"/>
      </w:r>
      <w:r w:rsidR="005B3C51">
        <w:instrText xml:space="preserve"> ADDIN EN.CITE &lt;EndNote&gt;&lt;Cite&gt;&lt;Author&gt;Intergovernmental Committee on Drugs&lt;/Author&gt;&lt;Year&gt;2012&lt;/Year&gt;&lt;RecNum&gt;544&lt;/RecNum&gt;&lt;DisplayText&gt;&lt;style face="superscript"&gt;147&lt;/style&gt;&lt;/DisplayText&gt;&lt;record&gt;&lt;rec-number&gt;544&lt;/rec-number&gt;&lt;foreign-keys&gt;&lt;key app="EN" db-id="zxa00wf2opvf9oeeset50xz7ezpfwre2v20z"&gt;544&lt;/key&gt;&lt;/foreign-keys&gt;&lt;ref-type name="Report"&gt;27&lt;/ref-type&gt;&lt;contributors&gt;&lt;authors&gt;&lt;author&gt;Intergovernmental Committee on Drugs,&lt;/author&gt;&lt;/authors&gt;&lt;/contributors&gt;&lt;titles&gt;&lt;title&gt;National Tobacco Strategy 2012–2018&lt;/title&gt;&lt;/titles&gt;&lt;dates&gt;&lt;year&gt;2012&lt;/year&gt;&lt;/dates&gt;&lt;pub-location&gt;Canberra&lt;/pub-location&gt;&lt;publisher&gt;Department of Health and Ageing&lt;/publisher&gt;&lt;urls&gt;&lt;related-urls&gt;&lt;url&gt;http://www.nationaldrugstrategy.gov.au/internet/drugstrategy/publishing.nsf/Content/national_ts_2012_2018&lt;/url&gt;&lt;/related-urls&gt;&lt;/urls&gt;&lt;/record&gt;&lt;/Cite&gt;&lt;/EndNote&gt;</w:instrText>
      </w:r>
      <w:r w:rsidR="008E4A1B" w:rsidRPr="003D1832">
        <w:fldChar w:fldCharType="separate"/>
      </w:r>
      <w:r w:rsidR="005B3C51" w:rsidRPr="005B3C51">
        <w:rPr>
          <w:noProof/>
          <w:vertAlign w:val="superscript"/>
        </w:rPr>
        <w:t>147</w:t>
      </w:r>
      <w:r w:rsidR="008E4A1B" w:rsidRPr="003D1832">
        <w:fldChar w:fldCharType="end"/>
      </w:r>
      <w:r w:rsidR="00925728" w:rsidRPr="003D1832">
        <w:t xml:space="preserve"> </w:t>
      </w:r>
      <w:r w:rsidR="006913FE" w:rsidRPr="003D1832">
        <w:t xml:space="preserve">and </w:t>
      </w:r>
      <w:r w:rsidR="004065AF" w:rsidRPr="003D1832">
        <w:t xml:space="preserve">in </w:t>
      </w:r>
      <w:r w:rsidR="006913FE" w:rsidRPr="003D1832">
        <w:t xml:space="preserve">the </w:t>
      </w:r>
      <w:r w:rsidR="00B017F1" w:rsidRPr="003D1832">
        <w:t>World Health Organization’s</w:t>
      </w:r>
      <w:r w:rsidR="00B017F1" w:rsidRPr="003D1832">
        <w:rPr>
          <w:i/>
        </w:rPr>
        <w:t xml:space="preserve"> Framework Convention on Tobacco Control</w:t>
      </w:r>
      <w:r w:rsidR="00B017F1" w:rsidRPr="003D1832">
        <w:fldChar w:fldCharType="begin"/>
      </w:r>
      <w:r w:rsidR="005B3C51">
        <w:instrText xml:space="preserve"> ADDIN EN.CITE &lt;EndNote&gt;&lt;Cite&gt;&lt;Author&gt;World Health Organization&lt;/Author&gt;&lt;Year&gt;2003&lt;/Year&gt;&lt;RecNum&gt;938&lt;/RecNum&gt;&lt;DisplayText&gt;&lt;style face="superscript"&gt;148&lt;/style&gt;&lt;/DisplayText&gt;&lt;record&gt;&lt;rec-number&gt;938&lt;/rec-number&gt;&lt;foreign-keys&gt;&lt;key app="EN" db-id="zxa00wf2opvf9oeeset50xz7ezpfwre2v20z"&gt;938&lt;/key&gt;&lt;/foreign-keys&gt;&lt;ref-type name="Report"&gt;27&lt;/ref-type&gt;&lt;contributors&gt;&lt;authors&gt;&lt;author&gt;World Health Organization,&lt;/author&gt;&lt;/authors&gt;&lt;/contributors&gt;&lt;titles&gt;&lt;title&gt;Framework Convention on Tobacco Control&lt;/title&gt;&lt;/titles&gt;&lt;dates&gt;&lt;year&gt;2003&lt;/year&gt;&lt;/dates&gt;&lt;pub-location&gt;Geneva&lt;/pub-location&gt;&lt;publisher&gt;World Health Organization&lt;/publisher&gt;&lt;urls&gt;&lt;related-urls&gt;&lt;url&gt;http://www.who.int/fctc/text_download/en/index.html&lt;/url&gt;&lt;/related-urls&gt;&lt;/urls&gt;&lt;/record&gt;&lt;/Cite&gt;&lt;/EndNote&gt;</w:instrText>
      </w:r>
      <w:r w:rsidR="00B017F1" w:rsidRPr="003D1832">
        <w:fldChar w:fldCharType="separate"/>
      </w:r>
      <w:r w:rsidR="005B3C51" w:rsidRPr="005B3C51">
        <w:rPr>
          <w:noProof/>
          <w:vertAlign w:val="superscript"/>
        </w:rPr>
        <w:t>148</w:t>
      </w:r>
      <w:r w:rsidR="00B017F1" w:rsidRPr="003D1832">
        <w:fldChar w:fldCharType="end"/>
      </w:r>
      <w:r w:rsidR="00B017F1" w:rsidRPr="003D1832">
        <w:t xml:space="preserve"> (WHO FCTC), </w:t>
      </w:r>
      <w:r w:rsidR="004065AF" w:rsidRPr="003D1832">
        <w:t xml:space="preserve">to which Australia is a signatory. </w:t>
      </w:r>
    </w:p>
    <w:p w:rsidR="004065AF" w:rsidRPr="003D1832" w:rsidRDefault="004065AF" w:rsidP="003C14F4">
      <w:pPr>
        <w:widowControl/>
        <w:autoSpaceDE w:val="0"/>
        <w:autoSpaceDN w:val="0"/>
        <w:adjustRightInd w:val="0"/>
      </w:pPr>
    </w:p>
    <w:p w:rsidR="00C36535" w:rsidRDefault="00C36535" w:rsidP="003C14F4">
      <w:pPr>
        <w:widowControl/>
        <w:autoSpaceDE w:val="0"/>
        <w:autoSpaceDN w:val="0"/>
        <w:adjustRightInd w:val="0"/>
      </w:pPr>
      <w:r w:rsidRPr="003D1832">
        <w:t xml:space="preserve">Consistent with commitments detailed within the NTS and in Article 5.3 of the WHO FCTC, the </w:t>
      </w:r>
      <w:r w:rsidR="008E4E78" w:rsidRPr="003D1832">
        <w:t>WA</w:t>
      </w:r>
      <w:r w:rsidRPr="003D1832">
        <w:t xml:space="preserve"> Government</w:t>
      </w:r>
      <w:r w:rsidR="00F70014" w:rsidRPr="003D1832">
        <w:t xml:space="preserve"> and other Australian Governments at state, territorial and national level </w:t>
      </w:r>
      <w:r w:rsidRPr="003D1832">
        <w:t>share a long track record of protecting tobacco control policy from tobacco industry interference.</w:t>
      </w:r>
      <w:r w:rsidR="00441AD9" w:rsidRPr="003D1832">
        <w:t xml:space="preserve"> This has enabled the introduction of </w:t>
      </w:r>
      <w:r w:rsidR="00316C7F" w:rsidRPr="003D1832">
        <w:t>innovative and world-leading toba</w:t>
      </w:r>
      <w:r w:rsidR="00441AD9" w:rsidRPr="003D1832">
        <w:t>cco control programs</w:t>
      </w:r>
      <w:r w:rsidR="00316C7F" w:rsidRPr="003D1832">
        <w:t>.</w:t>
      </w:r>
    </w:p>
    <w:p w:rsidR="00C36535" w:rsidRDefault="00C36535" w:rsidP="003C14F4">
      <w:pPr>
        <w:widowControl/>
        <w:autoSpaceDE w:val="0"/>
        <w:autoSpaceDN w:val="0"/>
        <w:adjustRightInd w:val="0"/>
      </w:pPr>
    </w:p>
    <w:p w:rsidR="003C14F4" w:rsidRPr="009C32F0" w:rsidRDefault="000B78C3" w:rsidP="003C14F4">
      <w:pPr>
        <w:widowControl/>
        <w:autoSpaceDE w:val="0"/>
        <w:autoSpaceDN w:val="0"/>
        <w:adjustRightInd w:val="0"/>
        <w:rPr>
          <w:rFonts w:eastAsiaTheme="minorHAnsi"/>
          <w:lang w:val="en-AU"/>
        </w:rPr>
      </w:pPr>
      <w:r w:rsidRPr="00AA5887">
        <w:t xml:space="preserve">The delivery of high-quality mass media education campaigns remains a critical factor in driving down smoking rates. </w:t>
      </w:r>
      <w:r w:rsidR="003C14F4">
        <w:rPr>
          <w:rFonts w:eastAsiaTheme="minorHAnsi"/>
          <w:lang w:val="en-AU"/>
        </w:rPr>
        <w:t xml:space="preserve">Over the years there has been some </w:t>
      </w:r>
      <w:r w:rsidR="003C14F4" w:rsidRPr="00D321A3">
        <w:rPr>
          <w:rFonts w:eastAsiaTheme="minorHAnsi"/>
          <w:lang w:val="en-AU"/>
        </w:rPr>
        <w:t xml:space="preserve">debate about whether tobacco </w:t>
      </w:r>
      <w:r w:rsidR="003C14F4">
        <w:rPr>
          <w:rFonts w:eastAsiaTheme="minorHAnsi"/>
          <w:lang w:val="en-AU"/>
        </w:rPr>
        <w:t xml:space="preserve">public education </w:t>
      </w:r>
      <w:r w:rsidR="003C14F4" w:rsidRPr="00344679">
        <w:rPr>
          <w:rFonts w:eastAsiaTheme="minorHAnsi"/>
          <w:lang w:val="en-AU"/>
        </w:rPr>
        <w:t>campaigns should focus primarily on youth or on adults</w:t>
      </w:r>
      <w:r w:rsidR="003C14F4">
        <w:rPr>
          <w:rFonts w:eastAsiaTheme="minorHAnsi"/>
          <w:lang w:val="en-AU"/>
        </w:rPr>
        <w:t>.</w:t>
      </w:r>
      <w:r w:rsidR="006F7298">
        <w:rPr>
          <w:rFonts w:eastAsiaTheme="minorHAnsi"/>
          <w:lang w:val="en-AU"/>
        </w:rPr>
        <w:t xml:space="preserve"> </w:t>
      </w:r>
      <w:r w:rsidR="003C14F4">
        <w:rPr>
          <w:rFonts w:eastAsiaTheme="minorHAnsi"/>
          <w:lang w:val="en-AU"/>
        </w:rPr>
        <w:t xml:space="preserve">The weight of evidence shows </w:t>
      </w:r>
      <w:r w:rsidR="003C14F4" w:rsidRPr="00344679">
        <w:rPr>
          <w:rFonts w:eastAsiaTheme="minorHAnsi"/>
          <w:lang w:val="en-AU"/>
        </w:rPr>
        <w:t>that</w:t>
      </w:r>
      <w:r w:rsidR="003C14F4">
        <w:rPr>
          <w:rFonts w:eastAsiaTheme="minorHAnsi"/>
          <w:lang w:val="en-AU"/>
        </w:rPr>
        <w:t xml:space="preserve"> </w:t>
      </w:r>
      <w:r w:rsidR="00B76900">
        <w:rPr>
          <w:rFonts w:eastAsiaTheme="minorHAnsi"/>
          <w:lang w:val="en-AU"/>
        </w:rPr>
        <w:t xml:space="preserve">the most appropriate means of reaching </w:t>
      </w:r>
      <w:r w:rsidR="003C14F4">
        <w:rPr>
          <w:rFonts w:eastAsiaTheme="minorHAnsi"/>
          <w:lang w:val="en-AU"/>
        </w:rPr>
        <w:t xml:space="preserve">young people </w:t>
      </w:r>
      <w:r w:rsidR="00B76900">
        <w:rPr>
          <w:rFonts w:eastAsiaTheme="minorHAnsi"/>
          <w:lang w:val="en-AU"/>
        </w:rPr>
        <w:t>is through</w:t>
      </w:r>
      <w:r w:rsidR="0099210E">
        <w:rPr>
          <w:rFonts w:eastAsiaTheme="minorHAnsi"/>
          <w:lang w:val="en-AU"/>
        </w:rPr>
        <w:t xml:space="preserve"> </w:t>
      </w:r>
      <w:r w:rsidR="003C14F4">
        <w:rPr>
          <w:rFonts w:eastAsiaTheme="minorHAnsi"/>
          <w:lang w:val="en-AU"/>
        </w:rPr>
        <w:t>mainstream campaigns</w:t>
      </w:r>
      <w:r w:rsidR="00B35A5F">
        <w:rPr>
          <w:rFonts w:eastAsiaTheme="minorHAnsi"/>
          <w:lang w:val="en-AU"/>
        </w:rPr>
        <w:t xml:space="preserve"> which they see</w:t>
      </w:r>
      <w:r w:rsidR="003C14F4">
        <w:rPr>
          <w:rFonts w:eastAsiaTheme="minorHAnsi"/>
          <w:lang w:val="en-AU"/>
        </w:rPr>
        <w:t xml:space="preserve"> as personally relevant, </w:t>
      </w:r>
      <w:r w:rsidR="00B35A5F">
        <w:rPr>
          <w:rFonts w:eastAsiaTheme="minorHAnsi"/>
          <w:lang w:val="en-AU"/>
        </w:rPr>
        <w:t>and which</w:t>
      </w:r>
      <w:r w:rsidR="003C14F4">
        <w:rPr>
          <w:rFonts w:eastAsiaTheme="minorHAnsi"/>
          <w:lang w:val="en-AU"/>
        </w:rPr>
        <w:t xml:space="preserve"> are effective in promoting negative attitudes to smoking.</w:t>
      </w:r>
      <w:r w:rsidR="008E4A1B">
        <w:rPr>
          <w:rFonts w:eastAsiaTheme="minorHAnsi"/>
          <w:lang w:val="en-AU"/>
        </w:rPr>
        <w:fldChar w:fldCharType="begin"/>
      </w:r>
      <w:r w:rsidR="005B3C51">
        <w:rPr>
          <w:rFonts w:eastAsiaTheme="minorHAnsi"/>
          <w:lang w:val="en-AU"/>
        </w:rPr>
        <w:instrText xml:space="preserve"> ADDIN EN.CITE &lt;EndNote&gt;&lt;Cite&gt;&lt;Author&gt;National Cancer Institute&lt;/Author&gt;&lt;Year&gt;2008&lt;/Year&gt;&lt;RecNum&gt;653&lt;/RecNum&gt;&lt;DisplayText&gt;&lt;style face="superscript"&gt;149&lt;/style&gt;&lt;/DisplayText&gt;&lt;record&gt;&lt;rec-number&gt;653&lt;/rec-number&gt;&lt;foreign-keys&gt;&lt;key app="EN" db-id="zxa00wf2opvf9oeeset50xz7ezpfwre2v20z"&gt;653&lt;/key&gt;&lt;/foreign-keys&gt;&lt;ref-type name="Report"&gt;27&lt;/ref-type&gt;&lt;contributors&gt;&lt;authors&gt;&lt;author&gt;National Cancer Institute, &lt;/author&gt;&lt;/authors&gt;&lt;/contributors&gt;&lt;titles&gt;&lt;title&gt;The role of the media in promoting and reducing tobacco use. Tobacco control monograph no. 19&lt;/title&gt;&lt;/titles&gt;&lt;dates&gt;&lt;year&gt;2008&lt;/year&gt;&lt;/dates&gt;&lt;pub-location&gt;Bethesda, MD&lt;/pub-location&gt;&lt;publisher&gt;US Department of Health and Human Services, National Institutes of Health, National Cancer Institute&lt;/publisher&gt;&lt;urls&gt;&lt;related-urls&gt;&lt;url&gt;http://cancercontrol.cancer.gov/brp/tcrb/monographs/19/m19_complete.pdf?bcsi_scan_2F83426B613409AB=S8WEo/BOq+mL0blS6lI+fJ0eW7gUAAAADweDeA==&amp;amp;bcsi_scan_filename=m19_complete.pdf&lt;/url&gt;&lt;/related-urls&gt;&lt;/urls&gt;&lt;/record&gt;&lt;/Cite&gt;&lt;/EndNote&gt;</w:instrText>
      </w:r>
      <w:r w:rsidR="008E4A1B">
        <w:rPr>
          <w:rFonts w:eastAsiaTheme="minorHAnsi"/>
          <w:lang w:val="en-AU"/>
        </w:rPr>
        <w:fldChar w:fldCharType="separate"/>
      </w:r>
      <w:r w:rsidR="005B3C51" w:rsidRPr="005B3C51">
        <w:rPr>
          <w:rFonts w:eastAsiaTheme="minorHAnsi"/>
          <w:noProof/>
          <w:vertAlign w:val="superscript"/>
          <w:lang w:val="en-AU"/>
        </w:rPr>
        <w:t>149</w:t>
      </w:r>
      <w:r w:rsidR="008E4A1B">
        <w:rPr>
          <w:rFonts w:eastAsiaTheme="minorHAnsi"/>
          <w:lang w:val="en-AU"/>
        </w:rPr>
        <w:fldChar w:fldCharType="end"/>
      </w:r>
    </w:p>
    <w:p w:rsidR="00006D91" w:rsidRDefault="00006D91">
      <w:pPr>
        <w:widowControl/>
        <w:spacing w:after="200" w:line="276" w:lineRule="auto"/>
      </w:pPr>
      <w:r>
        <w:br w:type="page"/>
      </w:r>
    </w:p>
    <w:p w:rsidR="000B78C3" w:rsidRPr="00EA2C21" w:rsidRDefault="000B78C3" w:rsidP="00EA2C21">
      <w:pPr>
        <w:rPr>
          <w:rFonts w:eastAsia="Arial"/>
          <w:color w:val="808080" w:themeColor="background1" w:themeShade="80"/>
          <w:sz w:val="28"/>
          <w:szCs w:val="28"/>
        </w:rPr>
      </w:pPr>
      <w:r w:rsidRPr="00EA2C21">
        <w:rPr>
          <w:rFonts w:eastAsia="Arial"/>
          <w:color w:val="808080" w:themeColor="background1" w:themeShade="80"/>
          <w:sz w:val="28"/>
          <w:szCs w:val="28"/>
        </w:rPr>
        <w:lastRenderedPageBreak/>
        <w:t xml:space="preserve">Eliminate exposure to </w:t>
      </w:r>
      <w:r w:rsidR="007E766B" w:rsidRPr="00EA2C21">
        <w:rPr>
          <w:rFonts w:eastAsia="Arial"/>
          <w:color w:val="808080" w:themeColor="background1" w:themeShade="80"/>
          <w:sz w:val="28"/>
          <w:szCs w:val="28"/>
        </w:rPr>
        <w:t xml:space="preserve">secondhand </w:t>
      </w:r>
      <w:r w:rsidRPr="00EA2C21">
        <w:rPr>
          <w:rFonts w:eastAsia="Arial"/>
          <w:color w:val="808080" w:themeColor="background1" w:themeShade="80"/>
          <w:sz w:val="28"/>
          <w:szCs w:val="28"/>
        </w:rPr>
        <w:t>smoke in places where the health of others can be affected</w:t>
      </w:r>
    </w:p>
    <w:p w:rsidR="000B78C3" w:rsidRDefault="000B78C3" w:rsidP="000B78C3">
      <w:pPr>
        <w:ind w:left="720"/>
      </w:pPr>
    </w:p>
    <w:p w:rsidR="000B78C3" w:rsidRDefault="000B78C3" w:rsidP="000B78C3">
      <w:r w:rsidRPr="00AA5887">
        <w:t>The harmful effects of exposure to second hand smoke are well documented and indisputable.</w:t>
      </w:r>
      <w:r w:rsidR="0099210E">
        <w:t xml:space="preserve"> </w:t>
      </w:r>
      <w:r w:rsidRPr="00AA5887">
        <w:t>The primary goal of smoke</w:t>
      </w:r>
      <w:r w:rsidR="00711BD9">
        <w:t xml:space="preserve"> </w:t>
      </w:r>
      <w:r w:rsidRPr="00AA5887">
        <w:t xml:space="preserve">free regulation is the immediate protection of others from tobacco smoke. There is strong evidence that smoke free </w:t>
      </w:r>
      <w:r w:rsidR="005B70A0">
        <w:t>legislation has</w:t>
      </w:r>
      <w:r w:rsidRPr="00AA5887">
        <w:t xml:space="preserve"> reduced the mortality from smoking related illness at a population level. There is also strong evidence of other improvements in health outcomes such as reduced admissions for acute coronary syndrome.</w:t>
      </w:r>
      <w:r w:rsidR="008E4A1B">
        <w:fldChar w:fldCharType="begin"/>
      </w:r>
      <w:r w:rsidR="005B3C51">
        <w:instrText xml:space="preserve"> ADDIN EN.CITE &lt;EndNote&gt;&lt;Cite&gt;&lt;Author&gt;Frazer&lt;/Author&gt;&lt;Year&gt;2016&lt;/Year&gt;&lt;RecNum&gt;453&lt;/RecNum&gt;&lt;DisplayText&gt;&lt;style face="superscript"&gt;150&lt;/style&gt;&lt;/DisplayText&gt;&lt;record&gt;&lt;rec-number&gt;453&lt;/rec-number&gt;&lt;foreign-keys&gt;&lt;key app="EN" db-id="zxa00wf2opvf9oeeset50xz7ezpfwre2v20z"&gt;453&lt;/key&gt;&lt;/foreign-keys&gt;&lt;ref-type name="Journal Article"&gt;17&lt;/ref-type&gt;&lt;contributors&gt;&lt;authors&gt;&lt;author&gt;Frazer, Kate&lt;/author&gt;&lt;author&gt;Callinan, Joanne E&lt;/author&gt;&lt;author&gt;McHugh, Jack&lt;/author&gt;&lt;author&gt;van Baarsel, Susan&lt;/author&gt;&lt;author&gt;Clarke, Anna&lt;/author&gt;&lt;author&gt;Doherty, Kirsten&lt;/author&gt;&lt;author&gt;Kelleher, Cecily&lt;/author&gt;&lt;/authors&gt;&lt;/contributors&gt;&lt;titles&gt;&lt;title&gt;Legislative smoking bans for reducing harms from secondhand smoke exposure, smoking prevalence and tobacco consumption&lt;/title&gt;&lt;secondary-title&gt;Cochrane Database of Systematic Reviews&lt;/secondary-title&gt;&lt;/titles&gt;&lt;pages&gt;Article no. CD005992&lt;/pages&gt;&lt;dates&gt;&lt;year&gt;2016&lt;/year&gt;&lt;/dates&gt;&lt;publisher&gt;Wiley-Blackwell&lt;/publisher&gt;&lt;urls&gt;&lt;related-urls&gt;&lt;url&gt;http://onlinelibrary.wiley.com/doi/10.1002/14651858.CD005992.pub3/epdf/abstract&lt;/url&gt;&lt;/related-urls&gt;&lt;/urls&gt;&lt;/record&gt;&lt;/Cite&gt;&lt;/EndNote&gt;</w:instrText>
      </w:r>
      <w:r w:rsidR="008E4A1B">
        <w:fldChar w:fldCharType="separate"/>
      </w:r>
      <w:r w:rsidR="005B3C51" w:rsidRPr="005B3C51">
        <w:rPr>
          <w:noProof/>
          <w:vertAlign w:val="superscript"/>
        </w:rPr>
        <w:t>150</w:t>
      </w:r>
      <w:r w:rsidR="008E4A1B">
        <w:fldChar w:fldCharType="end"/>
      </w:r>
      <w:r w:rsidR="00F943BE">
        <w:t xml:space="preserve"> </w:t>
      </w:r>
      <w:r w:rsidRPr="00AA5887">
        <w:t>Smoke</w:t>
      </w:r>
      <w:r w:rsidR="005B70A0">
        <w:t xml:space="preserve"> </w:t>
      </w:r>
      <w:r w:rsidRPr="00AA5887">
        <w:t>free laws also shift broader social norms and have a flow-on effect of increasing the numbers of smokers who choose to keep their homes and cars smoke</w:t>
      </w:r>
      <w:r w:rsidR="00711BD9">
        <w:t xml:space="preserve"> </w:t>
      </w:r>
      <w:r w:rsidRPr="00AA5887">
        <w:t>free, and to refrain from smoking in other people’s homes.</w:t>
      </w:r>
      <w:r w:rsidR="008E4A1B">
        <w:fldChar w:fldCharType="begin"/>
      </w:r>
      <w:r w:rsidR="005B3C51">
        <w:instrText xml:space="preserve"> ADDIN EN.CITE &lt;EndNote&gt;&lt;Cite&gt;&lt;Author&gt;Queensland Health&lt;/Author&gt;&lt;Year&gt;2007&lt;/Year&gt;&lt;RecNum&gt;479&lt;/RecNum&gt;&lt;DisplayText&gt;&lt;style face="superscript"&gt;151&lt;/style&gt;&lt;/DisplayText&gt;&lt;record&gt;&lt;rec-number&gt;479&lt;/rec-number&gt;&lt;foreign-keys&gt;&lt;key app="EN" db-id="zxa00wf2opvf9oeeset50xz7ezpfwre2v20z"&gt;479&lt;/key&gt;&lt;/foreign-keys&gt;&lt;ref-type name="Report"&gt;27&lt;/ref-type&gt;&lt;contributors&gt;&lt;authors&gt;&lt;author&gt;Queensland Health,&lt;/author&gt;&lt;/authors&gt;&lt;/contributors&gt;&lt;titles&gt;&lt;title&gt;Review of smokefree laws: discussion paper&lt;/title&gt;&lt;/titles&gt;&lt;dates&gt;&lt;year&gt;2007&lt;/year&gt;&lt;/dates&gt;&lt;pub-location&gt;Brisbane&lt;/pub-location&gt;&lt;publisher&gt;Queensland Health&lt;/publisher&gt;&lt;urls&gt;&lt;/urls&gt;&lt;/record&gt;&lt;/Cite&gt;&lt;/EndNote&gt;</w:instrText>
      </w:r>
      <w:r w:rsidR="008E4A1B">
        <w:fldChar w:fldCharType="separate"/>
      </w:r>
      <w:r w:rsidR="005B3C51" w:rsidRPr="005B3C51">
        <w:rPr>
          <w:noProof/>
          <w:vertAlign w:val="superscript"/>
        </w:rPr>
        <w:t>151</w:t>
      </w:r>
      <w:r w:rsidR="008E4A1B">
        <w:fldChar w:fldCharType="end"/>
      </w:r>
    </w:p>
    <w:p w:rsidR="003D0CF4" w:rsidRPr="00AA5887" w:rsidRDefault="003D0CF4" w:rsidP="000B78C3"/>
    <w:p w:rsidR="000B78C3" w:rsidRPr="000A33E2" w:rsidRDefault="009926E2" w:rsidP="00154C32">
      <w:pPr>
        <w:rPr>
          <w:rFonts w:eastAsia="Arial"/>
          <w:color w:val="808080" w:themeColor="background1" w:themeShade="80"/>
          <w:sz w:val="28"/>
          <w:szCs w:val="28"/>
        </w:rPr>
      </w:pPr>
      <w:r w:rsidRPr="000A33E2">
        <w:rPr>
          <w:rFonts w:eastAsia="Arial"/>
          <w:color w:val="808080" w:themeColor="background1" w:themeShade="80"/>
          <w:sz w:val="28"/>
          <w:szCs w:val="28"/>
        </w:rPr>
        <w:t>Reduce smoking in groups with higher smoking rates</w:t>
      </w:r>
    </w:p>
    <w:p w:rsidR="00412582" w:rsidRDefault="00412582" w:rsidP="000B78C3"/>
    <w:p w:rsidR="000B78C3" w:rsidRDefault="002D3837" w:rsidP="002D3837">
      <w:r>
        <w:t>Although t</w:t>
      </w:r>
      <w:r w:rsidR="000B78C3">
        <w:t>he prevalence of daily smoking in the Aboriginal population is falling, it is still substantially higher than among other Australians, leading to poorer health outcomes for Aboriginal people. Maintaining an ongoing commitment to a comprehensive approach to Aboriginal tobacco control is considered to be the most effective means of driving down tobacco use.</w:t>
      </w:r>
      <w:r w:rsidR="008E4A1B">
        <w:fldChar w:fldCharType="begin"/>
      </w:r>
      <w:r w:rsidR="005B3C51">
        <w:instrText xml:space="preserve"> ADDIN EN.CITE &lt;EndNote&gt;&lt;Cite&gt;&lt;Author&gt;Thomas&lt;/Author&gt;&lt;Year&gt;2015&lt;/Year&gt;&lt;RecNum&gt;852&lt;/RecNum&gt;&lt;DisplayText&gt;&lt;style face="superscript"&gt;152&lt;/style&gt;&lt;/DisplayText&gt;&lt;record&gt;&lt;rec-number&gt;852&lt;/rec-number&gt;&lt;foreign-keys&gt;&lt;key app="EN" db-id="zxa00wf2opvf9oeeset50xz7ezpfwre2v20z"&gt;852&lt;/key&gt;&lt;/foreign-keys&gt;&lt;ref-type name="Journal Article"&gt;17&lt;/ref-type&gt;&lt;contributors&gt;&lt;authors&gt;&lt;author&gt;Thomas, David P.&lt;/author&gt;&lt;author&gt;Davey, Maureen E.&lt;/author&gt;&lt;author&gt;Briggs, Viki L.&lt;/author&gt;&lt;author&gt;Borland, Ron&lt;/author&gt;&lt;/authors&gt;&lt;/contributors&gt;&lt;titles&gt;&lt;title&gt;Talking About The Smokes: summary and key findings&lt;/title&gt;&lt;secondary-title&gt;Med J Aust&lt;/secondary-title&gt;&lt;/titles&gt;&lt;pages&gt;3-4&lt;/pages&gt;&lt;volume&gt;202&lt;/volume&gt;&lt;number&gt;10&lt;/number&gt;&lt;dates&gt;&lt;year&gt;2015&lt;/year&gt;&lt;/dates&gt;&lt;urls&gt;&lt;related-urls&gt;&lt;url&gt;http://dx.doi.org/10.5694/mja15.00464&lt;/url&gt;&lt;/related-urls&gt;&lt;/urls&gt;&lt;/record&gt;&lt;/Cite&gt;&lt;/EndNote&gt;</w:instrText>
      </w:r>
      <w:r w:rsidR="008E4A1B">
        <w:fldChar w:fldCharType="separate"/>
      </w:r>
      <w:r w:rsidR="005B3C51" w:rsidRPr="005B3C51">
        <w:rPr>
          <w:noProof/>
          <w:vertAlign w:val="superscript"/>
        </w:rPr>
        <w:t>152</w:t>
      </w:r>
      <w:r w:rsidR="008E4A1B">
        <w:fldChar w:fldCharType="end"/>
      </w:r>
      <w:r w:rsidR="000B78C3">
        <w:t xml:space="preserve"> This approach includes conducting mainstream population-wide public education campaigns which include messages which are particularly salient to Aboriginal people; providing advice and support to quit; and using health promotion messages which continue to reinforce and enhance social norms about quitting smoking and being smokefree.</w:t>
      </w:r>
      <w:r w:rsidR="008E4A1B">
        <w:fldChar w:fldCharType="begin"/>
      </w:r>
      <w:r w:rsidR="005B3C51">
        <w:instrText xml:space="preserve"> ADDIN EN.CITE &lt;EndNote&gt;&lt;Cite&gt;&lt;Author&gt;Thomas&lt;/Author&gt;&lt;Year&gt;2015&lt;/Year&gt;&lt;RecNum&gt;852&lt;/RecNum&gt;&lt;DisplayText&gt;&lt;style face="superscript"&gt;152&lt;/style&gt;&lt;/DisplayText&gt;&lt;record&gt;&lt;rec-number&gt;852&lt;/rec-number&gt;&lt;foreign-keys&gt;&lt;key app="EN" db-id="zxa00wf2opvf9oeeset50xz7ezpfwre2v20z"&gt;852&lt;/key&gt;&lt;/foreign-keys&gt;&lt;ref-type name="Journal Article"&gt;17&lt;/ref-type&gt;&lt;contributors&gt;&lt;authors&gt;&lt;author&gt;Thomas, David P.&lt;/author&gt;&lt;author&gt;Davey, Maureen E.&lt;/author&gt;&lt;author&gt;Briggs, Viki L.&lt;/author&gt;&lt;author&gt;Borland, Ron&lt;/author&gt;&lt;/authors&gt;&lt;/contributors&gt;&lt;titles&gt;&lt;title&gt;Talking About The Smokes: summary and key findings&lt;/title&gt;&lt;secondary-title&gt;Med J Aust&lt;/secondary-title&gt;&lt;/titles&gt;&lt;pages&gt;3-4&lt;/pages&gt;&lt;volume&gt;202&lt;/volume&gt;&lt;number&gt;10&lt;/number&gt;&lt;dates&gt;&lt;year&gt;2015&lt;/year&gt;&lt;/dates&gt;&lt;urls&gt;&lt;related-urls&gt;&lt;url&gt;http://dx.doi.org/10.5694/mja15.00464&lt;/url&gt;&lt;/related-urls&gt;&lt;/urls&gt;&lt;/record&gt;&lt;/Cite&gt;&lt;/EndNote&gt;</w:instrText>
      </w:r>
      <w:r w:rsidR="008E4A1B">
        <w:fldChar w:fldCharType="separate"/>
      </w:r>
      <w:r w:rsidR="005B3C51" w:rsidRPr="005B3C51">
        <w:rPr>
          <w:noProof/>
          <w:vertAlign w:val="superscript"/>
        </w:rPr>
        <w:t>152</w:t>
      </w:r>
      <w:r w:rsidR="008E4A1B">
        <w:fldChar w:fldCharType="end"/>
      </w:r>
    </w:p>
    <w:p w:rsidR="000B78C3" w:rsidRDefault="0099210E" w:rsidP="000B78C3">
      <w:r>
        <w:t xml:space="preserve"> </w:t>
      </w:r>
    </w:p>
    <w:p w:rsidR="000B78C3" w:rsidRDefault="000B78C3" w:rsidP="000B78C3">
      <w:pPr>
        <w:widowControl/>
        <w:autoSpaceDE w:val="0"/>
        <w:autoSpaceDN w:val="0"/>
        <w:adjustRightInd w:val="0"/>
        <w:rPr>
          <w:rFonts w:eastAsiaTheme="minorHAnsi"/>
          <w:lang w:val="en-AU"/>
        </w:rPr>
      </w:pPr>
      <w:r w:rsidRPr="006F3AA1">
        <w:rPr>
          <w:rFonts w:eastAsiaTheme="minorHAnsi"/>
          <w:lang w:val="en-AU"/>
        </w:rPr>
        <w:t>High</w:t>
      </w:r>
      <w:r>
        <w:rPr>
          <w:rFonts w:eastAsiaTheme="minorHAnsi"/>
          <w:lang w:val="en-AU"/>
        </w:rPr>
        <w:t xml:space="preserve">er prevalence of smoking also </w:t>
      </w:r>
      <w:r w:rsidRPr="006F3AA1">
        <w:rPr>
          <w:rFonts w:eastAsiaTheme="minorHAnsi"/>
          <w:lang w:val="en-AU"/>
        </w:rPr>
        <w:t>contribut</w:t>
      </w:r>
      <w:r>
        <w:rPr>
          <w:rFonts w:eastAsiaTheme="minorHAnsi"/>
          <w:lang w:val="en-AU"/>
        </w:rPr>
        <w:t>es</w:t>
      </w:r>
      <w:r w:rsidRPr="006F3AA1">
        <w:rPr>
          <w:rFonts w:eastAsiaTheme="minorHAnsi"/>
          <w:lang w:val="en-AU"/>
        </w:rPr>
        <w:t xml:space="preserve"> to health and financial inequal</w:t>
      </w:r>
      <w:r w:rsidRPr="00F40E25">
        <w:rPr>
          <w:rFonts w:eastAsiaTheme="minorHAnsi"/>
          <w:lang w:val="en-AU"/>
        </w:rPr>
        <w:t xml:space="preserve">ities in </w:t>
      </w:r>
      <w:r>
        <w:rPr>
          <w:rFonts w:eastAsiaTheme="minorHAnsi"/>
          <w:lang w:val="en-AU"/>
        </w:rPr>
        <w:t xml:space="preserve">some </w:t>
      </w:r>
      <w:r w:rsidR="00D00B6A">
        <w:rPr>
          <w:rFonts w:eastAsiaTheme="minorHAnsi"/>
          <w:lang w:val="en-AU"/>
        </w:rPr>
        <w:t>other</w:t>
      </w:r>
      <w:r>
        <w:rPr>
          <w:rFonts w:eastAsiaTheme="minorHAnsi"/>
          <w:lang w:val="en-AU"/>
        </w:rPr>
        <w:t xml:space="preserve"> </w:t>
      </w:r>
      <w:r w:rsidRPr="006F3AA1">
        <w:rPr>
          <w:rFonts w:eastAsiaTheme="minorHAnsi"/>
          <w:lang w:val="en-AU"/>
        </w:rPr>
        <w:t xml:space="preserve">groups in our communities, </w:t>
      </w:r>
      <w:r>
        <w:rPr>
          <w:rFonts w:eastAsiaTheme="minorHAnsi"/>
          <w:lang w:val="en-AU"/>
        </w:rPr>
        <w:t>including among</w:t>
      </w:r>
      <w:r w:rsidRPr="006F3AA1">
        <w:rPr>
          <w:rFonts w:eastAsiaTheme="minorHAnsi"/>
          <w:lang w:val="en-AU"/>
        </w:rPr>
        <w:t xml:space="preserve"> </w:t>
      </w:r>
      <w:r>
        <w:rPr>
          <w:rFonts w:eastAsiaTheme="minorHAnsi"/>
          <w:lang w:val="en-AU"/>
        </w:rPr>
        <w:t>people</w:t>
      </w:r>
      <w:r w:rsidRPr="006F3AA1">
        <w:rPr>
          <w:rFonts w:eastAsiaTheme="minorHAnsi"/>
          <w:lang w:val="en-AU"/>
        </w:rPr>
        <w:t xml:space="preserve"> in low</w:t>
      </w:r>
      <w:r>
        <w:rPr>
          <w:rFonts w:eastAsiaTheme="minorHAnsi"/>
          <w:lang w:val="en-AU"/>
        </w:rPr>
        <w:t>er</w:t>
      </w:r>
      <w:r w:rsidRPr="006F3AA1">
        <w:rPr>
          <w:rFonts w:eastAsiaTheme="minorHAnsi"/>
          <w:lang w:val="en-AU"/>
        </w:rPr>
        <w:t xml:space="preserve"> socio</w:t>
      </w:r>
      <w:r>
        <w:rPr>
          <w:rFonts w:eastAsiaTheme="minorHAnsi"/>
          <w:lang w:val="en-AU"/>
        </w:rPr>
        <w:t>-</w:t>
      </w:r>
      <w:r w:rsidRPr="006F3AA1">
        <w:rPr>
          <w:rFonts w:eastAsiaTheme="minorHAnsi"/>
          <w:lang w:val="en-AU"/>
        </w:rPr>
        <w:t>economic groups</w:t>
      </w:r>
      <w:r>
        <w:rPr>
          <w:rFonts w:eastAsiaTheme="minorHAnsi"/>
          <w:lang w:val="en-AU"/>
        </w:rPr>
        <w:t>, people living</w:t>
      </w:r>
      <w:r w:rsidRPr="006F3AA1">
        <w:rPr>
          <w:rFonts w:eastAsiaTheme="minorHAnsi"/>
          <w:lang w:val="en-AU"/>
        </w:rPr>
        <w:t xml:space="preserve"> with mental illn</w:t>
      </w:r>
      <w:r w:rsidR="002F401B">
        <w:rPr>
          <w:rFonts w:eastAsiaTheme="minorHAnsi"/>
          <w:lang w:val="en-AU"/>
        </w:rPr>
        <w:t>ess, and the prison population.</w:t>
      </w:r>
      <w:r w:rsidRPr="006F3AA1">
        <w:rPr>
          <w:rFonts w:eastAsiaTheme="minorHAnsi"/>
          <w:lang w:val="en-AU"/>
        </w:rPr>
        <w:t xml:space="preserve"> </w:t>
      </w:r>
      <w:r w:rsidR="00D00B6A">
        <w:rPr>
          <w:rFonts w:eastAsiaTheme="minorHAnsi"/>
          <w:lang w:val="en-AU"/>
        </w:rPr>
        <w:t>These people may be</w:t>
      </w:r>
      <w:r w:rsidRPr="006F3AA1">
        <w:rPr>
          <w:rFonts w:eastAsiaTheme="minorHAnsi"/>
          <w:lang w:val="en-AU"/>
        </w:rPr>
        <w:t xml:space="preserve"> more likely to encounter social environments where smoking remains the norm and where </w:t>
      </w:r>
      <w:r>
        <w:rPr>
          <w:rFonts w:eastAsiaTheme="minorHAnsi"/>
          <w:lang w:val="en-AU"/>
        </w:rPr>
        <w:t xml:space="preserve">quit </w:t>
      </w:r>
      <w:r w:rsidRPr="006F3AA1">
        <w:rPr>
          <w:rFonts w:eastAsiaTheme="minorHAnsi"/>
          <w:lang w:val="en-AU"/>
        </w:rPr>
        <w:t>attempts</w:t>
      </w:r>
      <w:r>
        <w:rPr>
          <w:rFonts w:eastAsiaTheme="minorHAnsi"/>
          <w:lang w:val="en-AU"/>
        </w:rPr>
        <w:t xml:space="preserve"> may be less supported.</w:t>
      </w:r>
      <w:r w:rsidR="008E4A1B">
        <w:rPr>
          <w:rFonts w:eastAsiaTheme="minorHAnsi"/>
          <w:lang w:val="en-AU"/>
        </w:rPr>
        <w:fldChar w:fldCharType="begin"/>
      </w:r>
      <w:r w:rsidR="005B3C51">
        <w:rPr>
          <w:rFonts w:eastAsiaTheme="minorHAnsi"/>
          <w:lang w:val="en-AU"/>
        </w:rPr>
        <w:instrText xml:space="preserve"> ADDIN EN.CITE &lt;EndNote&gt;&lt;Cite&gt;&lt;Author&gt;Victoria&lt;/Author&gt;&lt;Year&gt;2013&lt;/Year&gt;&lt;RecNum&gt;68&lt;/RecNum&gt;&lt;DisplayText&gt;&lt;style face="superscript"&gt;153&lt;/style&gt;&lt;/DisplayText&gt;&lt;record&gt;&lt;rec-number&gt;68&lt;/rec-number&gt;&lt;foreign-keys&gt;&lt;key app="EN" db-id="zxa00wf2opvf9oeeset50xz7ezpfwre2v20z"&gt;68&lt;/key&gt;&lt;/foreign-keys&gt;&lt;ref-type name="Report"&gt;27&lt;/ref-type&gt;&lt;contributors&gt;&lt;authors&gt;&lt;author&gt;Cancer Council Victoria,&lt;/author&gt;&lt;/authors&gt;&lt;/contributors&gt;&lt;titles&gt;&lt;title&gt;Smoking and disadvantage: an evidence brief&lt;/title&gt;&lt;/titles&gt;&lt;dates&gt;&lt;year&gt;2013&lt;/year&gt;&lt;/dates&gt;&lt;pub-location&gt;Canberra&lt;/pub-location&gt;&lt;publisher&gt;Australian National Preventive Health Agency&lt;/publisher&gt;&lt;urls&gt;&lt;related-urls&gt;&lt;url&gt;http://www.health.gov.au/internet/anpha/publishing.nsf/Content/667CA10FF85FD2CDCA257B8C0031F7D3/$File/Screen%20res-Smoking&amp;amp;Disad_ev%20brief.pdf&lt;/url&gt;&lt;/related-urls&gt;&lt;/urls&gt;&lt;/record&gt;&lt;/Cite&gt;&lt;/EndNote&gt;</w:instrText>
      </w:r>
      <w:r w:rsidR="008E4A1B">
        <w:rPr>
          <w:rFonts w:eastAsiaTheme="minorHAnsi"/>
          <w:lang w:val="en-AU"/>
        </w:rPr>
        <w:fldChar w:fldCharType="separate"/>
      </w:r>
      <w:r w:rsidR="005B3C51" w:rsidRPr="005B3C51">
        <w:rPr>
          <w:rFonts w:eastAsiaTheme="minorHAnsi"/>
          <w:noProof/>
          <w:vertAlign w:val="superscript"/>
          <w:lang w:val="en-AU"/>
        </w:rPr>
        <w:t>153</w:t>
      </w:r>
      <w:r w:rsidR="008E4A1B">
        <w:rPr>
          <w:rFonts w:eastAsiaTheme="minorHAnsi"/>
          <w:lang w:val="en-AU"/>
        </w:rPr>
        <w:fldChar w:fldCharType="end"/>
      </w:r>
      <w:r>
        <w:rPr>
          <w:rFonts w:eastAsiaTheme="minorHAnsi"/>
          <w:lang w:val="en-AU"/>
        </w:rPr>
        <w:t xml:space="preserve"> </w:t>
      </w:r>
      <w:r w:rsidRPr="006F3AA1">
        <w:rPr>
          <w:rFonts w:eastAsiaTheme="minorHAnsi"/>
          <w:lang w:val="en-AU"/>
        </w:rPr>
        <w:t>Strengthening efforts to reduce smoking rates in populations with</w:t>
      </w:r>
      <w:r>
        <w:rPr>
          <w:rFonts w:eastAsiaTheme="minorHAnsi"/>
          <w:lang w:val="en-AU"/>
        </w:rPr>
        <w:t xml:space="preserve"> </w:t>
      </w:r>
      <w:r w:rsidRPr="00CF255B">
        <w:rPr>
          <w:rFonts w:eastAsiaTheme="minorHAnsi"/>
          <w:lang w:val="en-AU"/>
        </w:rPr>
        <w:t xml:space="preserve">a higher prevalence of smoking is one of the nine priority action areas within the </w:t>
      </w:r>
      <w:r w:rsidR="00CF255B" w:rsidRPr="00CF255B">
        <w:rPr>
          <w:rFonts w:eastAsiaTheme="minorHAnsi"/>
          <w:lang w:val="en-AU"/>
        </w:rPr>
        <w:t>NTS</w:t>
      </w:r>
      <w:r w:rsidR="00E81471">
        <w:rPr>
          <w:rFonts w:eastAsiaTheme="minorHAnsi"/>
          <w:lang w:val="en-AU"/>
        </w:rPr>
        <w:t>.</w:t>
      </w:r>
      <w:r w:rsidR="008E4A1B">
        <w:rPr>
          <w:rFonts w:eastAsiaTheme="minorHAnsi"/>
          <w:lang w:val="en-AU"/>
        </w:rPr>
        <w:fldChar w:fldCharType="begin"/>
      </w:r>
      <w:r w:rsidR="005B3C51">
        <w:rPr>
          <w:rFonts w:eastAsiaTheme="minorHAnsi"/>
          <w:lang w:val="en-AU"/>
        </w:rPr>
        <w:instrText xml:space="preserve"> ADDIN EN.CITE &lt;EndNote&gt;&lt;Cite&gt;&lt;Author&gt;Intergovernmental Committee on Drugs&lt;/Author&gt;&lt;Year&gt;2012&lt;/Year&gt;&lt;RecNum&gt;544&lt;/RecNum&gt;&lt;DisplayText&gt;&lt;style face="superscript"&gt;147&lt;/style&gt;&lt;/DisplayText&gt;&lt;record&gt;&lt;rec-number&gt;544&lt;/rec-number&gt;&lt;foreign-keys&gt;&lt;key app="EN" db-id="zxa00wf2opvf9oeeset50xz7ezpfwre2v20z"&gt;544&lt;/key&gt;&lt;/foreign-keys&gt;&lt;ref-type name="Report"&gt;27&lt;/ref-type&gt;&lt;contributors&gt;&lt;authors&gt;&lt;author&gt;Intergovernmental Committee on Drugs,&lt;/author&gt;&lt;/authors&gt;&lt;/contributors&gt;&lt;titles&gt;&lt;title&gt;National Tobacco Strategy 2012–2018&lt;/title&gt;&lt;/titles&gt;&lt;dates&gt;&lt;year&gt;2012&lt;/year&gt;&lt;/dates&gt;&lt;pub-location&gt;Canberra&lt;/pub-location&gt;&lt;publisher&gt;Department of Health and Ageing&lt;/publisher&gt;&lt;urls&gt;&lt;related-urls&gt;&lt;url&gt;http://www.nationaldrugstrategy.gov.au/internet/drugstrategy/publishing.nsf/Content/national_ts_2012_2018&lt;/url&gt;&lt;/related-urls&gt;&lt;/urls&gt;&lt;/record&gt;&lt;/Cite&gt;&lt;/EndNote&gt;</w:instrText>
      </w:r>
      <w:r w:rsidR="008E4A1B">
        <w:rPr>
          <w:rFonts w:eastAsiaTheme="minorHAnsi"/>
          <w:lang w:val="en-AU"/>
        </w:rPr>
        <w:fldChar w:fldCharType="separate"/>
      </w:r>
      <w:r w:rsidR="005B3C51" w:rsidRPr="005B3C51">
        <w:rPr>
          <w:rFonts w:eastAsiaTheme="minorHAnsi"/>
          <w:noProof/>
          <w:vertAlign w:val="superscript"/>
          <w:lang w:val="en-AU"/>
        </w:rPr>
        <w:t>147</w:t>
      </w:r>
      <w:r w:rsidR="008E4A1B">
        <w:rPr>
          <w:rFonts w:eastAsiaTheme="minorHAnsi"/>
          <w:lang w:val="en-AU"/>
        </w:rPr>
        <w:fldChar w:fldCharType="end"/>
      </w:r>
      <w:r w:rsidRPr="006F3AA1">
        <w:rPr>
          <w:rFonts w:eastAsiaTheme="minorHAnsi"/>
          <w:lang w:val="en-AU"/>
        </w:rPr>
        <w:t xml:space="preserve"> </w:t>
      </w:r>
    </w:p>
    <w:p w:rsidR="003E44C2" w:rsidRDefault="003E44C2" w:rsidP="000B78C3">
      <w:pPr>
        <w:widowControl/>
        <w:autoSpaceDE w:val="0"/>
        <w:autoSpaceDN w:val="0"/>
        <w:adjustRightInd w:val="0"/>
        <w:rPr>
          <w:rFonts w:eastAsiaTheme="minorHAnsi"/>
          <w:lang w:val="en-AU"/>
        </w:rPr>
      </w:pPr>
    </w:p>
    <w:p w:rsidR="007B55B6" w:rsidRPr="00EA2C21" w:rsidRDefault="000145F7" w:rsidP="007B55B6">
      <w:pPr>
        <w:rPr>
          <w:rFonts w:eastAsia="Arial"/>
          <w:color w:val="808080" w:themeColor="background1" w:themeShade="80"/>
          <w:sz w:val="28"/>
          <w:szCs w:val="28"/>
        </w:rPr>
      </w:pPr>
      <w:r w:rsidRPr="00EA2C21">
        <w:rPr>
          <w:rFonts w:eastAsia="Arial"/>
          <w:color w:val="808080" w:themeColor="background1" w:themeShade="80"/>
          <w:sz w:val="28"/>
          <w:szCs w:val="28"/>
        </w:rPr>
        <w:t xml:space="preserve">Improve regulation </w:t>
      </w:r>
      <w:r w:rsidR="007B55B6" w:rsidRPr="00EA2C21">
        <w:rPr>
          <w:rFonts w:eastAsia="Arial"/>
          <w:color w:val="808080" w:themeColor="background1" w:themeShade="80"/>
          <w:sz w:val="28"/>
          <w:szCs w:val="28"/>
        </w:rPr>
        <w:t>of contents, product disclosure and supply</w:t>
      </w:r>
    </w:p>
    <w:p w:rsidR="009926E2" w:rsidRPr="00194AD8" w:rsidRDefault="009926E2" w:rsidP="009926E2">
      <w:pPr>
        <w:ind w:right="57"/>
        <w:rPr>
          <w:rFonts w:eastAsia="Arial"/>
          <w:sz w:val="18"/>
          <w:szCs w:val="18"/>
        </w:rPr>
      </w:pPr>
    </w:p>
    <w:p w:rsidR="00A108C3" w:rsidRDefault="001504E3" w:rsidP="005900E9">
      <w:r>
        <w:t xml:space="preserve">While progress has been made in reducing the fire risk associated with cigarettes, </w:t>
      </w:r>
      <w:r w:rsidR="002F7905">
        <w:t xml:space="preserve">and some Australian states and territories have banned the sales of </w:t>
      </w:r>
      <w:r w:rsidR="00110831" w:rsidRPr="00104E17">
        <w:t>fruit and confectionery-flavoured cigarettes</w:t>
      </w:r>
      <w:r w:rsidR="00753C62">
        <w:t>,</w:t>
      </w:r>
      <w:r w:rsidR="00110831" w:rsidRPr="00104E17">
        <w:t xml:space="preserve"> </w:t>
      </w:r>
      <w:r w:rsidR="00753C62">
        <w:t>t</w:t>
      </w:r>
      <w:r w:rsidR="005A027B" w:rsidRPr="00CF255B">
        <w:t>he NTS notes</w:t>
      </w:r>
      <w:r w:rsidR="005A027B">
        <w:t xml:space="preserve"> that</w:t>
      </w:r>
      <w:r w:rsidR="005A027B" w:rsidRPr="00104E17">
        <w:t xml:space="preserve"> there are currently few controls on the </w:t>
      </w:r>
      <w:r w:rsidR="005A027B">
        <w:t>contents, product disclosure and supply</w:t>
      </w:r>
      <w:r w:rsidR="005A027B" w:rsidRPr="00104E17">
        <w:t xml:space="preserve"> of tobacco in Australia.</w:t>
      </w:r>
      <w:r w:rsidR="005A027B">
        <w:fldChar w:fldCharType="begin"/>
      </w:r>
      <w:r w:rsidR="005B3C51">
        <w:instrText xml:space="preserve"> ADDIN EN.CITE &lt;EndNote&gt;&lt;Cite&gt;&lt;Author&gt;Intergovernmental Committee on Drugs&lt;/Author&gt;&lt;Year&gt;2012&lt;/Year&gt;&lt;RecNum&gt;544&lt;/RecNum&gt;&lt;DisplayText&gt;&lt;style face="superscript"&gt;147&lt;/style&gt;&lt;/DisplayText&gt;&lt;record&gt;&lt;rec-number&gt;544&lt;/rec-number&gt;&lt;foreign-keys&gt;&lt;key app="EN" db-id="zxa00wf2opvf9oeeset50xz7ezpfwre2v20z"&gt;544&lt;/key&gt;&lt;/foreign-keys&gt;&lt;ref-type name="Report"&gt;27&lt;/ref-type&gt;&lt;contributors&gt;&lt;authors&gt;&lt;author&gt;Intergovernmental Committee on Drugs,&lt;/author&gt;&lt;/authors&gt;&lt;/contributors&gt;&lt;titles&gt;&lt;title&gt;National Tobacco Strategy 2012–2018&lt;/title&gt;&lt;/titles&gt;&lt;dates&gt;&lt;year&gt;2012&lt;/year&gt;&lt;/dates&gt;&lt;pub-location&gt;Canberra&lt;/pub-location&gt;&lt;publisher&gt;Department of Health and Ageing&lt;/publisher&gt;&lt;urls&gt;&lt;related-urls&gt;&lt;url&gt;http://www.nationaldrugstrategy.gov.au/internet/drugstrategy/publishing.nsf/Content/national_ts_2012_2018&lt;/url&gt;&lt;/related-urls&gt;&lt;/urls&gt;&lt;/record&gt;&lt;/Cite&gt;&lt;/EndNote&gt;</w:instrText>
      </w:r>
      <w:r w:rsidR="005A027B">
        <w:fldChar w:fldCharType="separate"/>
      </w:r>
      <w:r w:rsidR="005B3C51" w:rsidRPr="005B3C51">
        <w:rPr>
          <w:noProof/>
          <w:vertAlign w:val="superscript"/>
        </w:rPr>
        <w:t>147</w:t>
      </w:r>
      <w:r w:rsidR="005A027B">
        <w:fldChar w:fldCharType="end"/>
      </w:r>
      <w:r w:rsidR="005A027B">
        <w:t xml:space="preserve"> </w:t>
      </w:r>
    </w:p>
    <w:p w:rsidR="00A108C3" w:rsidRDefault="00A108C3" w:rsidP="005900E9"/>
    <w:p w:rsidR="007A67CD" w:rsidRDefault="00110831" w:rsidP="007A67CD">
      <w:r w:rsidRPr="00104E17">
        <w:t xml:space="preserve">There </w:t>
      </w:r>
      <w:r w:rsidR="005A027B">
        <w:t>is</w:t>
      </w:r>
      <w:r w:rsidRPr="00104E17">
        <w:t xml:space="preserve"> concern that current policy arrangements for product disclosure are inadequate.</w:t>
      </w:r>
      <w:r w:rsidR="004E5B59">
        <w:fldChar w:fldCharType="begin"/>
      </w:r>
      <w:r w:rsidR="005B3C51">
        <w:instrText xml:space="preserve"> ADDIN EN.CITE &lt;EndNote&gt;&lt;Cite&gt;&lt;Author&gt;Ipsos-Eureka Social Research Institute&lt;/Author&gt;&lt;Year&gt;2009&lt;/Year&gt;&lt;RecNum&gt;1084&lt;/RecNum&gt;&lt;DisplayText&gt;&lt;style face="superscript"&gt;154&lt;/style&gt;&lt;/DisplayText&gt;&lt;record&gt;&lt;rec-number&gt;1084&lt;/rec-number&gt;&lt;foreign-keys&gt;&lt;key app="EN" db-id="zxa00wf2opvf9oeeset50xz7ezpfwre2v20z"&gt;1084&lt;/key&gt;&lt;/foreign-keys&gt;&lt;ref-type name="Report"&gt;27&lt;/ref-type&gt;&lt;contributors&gt;&lt;authors&gt;&lt;author&gt;Ipsos-Eureka Social Research Institute,&lt;/author&gt;&lt;/authors&gt;&lt;/contributors&gt;&lt;titles&gt;&lt;title&gt;Public health value of disclosed cigarette ingredients and emissions data. Prepared for the Department of Health and Ageing. Ipsos-Eureka Project 4241, January 2009&lt;/title&gt;&lt;/titles&gt;&lt;dates&gt;&lt;year&gt;2009&lt;/year&gt;&lt;/dates&gt;&lt;pub-location&gt;Sydney&lt;/pub-location&gt;&lt;publisher&gt;Ipsos-Eureka Social Research Institute&lt;/publisher&gt;&lt;urls&gt;&lt;related-urls&gt;&lt;url&gt;file:///C:/Users/he55179/Downloads/phv-cig-ing-em-data.pdf&lt;/url&gt;&lt;/related-urls&gt;&lt;/urls&gt;&lt;/record&gt;&lt;/Cite&gt;&lt;/EndNote&gt;</w:instrText>
      </w:r>
      <w:r w:rsidR="004E5B59">
        <w:fldChar w:fldCharType="separate"/>
      </w:r>
      <w:r w:rsidR="005B3C51" w:rsidRPr="005B3C51">
        <w:rPr>
          <w:noProof/>
          <w:vertAlign w:val="superscript"/>
        </w:rPr>
        <w:t>154</w:t>
      </w:r>
      <w:r w:rsidR="004E5B59">
        <w:fldChar w:fldCharType="end"/>
      </w:r>
      <w:r w:rsidR="005900E9">
        <w:t xml:space="preserve"> </w:t>
      </w:r>
      <w:r w:rsidR="00E50CBD">
        <w:t>Articles</w:t>
      </w:r>
      <w:r w:rsidR="005900E9" w:rsidRPr="00104E17">
        <w:t xml:space="preserve"> 9 and 10 of the </w:t>
      </w:r>
      <w:r w:rsidR="001214D1">
        <w:t>WHO FCTC</w:t>
      </w:r>
      <w:r w:rsidR="005900E9">
        <w:fldChar w:fldCharType="begin"/>
      </w:r>
      <w:r w:rsidR="005B3C51">
        <w:instrText xml:space="preserve"> ADDIN EN.CITE &lt;EndNote&gt;&lt;Cite&gt;&lt;Author&gt;World Health Organization&lt;/Author&gt;&lt;Year&gt;2003&lt;/Year&gt;&lt;RecNum&gt;938&lt;/RecNum&gt;&lt;DisplayText&gt;&lt;style face="superscript"&gt;148&lt;/style&gt;&lt;/DisplayText&gt;&lt;record&gt;&lt;rec-number&gt;938&lt;/rec-number&gt;&lt;foreign-keys&gt;&lt;key app="EN" db-id="zxa00wf2opvf9oeeset50xz7ezpfwre2v20z"&gt;938&lt;/key&gt;&lt;/foreign-keys&gt;&lt;ref-type name="Report"&gt;27&lt;/ref-type&gt;&lt;contributors&gt;&lt;authors&gt;&lt;author&gt;World Health Organization,&lt;/author&gt;&lt;/authors&gt;&lt;/contributors&gt;&lt;titles&gt;&lt;title&gt;Framework Convention on Tobacco Control&lt;/title&gt;&lt;/titles&gt;&lt;dates&gt;&lt;year&gt;2003&lt;/year&gt;&lt;/dates&gt;&lt;pub-location&gt;Geneva&lt;/pub-location&gt;&lt;publisher&gt;World Health Organization&lt;/publisher&gt;&lt;urls&gt;&lt;related-urls&gt;&lt;url&gt;http://www.who.int/fctc/text_download/en/index.html&lt;/url&gt;&lt;/related-urls&gt;&lt;/urls&gt;&lt;/record&gt;&lt;/Cite&gt;&lt;/EndNote&gt;</w:instrText>
      </w:r>
      <w:r w:rsidR="005900E9">
        <w:fldChar w:fldCharType="separate"/>
      </w:r>
      <w:r w:rsidR="005B3C51" w:rsidRPr="005B3C51">
        <w:rPr>
          <w:noProof/>
          <w:vertAlign w:val="superscript"/>
        </w:rPr>
        <w:t>148</w:t>
      </w:r>
      <w:r w:rsidR="005900E9">
        <w:fldChar w:fldCharType="end"/>
      </w:r>
      <w:r w:rsidR="005900E9">
        <w:t xml:space="preserve"> </w:t>
      </w:r>
      <w:r w:rsidR="008E4E78">
        <w:t xml:space="preserve">call </w:t>
      </w:r>
      <w:r w:rsidR="00317C98">
        <w:t xml:space="preserve">for the implementation of measures </w:t>
      </w:r>
      <w:r w:rsidR="00467AA6">
        <w:t>for testing, measur</w:t>
      </w:r>
      <w:r w:rsidR="00A108C3">
        <w:t>ing</w:t>
      </w:r>
      <w:r w:rsidR="00467AA6">
        <w:t xml:space="preserve"> and regulating contents and emissions of tobacco products</w:t>
      </w:r>
      <w:r w:rsidR="00A108C3">
        <w:t>,</w:t>
      </w:r>
      <w:r w:rsidR="00467AA6">
        <w:t xml:space="preserve"> and for the disclosure by tobacco manufacturers and </w:t>
      </w:r>
      <w:r w:rsidR="00467AA6" w:rsidRPr="00EF0FA3">
        <w:t xml:space="preserve">importers </w:t>
      </w:r>
      <w:r w:rsidR="003D4474" w:rsidRPr="00EF0FA3">
        <w:t>of information about the toxic content of</w:t>
      </w:r>
      <w:r w:rsidR="007C05CB" w:rsidRPr="00EF0FA3">
        <w:t xml:space="preserve"> and</w:t>
      </w:r>
      <w:r w:rsidR="00EF0FA3">
        <w:t xml:space="preserve"> emissions from their products.</w:t>
      </w:r>
      <w:r w:rsidR="005900E9" w:rsidRPr="00EF0FA3">
        <w:t xml:space="preserve"> </w:t>
      </w:r>
      <w:r w:rsidR="008E4E78">
        <w:t>Correspondingly, t</w:t>
      </w:r>
      <w:r w:rsidR="00623EF5" w:rsidRPr="00EF0FA3">
        <w:t>he</w:t>
      </w:r>
      <w:r w:rsidR="00165AFA" w:rsidRPr="00EF0FA3">
        <w:t xml:space="preserve"> NTS states that “</w:t>
      </w:r>
      <w:r w:rsidR="00165AFA" w:rsidRPr="00EF0FA3">
        <w:rPr>
          <w:i/>
        </w:rPr>
        <w:t>the contents of tobacco products and of tobacco product disclosures is an important area of tobacco control that warrants additional investigations and analysis to inform future policies</w:t>
      </w:r>
      <w:r w:rsidR="00165AFA" w:rsidRPr="00EF0FA3">
        <w:t>.”</w:t>
      </w:r>
      <w:r w:rsidR="00165AFA" w:rsidRPr="00EF0FA3">
        <w:fldChar w:fldCharType="begin"/>
      </w:r>
      <w:r w:rsidR="005B3C51">
        <w:instrText xml:space="preserve"> ADDIN EN.CITE &lt;EndNote&gt;&lt;Cite&gt;&lt;Author&gt;Intergovernmental Committee on Drugs&lt;/Author&gt;&lt;Year&gt;2012&lt;/Year&gt;&lt;RecNum&gt;544&lt;/RecNum&gt;&lt;DisplayText&gt;&lt;style face="superscript"&gt;147&lt;/style&gt;&lt;/DisplayText&gt;&lt;record&gt;&lt;rec-number&gt;544&lt;/rec-number&gt;&lt;foreign-keys&gt;&lt;key app="EN" db-id="zxa00wf2opvf9oeeset50xz7ezpfwre2v20z"&gt;544&lt;/key&gt;&lt;/foreign-keys&gt;&lt;ref-type name="Report"&gt;27&lt;/ref-type&gt;&lt;contributors&gt;&lt;authors&gt;&lt;author&gt;Intergovernmental Committee on Drugs,&lt;/author&gt;&lt;/authors&gt;&lt;/contributors&gt;&lt;titles&gt;&lt;title&gt;National Tobacco Strategy 2012–2018&lt;/title&gt;&lt;/titles&gt;&lt;dates&gt;&lt;year&gt;2012&lt;/year&gt;&lt;/dates&gt;&lt;pub-location&gt;Canberra&lt;/pub-location&gt;&lt;publisher&gt;Department of Health and Ageing&lt;/publisher&gt;&lt;urls&gt;&lt;related-urls&gt;&lt;url&gt;http://www.nationaldrugstrategy.gov.au/internet/drugstrategy/publishing.nsf/Content/national_ts_2012_2018&lt;/url&gt;&lt;/related-urls&gt;&lt;/urls&gt;&lt;/record&gt;&lt;/Cite&gt;&lt;/EndNote&gt;</w:instrText>
      </w:r>
      <w:r w:rsidR="00165AFA" w:rsidRPr="00EF0FA3">
        <w:fldChar w:fldCharType="separate"/>
      </w:r>
      <w:r w:rsidR="005B3C51" w:rsidRPr="005B3C51">
        <w:rPr>
          <w:noProof/>
          <w:vertAlign w:val="superscript"/>
        </w:rPr>
        <w:t>147</w:t>
      </w:r>
      <w:r w:rsidR="00165AFA" w:rsidRPr="00EF0FA3">
        <w:fldChar w:fldCharType="end"/>
      </w:r>
      <w:r w:rsidR="007A67CD">
        <w:br w:type="page"/>
      </w:r>
    </w:p>
    <w:p w:rsidR="005D144B" w:rsidRDefault="00FD43BD" w:rsidP="005900E9">
      <w:r w:rsidRPr="00447F5F">
        <w:lastRenderedPageBreak/>
        <w:t xml:space="preserve">Supply of tobacco products to children remains a concern. </w:t>
      </w:r>
      <w:r w:rsidR="00713325" w:rsidRPr="0015353E">
        <w:t>Research</w:t>
      </w:r>
      <w:r w:rsidR="0007354F" w:rsidRPr="0015353E">
        <w:t xml:space="preserve"> from 201</w:t>
      </w:r>
      <w:r w:rsidR="00161951" w:rsidRPr="0015353E">
        <w:t>4</w:t>
      </w:r>
      <w:r w:rsidR="00713325" w:rsidRPr="0015353E">
        <w:t xml:space="preserve"> showed that </w:t>
      </w:r>
      <w:r w:rsidR="00071B5D" w:rsidRPr="0015353E">
        <w:t>44</w:t>
      </w:r>
      <w:r w:rsidR="00C0458F" w:rsidRPr="0015353E">
        <w:t xml:space="preserve">% of </w:t>
      </w:r>
      <w:r w:rsidR="00713325" w:rsidRPr="0015353E">
        <w:t xml:space="preserve">Western Australian </w:t>
      </w:r>
      <w:r w:rsidR="00C0458F" w:rsidRPr="0015353E">
        <w:t>children aged 12</w:t>
      </w:r>
      <w:r w:rsidR="00071B5D" w:rsidRPr="0015353E">
        <w:t>–</w:t>
      </w:r>
      <w:r w:rsidR="00C0458F" w:rsidRPr="0015353E">
        <w:t xml:space="preserve">17 who had smoked in the past week </w:t>
      </w:r>
      <w:r w:rsidR="00924C09" w:rsidRPr="0015353E">
        <w:t xml:space="preserve">had </w:t>
      </w:r>
      <w:r w:rsidR="00C0458F" w:rsidRPr="0015353E">
        <w:t xml:space="preserve">obtained cigarettes </w:t>
      </w:r>
      <w:r w:rsidR="00924C09" w:rsidRPr="0015353E">
        <w:t>from</w:t>
      </w:r>
      <w:r w:rsidR="00C0458F" w:rsidRPr="0015353E">
        <w:t xml:space="preserve"> their friends</w:t>
      </w:r>
      <w:r w:rsidR="007C3B3A" w:rsidRPr="0015353E">
        <w:fldChar w:fldCharType="begin"/>
      </w:r>
      <w:r w:rsidR="005B3C51">
        <w:instrText xml:space="preserve"> ADDIN EN.CITE &lt;EndNote&gt;&lt;Cite&gt;&lt;Author&gt;Department of Health&lt;/Author&gt;&lt;Year&gt;2016&lt;/Year&gt;&lt;RecNum&gt;1062&lt;/RecNum&gt;&lt;DisplayText&gt;&lt;style face="superscript"&gt;140&lt;/style&gt;&lt;/DisplayText&gt;&lt;record&gt;&lt;rec-number&gt;1062&lt;/rec-number&gt;&lt;foreign-keys&gt;&lt;key app="EN" db-id="zxa00wf2opvf9oeeset50xz7ezpfwre2v20z"&gt;1062&lt;/key&gt;&lt;/foreign-keys&gt;&lt;ref-type name="Report"&gt;27&lt;/ref-type&gt;&lt;contributors&gt;&lt;authors&gt;&lt;author&gt;Department of Health,&lt;/author&gt;&lt;author&gt;Western Australia,&lt;/author&gt;&lt;/authors&gt;&lt;/contributors&gt;&lt;titles&gt;&lt;title&gt;Australian Secondary Students’ Alcohol and Drug Survey 2014: Western Australian results: tobacco&lt;/title&gt;&lt;/titles&gt;&lt;dates&gt;&lt;year&gt;2016&lt;/year&gt;&lt;/dates&gt;&lt;pub-location&gt;Perth&lt;/pub-location&gt;&lt;publisher&gt;Department of Health, Western Australia&lt;/publisher&gt;&lt;urls&gt;&lt;/urls&gt;&lt;/record&gt;&lt;/Cite&gt;&lt;/EndNote&gt;</w:instrText>
      </w:r>
      <w:r w:rsidR="007C3B3A" w:rsidRPr="0015353E">
        <w:fldChar w:fldCharType="separate"/>
      </w:r>
      <w:r w:rsidR="005B3C51" w:rsidRPr="005B3C51">
        <w:rPr>
          <w:noProof/>
          <w:vertAlign w:val="superscript"/>
        </w:rPr>
        <w:t>140</w:t>
      </w:r>
      <w:r w:rsidR="007C3B3A" w:rsidRPr="0015353E">
        <w:fldChar w:fldCharType="end"/>
      </w:r>
      <w:r w:rsidR="007C3B3A" w:rsidRPr="0015353E">
        <w:t xml:space="preserve"> </w:t>
      </w:r>
      <w:r w:rsidR="0054230E" w:rsidRPr="0015353E">
        <w:t xml:space="preserve">and </w:t>
      </w:r>
      <w:r w:rsidR="000E791C" w:rsidRPr="0015353E">
        <w:t xml:space="preserve">that </w:t>
      </w:r>
      <w:r w:rsidR="0054230E" w:rsidRPr="0015353E">
        <w:t>20% had asked somebody else to make the purchase.</w:t>
      </w:r>
      <w:r w:rsidR="002F4615" w:rsidRPr="0015353E">
        <w:fldChar w:fldCharType="begin"/>
      </w:r>
      <w:r w:rsidR="005B3C51">
        <w:instrText xml:space="preserve"> ADDIN EN.CITE &lt;EndNote&gt;&lt;Cite&gt;&lt;Author&gt;Department of Health WA&lt;/Author&gt;&lt;Year&gt;2016&lt;/Year&gt;&lt;RecNum&gt;1097&lt;/RecNum&gt;&lt;DisplayText&gt;&lt;style face="superscript"&gt;155&lt;/style&gt;&lt;/DisplayText&gt;&lt;record&gt;&lt;rec-number&gt;1097&lt;/rec-number&gt;&lt;foreign-keys&gt;&lt;key app="EN" db-id="zxa00wf2opvf9oeeset50xz7ezpfwre2v20z"&gt;1097&lt;/key&gt;&lt;/foreign-keys&gt;&lt;ref-type name="Report"&gt;27&lt;/ref-type&gt;&lt;contributors&gt;&lt;authors&gt;&lt;author&gt;Department of Health WA,&lt;/author&gt;&lt;/authors&gt;&lt;/contributors&gt;&lt;titles&gt;&lt;title&gt;Australian Secondary Students’ Alcohol and Drug Survey 2014. Unpublished dataset, cited with permission&lt;/title&gt;&lt;/titles&gt;&lt;dates&gt;&lt;year&gt;2016&lt;/year&gt;&lt;/dates&gt;&lt;pub-location&gt;Perth&lt;/pub-location&gt;&lt;publisher&gt;Chronic Disease Prevention Directorate, Public Health Division, Department of Health WA&lt;/publisher&gt;&lt;urls&gt;&lt;/urls&gt;&lt;/record&gt;&lt;/Cite&gt;&lt;/EndNote&gt;</w:instrText>
      </w:r>
      <w:r w:rsidR="002F4615" w:rsidRPr="0015353E">
        <w:fldChar w:fldCharType="separate"/>
      </w:r>
      <w:r w:rsidR="005B3C51" w:rsidRPr="005B3C51">
        <w:rPr>
          <w:noProof/>
          <w:vertAlign w:val="superscript"/>
        </w:rPr>
        <w:t>155</w:t>
      </w:r>
      <w:r w:rsidR="002F4615" w:rsidRPr="0015353E">
        <w:fldChar w:fldCharType="end"/>
      </w:r>
      <w:r w:rsidR="00DC41A4" w:rsidRPr="0015353E">
        <w:t xml:space="preserve"> </w:t>
      </w:r>
      <w:r w:rsidR="008B2DDE">
        <w:t>I</w:t>
      </w:r>
      <w:r w:rsidR="009F6C63">
        <w:t>t is encouraging that fewer tobacco retailers are selling cigarettes to children in WA than previously</w:t>
      </w:r>
      <w:r w:rsidR="001C2F99">
        <w:t>.</w:t>
      </w:r>
      <w:r w:rsidR="00343960">
        <w:fldChar w:fldCharType="begin"/>
      </w:r>
      <w:r w:rsidR="005B3C51">
        <w:instrText xml:space="preserve"> ADDIN EN.CITE &lt;EndNote&gt;&lt;Cite&gt;&lt;Author&gt;Tobacco Compliance Branch&lt;/Author&gt;&lt;Year&gt;2016&lt;/Year&gt;&lt;RecNum&gt;1094&lt;/RecNum&gt;&lt;DisplayText&gt;&lt;style face="superscript"&gt;156&lt;/style&gt;&lt;/DisplayText&gt;&lt;record&gt;&lt;rec-number&gt;1094&lt;/rec-number&gt;&lt;foreign-keys&gt;&lt;key app="EN" db-id="zxa00wf2opvf9oeeset50xz7ezpfwre2v20z"&gt;1094&lt;/key&gt;&lt;/foreign-keys&gt;&lt;ref-type name="Report"&gt;27&lt;/ref-type&gt;&lt;contributors&gt;&lt;authors&gt;&lt;author&gt;Tobacco Compliance Branch,&lt;/author&gt;&lt;/authors&gt;&lt;/contributors&gt;&lt;titles&gt;&lt;title&gt;Report on the Tobacco Compliance Survey 2015&lt;/title&gt;&lt;/titles&gt;&lt;dates&gt;&lt;year&gt;2016&lt;/year&gt;&lt;/dates&gt;&lt;pub-location&gt;Perth&lt;/pub-location&gt;&lt;publisher&gt;Department of Health, Government of Western Australia&lt;/publisher&gt;&lt;urls&gt;&lt;related-urls&gt;&lt;url&gt;http://ww2.health.wa.gov.au/~/media/Files/Corporate/general%20documents/Tobacco/PDF/2015-Tobacco-retailer-compliance-survey-final.ashx&lt;/url&gt;&lt;/related-urls&gt;&lt;/urls&gt;&lt;/record&gt;&lt;/Cite&gt;&lt;/EndNote&gt;</w:instrText>
      </w:r>
      <w:r w:rsidR="00343960">
        <w:fldChar w:fldCharType="separate"/>
      </w:r>
      <w:r w:rsidR="005B3C51" w:rsidRPr="005B3C51">
        <w:rPr>
          <w:noProof/>
          <w:vertAlign w:val="superscript"/>
        </w:rPr>
        <w:t>156</w:t>
      </w:r>
      <w:r w:rsidR="00343960">
        <w:fldChar w:fldCharType="end"/>
      </w:r>
    </w:p>
    <w:p w:rsidR="005D144B" w:rsidRDefault="005D144B" w:rsidP="005900E9"/>
    <w:p w:rsidR="005900E9" w:rsidRPr="00104E17" w:rsidRDefault="008B2DDE" w:rsidP="005900E9">
      <w:r>
        <w:t>There is evidence from interstate</w:t>
      </w:r>
      <w:r w:rsidR="00CB5B70">
        <w:fldChar w:fldCharType="begin"/>
      </w:r>
      <w:r w:rsidR="005B3C51">
        <w:instrText xml:space="preserve"> ADDIN EN.CITE &lt;EndNote&gt;&lt;Cite&gt;&lt;Author&gt;NSW Health&lt;/Author&gt;&lt;Year&gt;2008&lt;/Year&gt;&lt;RecNum&gt;709&lt;/RecNum&gt;&lt;DisplayText&gt;&lt;style face="superscript"&gt;157, 158&lt;/style&gt;&lt;/DisplayText&gt;&lt;record&gt;&lt;rec-number&gt;709&lt;/rec-number&gt;&lt;foreign-keys&gt;&lt;key app="EN" db-id="zxa00wf2opvf9oeeset50xz7ezpfwre2v20z"&gt;709&lt;/key&gt;&lt;/foreign-keys&gt;&lt;ref-type name="Web Page"&gt;12&lt;/ref-type&gt;&lt;contributors&gt;&lt;authors&gt;&lt;author&gt;NSW Health,&lt;/author&gt;&lt;/authors&gt;&lt;/contributors&gt;&lt;titles&gt;&lt;title&gt;Protecting young people from tobacco: A NSW Government discussion paper on the next steps to reduce tobacco-related harm, 2008&lt;/title&gt;&lt;/titles&gt;&lt;dates&gt;&lt;year&gt;2008&lt;/year&gt;&lt;/dates&gt;&lt;pub-location&gt;Sydney&lt;/pub-location&gt;&lt;publisher&gt;Department of Health, Government of New South Wales&lt;/publisher&gt;&lt;urls&gt;&lt;related-urls&gt;&lt;url&gt;http://www.health.nsw.gov.au/pubs/2008/protecting_children.html&lt;/url&gt;&lt;/related-urls&gt;&lt;/urls&gt;&lt;/record&gt;&lt;/Cite&gt;&lt;Cite&gt;&lt;Author&gt;Government of South Australia&lt;/Author&gt;&lt;Year&gt;2005&lt;/Year&gt;&lt;RecNum&gt;1096&lt;/RecNum&gt;&lt;record&gt;&lt;rec-number&gt;1096&lt;/rec-number&gt;&lt;foreign-keys&gt;&lt;key app="EN" db-id="zxa00wf2opvf9oeeset50xz7ezpfwre2v20z"&gt;1096&lt;/key&gt;&lt;/foreign-keys&gt;&lt;ref-type name="Report"&gt;27&lt;/ref-type&gt;&lt;contributors&gt;&lt;authors&gt;&lt;author&gt;Government of South Australia,&lt;/author&gt;&lt;author&gt;Department of Health,&lt;/author&gt;&lt;/authors&gt;&lt;/contributors&gt;&lt;titles&gt;&lt;title&gt;Preventing the sale of tobacco products to minors&lt;/title&gt;&lt;/titles&gt;&lt;dates&gt;&lt;year&gt;2005&lt;/year&gt;&lt;/dates&gt;&lt;pub-location&gt;Adelaide&lt;/pub-location&gt;&lt;publisher&gt;Department of Health&lt;/publisher&gt;&lt;urls&gt;&lt;related-urls&gt;&lt;url&gt;http://www.tobaccolaws.sa.gov.au/Default.aspx?tabid=90&lt;/url&gt;&lt;/related-urls&gt;&lt;/urls&gt;&lt;/record&gt;&lt;/Cite&gt;&lt;/EndNote&gt;</w:instrText>
      </w:r>
      <w:r w:rsidR="00CB5B70">
        <w:fldChar w:fldCharType="separate"/>
      </w:r>
      <w:r w:rsidR="005B3C51" w:rsidRPr="005B3C51">
        <w:rPr>
          <w:noProof/>
          <w:vertAlign w:val="superscript"/>
        </w:rPr>
        <w:t>157, 158</w:t>
      </w:r>
      <w:r w:rsidR="00CB5B70">
        <w:fldChar w:fldCharType="end"/>
      </w:r>
      <w:r>
        <w:t xml:space="preserve"> and Western Australian</w:t>
      </w:r>
      <w:r w:rsidR="00172351">
        <w:fldChar w:fldCharType="begin">
          <w:fldData xml:space="preserve">PEVuZE5vdGU+PENpdGU+PEF1dGhvcj5Ub2JhY2NvIENvbnRyb2wgQnJhbmNoPC9BdXRob3I+PFll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</w:fldData>
        </w:fldChar>
      </w:r>
      <w:r w:rsidR="005B3C51">
        <w:instrText xml:space="preserve"> ADDIN EN.CITE </w:instrText>
      </w:r>
      <w:r w:rsidR="005B3C51">
        <w:fldChar w:fldCharType="begin">
          <w:fldData xml:space="preserve">PEVuZE5vdGU+PENpdGU+PEF1dGhvcj5Ub2JhY2NvIENvbnRyb2wgQnJhbmNoPC9BdXRob3I+PFll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</w:fldData>
        </w:fldChar>
      </w:r>
      <w:r w:rsidR="005B3C51">
        <w:instrText xml:space="preserve"> ADDIN EN.CITE.DATA </w:instrText>
      </w:r>
      <w:r w:rsidR="005B3C51">
        <w:fldChar w:fldCharType="end"/>
      </w:r>
      <w:r w:rsidR="00172351">
        <w:fldChar w:fldCharType="separate"/>
      </w:r>
      <w:r w:rsidR="005B3C51" w:rsidRPr="005B3C51">
        <w:rPr>
          <w:noProof/>
          <w:vertAlign w:val="superscript"/>
        </w:rPr>
        <w:t>159-163</w:t>
      </w:r>
      <w:r w:rsidR="00172351">
        <w:fldChar w:fldCharType="end"/>
      </w:r>
      <w:r>
        <w:t xml:space="preserve"> compliance monitoring activities that some sales assistants </w:t>
      </w:r>
      <w:r w:rsidR="00BF3FA5">
        <w:t xml:space="preserve">who appear to be </w:t>
      </w:r>
      <w:r>
        <w:t>under the age of 18 sell tobacco products to minors</w:t>
      </w:r>
      <w:r w:rsidR="00172351">
        <w:t>.</w:t>
      </w:r>
      <w:r>
        <w:t xml:space="preserve"> </w:t>
      </w:r>
      <w:r w:rsidR="00865FCD">
        <w:t xml:space="preserve">It may be that younger sales assistants find it more difficult to refuse to sell tobacco products to their peers, or </w:t>
      </w:r>
      <w:r w:rsidR="00936B52">
        <w:t>do</w:t>
      </w:r>
      <w:r w:rsidR="00865FCD">
        <w:t xml:space="preserve"> not feel as confident</w:t>
      </w:r>
      <w:r w:rsidR="001C2F99">
        <w:t xml:space="preserve"> </w:t>
      </w:r>
      <w:r w:rsidR="00172351">
        <w:t xml:space="preserve">about </w:t>
      </w:r>
      <w:r w:rsidR="001C2F99">
        <w:t xml:space="preserve">asking to view identification. </w:t>
      </w:r>
      <w:r w:rsidR="006169AC">
        <w:t>Article</w:t>
      </w:r>
      <w:r w:rsidR="00D97B87">
        <w:t>16</w:t>
      </w:r>
      <w:r w:rsidR="006169AC">
        <w:t xml:space="preserve"> of the WHO FCTC calls for appropriate measures to</w:t>
      </w:r>
      <w:r w:rsidR="00001DCD">
        <w:t xml:space="preserve"> be taken to stop minors from selling tobacco products</w:t>
      </w:r>
      <w:r w:rsidR="00D97B87">
        <w:t>.</w:t>
      </w:r>
      <w:r w:rsidR="00E31BE9" w:rsidRPr="00447F5F">
        <w:fldChar w:fldCharType="begin"/>
      </w:r>
      <w:r w:rsidR="005B3C51">
        <w:instrText xml:space="preserve"> ADDIN EN.CITE &lt;EndNote&gt;&lt;Cite&gt;&lt;Author&gt;World Health Organization&lt;/Author&gt;&lt;Year&gt;2003&lt;/Year&gt;&lt;RecNum&gt;938&lt;/RecNum&gt;&lt;DisplayText&gt;&lt;style face="superscript"&gt;148&lt;/style&gt;&lt;/DisplayText&gt;&lt;record&gt;&lt;rec-number&gt;938&lt;/rec-number&gt;&lt;foreign-keys&gt;&lt;key app="EN" db-id="zxa00wf2opvf9oeeset50xz7ezpfwre2v20z"&gt;938&lt;/key&gt;&lt;/foreign-keys&gt;&lt;ref-type name="Report"&gt;27&lt;/ref-type&gt;&lt;contributors&gt;&lt;authors&gt;&lt;author&gt;World Health Organization,&lt;/author&gt;&lt;/authors&gt;&lt;/contributors&gt;&lt;titles&gt;&lt;title&gt;Framework Convention on Tobacco Control&lt;/title&gt;&lt;/titles&gt;&lt;dates&gt;&lt;year&gt;2003&lt;/year&gt;&lt;/dates&gt;&lt;pub-location&gt;Geneva&lt;/pub-location&gt;&lt;publisher&gt;World Health Organization&lt;/publisher&gt;&lt;urls&gt;&lt;related-urls&gt;&lt;url&gt;http://www.who.int/fctc/text_download/en/index.html&lt;/url&gt;&lt;/related-urls&gt;&lt;/urls&gt;&lt;/record&gt;&lt;/Cite&gt;&lt;/EndNote&gt;</w:instrText>
      </w:r>
      <w:r w:rsidR="00E31BE9" w:rsidRPr="00447F5F">
        <w:fldChar w:fldCharType="separate"/>
      </w:r>
      <w:r w:rsidR="005B3C51" w:rsidRPr="005B3C51">
        <w:rPr>
          <w:noProof/>
          <w:vertAlign w:val="superscript"/>
        </w:rPr>
        <w:t>148</w:t>
      </w:r>
      <w:r w:rsidR="00E31BE9" w:rsidRPr="00447F5F">
        <w:fldChar w:fldCharType="end"/>
      </w:r>
    </w:p>
    <w:p w:rsidR="00144F6A" w:rsidRDefault="00144F6A" w:rsidP="007B55B6">
      <w:pPr>
        <w:rPr>
          <w:rFonts w:eastAsia="Arial"/>
          <w:color w:val="808080" w:themeColor="background1" w:themeShade="80"/>
          <w:sz w:val="28"/>
          <w:szCs w:val="28"/>
        </w:rPr>
      </w:pPr>
    </w:p>
    <w:p w:rsidR="007B55B6" w:rsidRPr="00EA2C21" w:rsidRDefault="007B55B6" w:rsidP="007B55B6">
      <w:pPr>
        <w:rPr>
          <w:rFonts w:eastAsia="Arial"/>
          <w:color w:val="808080" w:themeColor="background1" w:themeShade="80"/>
          <w:sz w:val="28"/>
          <w:szCs w:val="28"/>
        </w:rPr>
      </w:pPr>
      <w:r w:rsidRPr="00EA2C21">
        <w:rPr>
          <w:rFonts w:eastAsia="Arial"/>
          <w:color w:val="808080" w:themeColor="background1" w:themeShade="80"/>
          <w:sz w:val="28"/>
          <w:szCs w:val="28"/>
        </w:rPr>
        <w:t>Monitor emerging products and trends</w:t>
      </w:r>
    </w:p>
    <w:p w:rsidR="007B55B6" w:rsidRPr="007B55B6" w:rsidRDefault="007B55B6" w:rsidP="007B55B6">
      <w:pPr>
        <w:rPr>
          <w:color w:val="004B8D"/>
          <w:highlight w:val="yellow"/>
        </w:rPr>
      </w:pPr>
    </w:p>
    <w:p w:rsidR="007B55B6" w:rsidRPr="00263290" w:rsidRDefault="007B55B6" w:rsidP="007B55B6">
      <w:r w:rsidRPr="00263290">
        <w:t xml:space="preserve">Alternative </w:t>
      </w:r>
      <w:r w:rsidR="00263290" w:rsidRPr="00263290">
        <w:t>nicotine delivery products</w:t>
      </w:r>
      <w:r w:rsidRPr="00263290">
        <w:t xml:space="preserve"> such as electronic cigarettes (e-cigarettes, also known as electronic nicotine delivery systems, electronic non-nicotine delivery systems, or ‘ENDS’) have recently gained prominence in Australia and around the world</w:t>
      </w:r>
      <w:r w:rsidR="00BD17F1">
        <w:t>.</w:t>
      </w:r>
      <w:r w:rsidR="008E4A1B">
        <w:fldChar w:fldCharType="begin"/>
      </w:r>
      <w:r w:rsidR="005B3C51">
        <w:instrText xml:space="preserve"> ADDIN EN.CITE &lt;EndNote&gt;&lt;Cite&gt;&lt;Author&gt;National Health and Medical Research Council&lt;/Author&gt;&lt;Year&gt;2015&lt;/Year&gt;&lt;RecNum&gt;1045&lt;/RecNum&gt;&lt;DisplayText&gt;&lt;style face="superscript"&gt;164&lt;/style&gt;&lt;/DisplayText&gt;&lt;record&gt;&lt;rec-number&gt;1045&lt;/rec-number&gt;&lt;foreign-keys&gt;&lt;key app="EN" db-id="zxa00wf2opvf9oeeset50xz7ezpfwre2v20z"&gt;1045&lt;/key&gt;&lt;/foreign-keys&gt;&lt;ref-type name="Report"&gt;27&lt;/ref-type&gt;&lt;contributors&gt;&lt;authors&gt;&lt;author&gt;National Health and Medical Research Council,&lt;/author&gt;&lt;/authors&gt;&lt;/contributors&gt;&lt;titles&gt;&lt;title&gt;NHMRC CEO statement: electronic cigarettes (e-cigarettes). March 2015&lt;/title&gt;&lt;/titles&gt;&lt;dates&gt;&lt;year&gt;2015&lt;/year&gt;&lt;/dates&gt;&lt;pub-location&gt;Canberra&lt;/pub-location&gt;&lt;publisher&gt;National Health and Medical Research Council&lt;/publisher&gt;&lt;urls&gt;&lt;related-urls&gt;&lt;url&gt;http://www.nhmrc.gov.au/_files_nhmrc/publications/attachments/ds13_nhmrc_ceo_statement_ecigarettes.pdf&lt;/url&gt;&lt;/related-urls&gt;&lt;/urls&gt;&lt;/record&gt;&lt;/Cite&gt;&lt;/EndNote&gt;</w:instrText>
      </w:r>
      <w:r w:rsidR="008E4A1B">
        <w:fldChar w:fldCharType="separate"/>
      </w:r>
      <w:r w:rsidR="005B3C51" w:rsidRPr="005B3C51">
        <w:rPr>
          <w:noProof/>
          <w:vertAlign w:val="superscript"/>
        </w:rPr>
        <w:t>164</w:t>
      </w:r>
      <w:r w:rsidR="008E4A1B">
        <w:fldChar w:fldCharType="end"/>
      </w:r>
    </w:p>
    <w:p w:rsidR="007B55B6" w:rsidRPr="00263290" w:rsidRDefault="007B55B6" w:rsidP="007B55B6"/>
    <w:p w:rsidR="007B55B6" w:rsidRPr="00263290" w:rsidRDefault="007B55B6" w:rsidP="007B55B6">
      <w:r w:rsidRPr="00263290">
        <w:t>These products give rise to important considerations of consumer safety, product regulation</w:t>
      </w:r>
      <w:r w:rsidR="00EF0FA3">
        <w:t xml:space="preserve"> and protection of young people.</w:t>
      </w:r>
      <w:r w:rsidRPr="00263290">
        <w:t xml:space="preserve"> </w:t>
      </w:r>
    </w:p>
    <w:p w:rsidR="007B55B6" w:rsidRPr="00263290" w:rsidRDefault="007B55B6" w:rsidP="007B55B6"/>
    <w:p w:rsidR="007B55B6" w:rsidRPr="00263290" w:rsidRDefault="007B55B6" w:rsidP="007B55B6">
      <w:r w:rsidRPr="00263290">
        <w:t>Following the sixth session of the Conference of the Parties to the WHO FCTC in Octo</w:t>
      </w:r>
      <w:r w:rsidR="005E026C">
        <w:t xml:space="preserve">ber 2014, the WHO advised that </w:t>
      </w:r>
      <w:r w:rsidRPr="00263290">
        <w:rPr>
          <w:i/>
          <w:iCs/>
        </w:rPr>
        <w:t xml:space="preserve">Governments should consider that if their country has already achieved a very low prevalence of smoking and that prevalence continues to decrease steadily, use of ENDS will not significantly decrease smoking-attributable disease and mortality even if the full theoretical risk reduction potential of ENDS were to be </w:t>
      </w:r>
      <w:r w:rsidRPr="00A10355">
        <w:rPr>
          <w:i/>
          <w:iCs/>
        </w:rPr>
        <w:t>realized</w:t>
      </w:r>
      <w:r w:rsidR="005E026C">
        <w:t>.</w:t>
      </w:r>
      <w:r w:rsidR="008E4A1B">
        <w:fldChar w:fldCharType="begin"/>
      </w:r>
      <w:r w:rsidR="005B3C51">
        <w:instrText xml:space="preserve"> ADDIN EN.CITE &lt;EndNote&gt;&lt;Cite&gt;&lt;Author&gt;Conference of the Parties to the WHO Framework Convention on Tobacco Control&lt;/Author&gt;&lt;Year&gt;2014&lt;/Year&gt;&lt;RecNum&gt;353&lt;/RecNum&gt;&lt;DisplayText&gt;&lt;style face="superscript"&gt;165&lt;/style&gt;&lt;/DisplayText&gt;&lt;record&gt;&lt;rec-number&gt;353&lt;/rec-number&gt;&lt;foreign-keys&gt;&lt;key app="EN" db-id="zxa00wf2opvf9oeeset50xz7ezpfwre2v20z"&gt;353&lt;/key&gt;&lt;/foreign-keys&gt;&lt;ref-type name="Report"&gt;27&lt;/ref-type&gt;&lt;contributors&gt;&lt;authors&gt;&lt;author&gt;Conference of the Parties to the WHO Framework Convention on Tobacco Control,&lt;/author&gt;&lt;/authors&gt;&lt;/contributors&gt;&lt;titles&gt;&lt;title&gt;Electronic nicotine delivery systems. Report by WHO. 21 July 2014&lt;/title&gt;&lt;/titles&gt;&lt;dates&gt;&lt;year&gt;2014&lt;/year&gt;&lt;/dates&gt;&lt;pub-location&gt;Geneva&lt;/pub-location&gt;&lt;publisher&gt;World Health Organization &lt;/publisher&gt;&lt;urls&gt;&lt;related-urls&gt;&lt;url&gt;http://apps.who.int/gb/fctc/PDF/cop6/FCTC_COP6_10-en.pdf?ua=1&lt;/url&gt;&lt;/related-urls&gt;&lt;/urls&gt;&lt;/record&gt;&lt;/Cite&gt;&lt;/EndNote&gt;</w:instrText>
      </w:r>
      <w:r w:rsidR="008E4A1B">
        <w:fldChar w:fldCharType="separate"/>
      </w:r>
      <w:r w:rsidR="005B3C51" w:rsidRPr="005B3C51">
        <w:rPr>
          <w:noProof/>
          <w:vertAlign w:val="superscript"/>
        </w:rPr>
        <w:t>165</w:t>
      </w:r>
      <w:r w:rsidR="008E4A1B">
        <w:fldChar w:fldCharType="end"/>
      </w:r>
      <w:r w:rsidRPr="00A10355">
        <w:t xml:space="preserve"> </w:t>
      </w:r>
    </w:p>
    <w:p w:rsidR="007B55B6" w:rsidRPr="00263290" w:rsidRDefault="007B55B6" w:rsidP="007B55B6">
      <w:pPr>
        <w:rPr>
          <w:rFonts w:ascii="Calibri" w:hAnsi="Calibri"/>
          <w:sz w:val="22"/>
          <w:szCs w:val="22"/>
        </w:rPr>
      </w:pPr>
    </w:p>
    <w:p w:rsidR="0053126B" w:rsidRDefault="007B55B6" w:rsidP="0053126B">
      <w:r w:rsidRPr="00263290">
        <w:t>Many of these products are marketed online as a method to assist smokers to quit, or a ‘safe alternative’ to conventional tobacco cigarettes</w:t>
      </w:r>
      <w:r w:rsidR="00FA144C">
        <w:t>;</w:t>
      </w:r>
      <w:r w:rsidR="00FA38FC">
        <w:t xml:space="preserve"> </w:t>
      </w:r>
      <w:r w:rsidRPr="00263290">
        <w:t>however there is currently insufficient evidence to support these claims and further research is needed to enable the safety, quality and efficacy of e-cigarettes to be assessed</w:t>
      </w:r>
      <w:r w:rsidR="00E95B7F">
        <w:t>.</w:t>
      </w:r>
      <w:r w:rsidR="008E4A1B">
        <w:fldChar w:fldCharType="begin"/>
      </w:r>
      <w:r w:rsidR="005B3C51">
        <w:instrText xml:space="preserve"> ADDIN EN.CITE &lt;EndNote&gt;&lt;Cite&gt;&lt;Author&gt;National Health and Medical Research Council&lt;/Author&gt;&lt;Year&gt;2015&lt;/Year&gt;&lt;RecNum&gt;1045&lt;/RecNum&gt;&lt;DisplayText&gt;&lt;style face="superscript"&gt;164&lt;/style&gt;&lt;/DisplayText&gt;&lt;record&gt;&lt;rec-number&gt;1045&lt;/rec-number&gt;&lt;foreign-keys&gt;&lt;key app="EN" db-id="zxa00wf2opvf9oeeset50xz7ezpfwre2v20z"&gt;1045&lt;/key&gt;&lt;/foreign-keys&gt;&lt;ref-type name="Report"&gt;27&lt;/ref-type&gt;&lt;contributors&gt;&lt;authors&gt;&lt;author&gt;National Health and Medical Research Council,&lt;/author&gt;&lt;/authors&gt;&lt;/contributors&gt;&lt;titles&gt;&lt;title&gt;NHMRC CEO statement: electronic cigarettes (e-cigarettes). March 2015&lt;/title&gt;&lt;/titles&gt;&lt;dates&gt;&lt;year&gt;2015&lt;/year&gt;&lt;/dates&gt;&lt;pub-location&gt;Canberra&lt;/pub-location&gt;&lt;publisher&gt;National Health and Medical Research Council&lt;/publisher&gt;&lt;urls&gt;&lt;related-urls&gt;&lt;url&gt;http://www.nhmrc.gov.au/_files_nhmrc/publications/attachments/ds13_nhmrc_ceo_statement_ecigarettes.pdf&lt;/url&gt;&lt;/related-urls&gt;&lt;/urls&gt;&lt;/record&gt;&lt;/Cite&gt;&lt;/EndNote&gt;</w:instrText>
      </w:r>
      <w:r w:rsidR="008E4A1B">
        <w:fldChar w:fldCharType="separate"/>
      </w:r>
      <w:r w:rsidR="005B3C51" w:rsidRPr="005B3C51">
        <w:rPr>
          <w:noProof/>
          <w:vertAlign w:val="superscript"/>
        </w:rPr>
        <w:t>164</w:t>
      </w:r>
      <w:r w:rsidR="008E4A1B">
        <w:fldChar w:fldCharType="end"/>
      </w:r>
      <w:r w:rsidR="005C4E40">
        <w:t xml:space="preserve"> </w:t>
      </w:r>
      <w:r w:rsidR="0041664E">
        <w:t xml:space="preserve">In Australia, </w:t>
      </w:r>
      <w:r w:rsidR="000D7142">
        <w:t>t</w:t>
      </w:r>
      <w:r w:rsidR="005C4E40">
        <w:t>he Therapeutic Goods Authority</w:t>
      </w:r>
      <w:r w:rsidR="000D7142">
        <w:t xml:space="preserve"> is responsible </w:t>
      </w:r>
      <w:r w:rsidR="00677485">
        <w:t xml:space="preserve">for </w:t>
      </w:r>
      <w:r w:rsidR="00E31BE9">
        <w:t>evaluating</w:t>
      </w:r>
      <w:r w:rsidR="00677485">
        <w:t xml:space="preserve"> and regulating the availability of products which make therapeutic claims.</w:t>
      </w:r>
      <w:r w:rsidR="00E31BE9">
        <w:fldChar w:fldCharType="begin"/>
      </w:r>
      <w:r w:rsidR="005B3C51">
        <w:instrText xml:space="preserve"> ADDIN EN.CITE &lt;EndNote&gt;&lt;Cite&gt;&lt;Author&gt;Therapeutic Goods Administration&lt;/Author&gt;&lt;Year&gt;Undated&lt;/Year&gt;&lt;RecNum&gt;1093&lt;/RecNum&gt;&lt;DisplayText&gt;&lt;style face="superscript"&gt;166&lt;/style&gt;&lt;/DisplayText&gt;&lt;record&gt;&lt;rec-number&gt;1093&lt;/rec-number&gt;&lt;foreign-keys&gt;&lt;key app="EN" db-id="zxa00wf2opvf9oeeset50xz7ezpfwre2v20z"&gt;1093&lt;/key&gt;&lt;/foreign-keys&gt;&lt;ref-type name="Web Page"&gt;12&lt;/ref-type&gt;&lt;contributors&gt;&lt;authors&gt;&lt;author&gt;Therapeutic Goods Administration,&lt;/author&gt;&lt;/authors&gt;&lt;/contributors&gt;&lt;titles&gt;&lt;title&gt;What the TGA regulates&lt;/title&gt;&lt;/titles&gt;&lt;volume&gt;12 August 2016&lt;/volume&gt;&lt;dates&gt;&lt;year&gt;Undated&lt;/year&gt;&lt;/dates&gt;&lt;pub-location&gt;Canberra&lt;/pub-location&gt;&lt;publisher&gt;Therapeutic Goods Administration, Department of Health&lt;/publisher&gt;&lt;urls&gt;&lt;related-urls&gt;&lt;url&gt;https://www.tga.gov.au/what-tga-regulates&lt;/url&gt;&lt;/related-urls&gt;&lt;/urls&gt;&lt;/record&gt;&lt;/Cite&gt;&lt;/EndNote&gt;</w:instrText>
      </w:r>
      <w:r w:rsidR="00E31BE9">
        <w:fldChar w:fldCharType="separate"/>
      </w:r>
      <w:r w:rsidR="005B3C51" w:rsidRPr="005B3C51">
        <w:rPr>
          <w:noProof/>
          <w:vertAlign w:val="superscript"/>
        </w:rPr>
        <w:t>166</w:t>
      </w:r>
      <w:r w:rsidR="00E31BE9">
        <w:fldChar w:fldCharType="end"/>
      </w:r>
      <w:r w:rsidRPr="00263290">
        <w:t xml:space="preserve"> </w:t>
      </w:r>
      <w:r w:rsidR="009A015E">
        <w:t>The pace of industry innovation reinforces the need to monitor and ensure appropriate policy responses to emerging products and issues.</w:t>
      </w:r>
    </w:p>
    <w:p w:rsidR="00273E72" w:rsidRDefault="00273E72" w:rsidP="00144F6A">
      <w:pPr>
        <w:rPr>
          <w:rFonts w:eastAsiaTheme="majorEastAsia"/>
        </w:rPr>
      </w:pPr>
      <w:r>
        <w:br w:type="page"/>
      </w:r>
    </w:p>
    <w:p w:rsidR="000B78C3" w:rsidRPr="00AC7A35" w:rsidRDefault="000B78C3" w:rsidP="00EA1976">
      <w:pPr>
        <w:pStyle w:val="Heading2"/>
      </w:pPr>
      <w:bookmarkStart w:id="45" w:name="_Toc462049333"/>
      <w:r w:rsidRPr="00AC7A35">
        <w:lastRenderedPageBreak/>
        <w:t xml:space="preserve">Strategic directions for </w:t>
      </w:r>
      <w:r w:rsidR="00A944C1" w:rsidRPr="00AC7A35">
        <w:t>making smoking history</w:t>
      </w:r>
      <w:r w:rsidRPr="00AC7A35">
        <w:t xml:space="preserve"> </w:t>
      </w:r>
      <w:r w:rsidR="007B2F11" w:rsidRPr="00AC7A35">
        <w:t>in WA</w:t>
      </w:r>
      <w:bookmarkEnd w:id="45"/>
    </w:p>
    <w:p w:rsidR="000B78C3" w:rsidRDefault="000B78C3" w:rsidP="00E87D3B"/>
    <w:tbl>
      <w:tblPr>
        <w:tblStyle w:val="TableGrid"/>
        <w:tblW w:w="0" w:type="auto"/>
        <w:tblLook w:val="04A0" w:firstRow="1" w:lastRow="0" w:firstColumn="1" w:lastColumn="0" w:noHBand="0" w:noVBand="1"/>
      </w:tblPr>
      <w:tblGrid>
        <w:gridCol w:w="9242"/>
      </w:tblGrid>
      <w:tr w:rsidR="00FF21C1" w:rsidTr="00AC7A35">
        <w:tc>
          <w:tcPr>
            <w:tcW w:w="9242" w:type="dxa"/>
            <w:shd w:val="clear" w:color="auto" w:fill="808080" w:themeFill="background1" w:themeFillShade="80"/>
          </w:tcPr>
          <w:p w:rsidR="00522F95" w:rsidRPr="00155353" w:rsidRDefault="00522F95" w:rsidP="00522F95">
            <w:pPr>
              <w:rPr>
                <w:b/>
                <w:color w:val="FFFFFF" w:themeColor="background1"/>
              </w:rPr>
            </w:pPr>
            <w:r w:rsidRPr="00155353">
              <w:rPr>
                <w:b/>
                <w:color w:val="FFFFFF" w:themeColor="background1"/>
              </w:rPr>
              <w:t>Healthy policies</w:t>
            </w:r>
          </w:p>
          <w:p w:rsidR="00FF21C1" w:rsidRPr="00155353" w:rsidRDefault="00FF21C1" w:rsidP="00E87D3B">
            <w:pPr>
              <w:pStyle w:val="ListParagraph"/>
              <w:ind w:left="426"/>
            </w:pPr>
          </w:p>
        </w:tc>
      </w:tr>
      <w:tr w:rsidR="00FF21C1" w:rsidTr="00FF21C1">
        <w:tc>
          <w:tcPr>
            <w:tcW w:w="9242" w:type="dxa"/>
          </w:tcPr>
          <w:p w:rsidR="00F702A8" w:rsidRPr="00155353" w:rsidRDefault="00D3443E" w:rsidP="00F702A8">
            <w:pPr>
              <w:pStyle w:val="ListParagraph"/>
              <w:numPr>
                <w:ilvl w:val="1"/>
                <w:numId w:val="17"/>
              </w:numPr>
              <w:ind w:left="426" w:hanging="357"/>
            </w:pPr>
            <w:r w:rsidRPr="00155353">
              <w:t xml:space="preserve">Continue to </w:t>
            </w:r>
            <w:r w:rsidR="003D49C2" w:rsidRPr="00155353">
              <w:t xml:space="preserve">safeguard </w:t>
            </w:r>
            <w:r w:rsidR="00F702A8" w:rsidRPr="00155353">
              <w:t>public health policy, including tobacco control policies, fro</w:t>
            </w:r>
            <w:r w:rsidR="006B644F" w:rsidRPr="00155353">
              <w:t>m tobacco industry interference</w:t>
            </w:r>
          </w:p>
          <w:p w:rsidR="00F702A8" w:rsidRPr="00155353" w:rsidRDefault="005E68EF" w:rsidP="00F702A8">
            <w:pPr>
              <w:pStyle w:val="ListParagraph"/>
              <w:numPr>
                <w:ilvl w:val="1"/>
                <w:numId w:val="17"/>
              </w:numPr>
              <w:ind w:left="426" w:hanging="357"/>
            </w:pPr>
            <w:r w:rsidRPr="00155353">
              <w:t xml:space="preserve">Support the development and implementation </w:t>
            </w:r>
            <w:r w:rsidR="00F702A8" w:rsidRPr="00155353">
              <w:t>of state</w:t>
            </w:r>
            <w:r w:rsidR="00D342B9" w:rsidRPr="00155353">
              <w:t xml:space="preserve"> and national policies which will reduce the </w:t>
            </w:r>
            <w:r w:rsidR="00F702A8" w:rsidRPr="00155353">
              <w:t xml:space="preserve">health, social and economic harms caused by tobacco, in line with the </w:t>
            </w:r>
            <w:r w:rsidR="00D342B9" w:rsidRPr="00155353">
              <w:t>NTS and the WHO FCTC</w:t>
            </w:r>
          </w:p>
          <w:p w:rsidR="00FF21C1" w:rsidRPr="00155353" w:rsidRDefault="00EE5200" w:rsidP="005A16F3">
            <w:pPr>
              <w:pStyle w:val="ListParagraph"/>
              <w:numPr>
                <w:ilvl w:val="1"/>
                <w:numId w:val="17"/>
              </w:numPr>
              <w:ind w:left="426" w:hanging="357"/>
            </w:pPr>
            <w:r w:rsidRPr="00155353">
              <w:t>Support the development and</w:t>
            </w:r>
            <w:r w:rsidR="00522F95" w:rsidRPr="00155353">
              <w:t xml:space="preserve"> implementation of smoke</w:t>
            </w:r>
            <w:r w:rsidR="00EF3B00" w:rsidRPr="00155353">
              <w:t xml:space="preserve"> </w:t>
            </w:r>
            <w:r w:rsidR="00522F95" w:rsidRPr="00155353">
              <w:t>free policies, particularly in environments where childr</w:t>
            </w:r>
            <w:r w:rsidR="00723E47" w:rsidRPr="00155353">
              <w:t>en are exposed to tobacco smoke</w:t>
            </w:r>
          </w:p>
        </w:tc>
      </w:tr>
      <w:tr w:rsidR="00FF21C1" w:rsidTr="00AC7A35">
        <w:tc>
          <w:tcPr>
            <w:tcW w:w="9242" w:type="dxa"/>
            <w:shd w:val="clear" w:color="auto" w:fill="808080" w:themeFill="background1" w:themeFillShade="80"/>
          </w:tcPr>
          <w:p w:rsidR="00522F95" w:rsidRPr="00E04212" w:rsidRDefault="00522F95" w:rsidP="00522F95">
            <w:pPr>
              <w:rPr>
                <w:b/>
                <w:color w:val="FFFFFF" w:themeColor="background1"/>
              </w:rPr>
            </w:pPr>
            <w:r w:rsidRPr="00E04212">
              <w:rPr>
                <w:b/>
                <w:color w:val="FFFFFF" w:themeColor="background1"/>
              </w:rPr>
              <w:t>Legislation and regulation</w:t>
            </w:r>
          </w:p>
          <w:p w:rsidR="00FF21C1" w:rsidRPr="00E04212" w:rsidRDefault="00FF21C1" w:rsidP="00522F95">
            <w:pPr>
              <w:pStyle w:val="ListParagraph"/>
              <w:ind w:left="714"/>
              <w:rPr>
                <w:b/>
                <w:color w:val="FFFFFF" w:themeColor="background1"/>
              </w:rPr>
            </w:pPr>
          </w:p>
        </w:tc>
      </w:tr>
      <w:tr w:rsidR="00FF21C1" w:rsidTr="00FF21C1">
        <w:tc>
          <w:tcPr>
            <w:tcW w:w="9242" w:type="dxa"/>
          </w:tcPr>
          <w:p w:rsidR="00522F95" w:rsidRPr="00E87D3B" w:rsidRDefault="00522F95" w:rsidP="00CE2FEF">
            <w:pPr>
              <w:pStyle w:val="ListParagraph"/>
              <w:numPr>
                <w:ilvl w:val="1"/>
                <w:numId w:val="17"/>
              </w:numPr>
              <w:ind w:left="426" w:hanging="357"/>
            </w:pPr>
            <w:r w:rsidRPr="00E87D3B">
              <w:t>Eliminate exposure to secondhand smoke in workplaces and public places, especi</w:t>
            </w:r>
            <w:r w:rsidR="00723E47">
              <w:t>ally where children are present</w:t>
            </w:r>
          </w:p>
          <w:p w:rsidR="00522F95" w:rsidRPr="00E87D3B" w:rsidRDefault="00DC07C7" w:rsidP="00CE2FEF">
            <w:pPr>
              <w:pStyle w:val="ListParagraph"/>
              <w:numPr>
                <w:ilvl w:val="1"/>
                <w:numId w:val="17"/>
              </w:numPr>
              <w:ind w:left="426" w:hanging="357"/>
            </w:pPr>
            <w:r>
              <w:t>Maintain m</w:t>
            </w:r>
            <w:r w:rsidR="00522F95" w:rsidRPr="00E87D3B">
              <w:t>onitor</w:t>
            </w:r>
            <w:r>
              <w:t>ing</w:t>
            </w:r>
            <w:r w:rsidR="00522F95" w:rsidRPr="00E87D3B">
              <w:t>, enforce</w:t>
            </w:r>
            <w:r>
              <w:t xml:space="preserve">ment </w:t>
            </w:r>
            <w:r w:rsidR="00522F95" w:rsidRPr="00E87D3B">
              <w:t xml:space="preserve"> and review</w:t>
            </w:r>
            <w:r>
              <w:t xml:space="preserve"> of</w:t>
            </w:r>
            <w:r w:rsidR="00522F95" w:rsidRPr="00E87D3B">
              <w:t xml:space="preserve"> legislative controls on the sale, supply, market</w:t>
            </w:r>
            <w:r w:rsidR="00723E47">
              <w:t>ing and use of tobacco products</w:t>
            </w:r>
          </w:p>
          <w:p w:rsidR="00522F95" w:rsidRPr="00E87D3B" w:rsidRDefault="00522F95" w:rsidP="00CE2FEF">
            <w:pPr>
              <w:pStyle w:val="ListParagraph"/>
              <w:numPr>
                <w:ilvl w:val="1"/>
                <w:numId w:val="17"/>
              </w:numPr>
              <w:ind w:left="426" w:hanging="357"/>
            </w:pPr>
            <w:r w:rsidRPr="00E87D3B">
              <w:t>Ensure that the legislative environment is responsive to changing market con</w:t>
            </w:r>
            <w:r w:rsidR="005A16F3">
              <w:t>ditions and industry innovation</w:t>
            </w:r>
            <w:r w:rsidR="00DC07C7">
              <w:t>s</w:t>
            </w:r>
          </w:p>
          <w:p w:rsidR="00FF21C1" w:rsidRPr="00E87D3B" w:rsidRDefault="005A16F3" w:rsidP="00E34554">
            <w:pPr>
              <w:pStyle w:val="ListParagraph"/>
              <w:numPr>
                <w:ilvl w:val="1"/>
                <w:numId w:val="17"/>
              </w:numPr>
              <w:ind w:left="426" w:hanging="357"/>
            </w:pPr>
            <w:r>
              <w:t>S</w:t>
            </w:r>
            <w:r w:rsidR="00522F95" w:rsidRPr="00E87D3B">
              <w:t xml:space="preserve">upport </w:t>
            </w:r>
            <w:r w:rsidR="00091309">
              <w:t xml:space="preserve">further </w:t>
            </w:r>
            <w:r w:rsidR="00522F95" w:rsidRPr="00E87D3B">
              <w:t xml:space="preserve">regulatory initiatives </w:t>
            </w:r>
            <w:r w:rsidR="00E34554">
              <w:t>in alignment with the FCTC, i</w:t>
            </w:r>
            <w:r w:rsidR="00522F95" w:rsidRPr="00E87D3B">
              <w:t>ncluding initiatives</w:t>
            </w:r>
            <w:r w:rsidR="00A17A34">
              <w:t xml:space="preserve"> </w:t>
            </w:r>
            <w:r w:rsidR="003F5637">
              <w:t xml:space="preserve">related to </w:t>
            </w:r>
            <w:r w:rsidR="00A17A34">
              <w:t>protecting tobacco control policies from industry interference,</w:t>
            </w:r>
            <w:r w:rsidR="00522F95" w:rsidRPr="00E87D3B">
              <w:t xml:space="preserve"> ingredients disclosure and regulation of ingredients</w:t>
            </w:r>
            <w:r w:rsidR="00723E47">
              <w:t xml:space="preserve"> and </w:t>
            </w:r>
            <w:r w:rsidR="00522F95" w:rsidRPr="00E87D3B">
              <w:t>additives</w:t>
            </w:r>
          </w:p>
        </w:tc>
      </w:tr>
      <w:tr w:rsidR="00FF21C1" w:rsidTr="00AC7A35">
        <w:tc>
          <w:tcPr>
            <w:tcW w:w="9242" w:type="dxa"/>
            <w:shd w:val="clear" w:color="auto" w:fill="808080" w:themeFill="background1" w:themeFillShade="80"/>
          </w:tcPr>
          <w:p w:rsidR="00522F95" w:rsidRPr="00E04212" w:rsidRDefault="00522F95" w:rsidP="00522F95">
            <w:pPr>
              <w:rPr>
                <w:b/>
                <w:color w:val="FFFFFF" w:themeColor="background1"/>
              </w:rPr>
            </w:pPr>
            <w:r w:rsidRPr="00E04212">
              <w:rPr>
                <w:b/>
                <w:color w:val="FFFFFF" w:themeColor="background1"/>
              </w:rPr>
              <w:t>Economic interventions</w:t>
            </w:r>
          </w:p>
          <w:p w:rsidR="00FF21C1" w:rsidRPr="00E87D3B" w:rsidRDefault="00FF21C1" w:rsidP="00A10051">
            <w:pPr>
              <w:pStyle w:val="ListParagraph"/>
              <w:ind w:left="714"/>
            </w:pPr>
          </w:p>
        </w:tc>
      </w:tr>
      <w:tr w:rsidR="00FF21C1" w:rsidTr="00FF21C1">
        <w:tc>
          <w:tcPr>
            <w:tcW w:w="9242" w:type="dxa"/>
          </w:tcPr>
          <w:p w:rsidR="00FF21C1" w:rsidRPr="00E87D3B" w:rsidRDefault="00522F95" w:rsidP="00CE2FEF">
            <w:pPr>
              <w:pStyle w:val="ListParagraph"/>
              <w:numPr>
                <w:ilvl w:val="1"/>
                <w:numId w:val="17"/>
              </w:numPr>
              <w:ind w:left="426" w:hanging="357"/>
            </w:pPr>
            <w:r w:rsidRPr="00E87D3B">
              <w:t>Support Commonwealth Government fiscal pol</w:t>
            </w:r>
            <w:r w:rsidR="00723E47">
              <w:t>icies to discourage tobacco use</w:t>
            </w:r>
          </w:p>
        </w:tc>
      </w:tr>
      <w:tr w:rsidR="00FF21C1" w:rsidTr="00AC7A35">
        <w:tc>
          <w:tcPr>
            <w:tcW w:w="9242" w:type="dxa"/>
            <w:shd w:val="clear" w:color="auto" w:fill="808080" w:themeFill="background1" w:themeFillShade="80"/>
          </w:tcPr>
          <w:p w:rsidR="00522F95" w:rsidRPr="00E04212" w:rsidRDefault="00522F95" w:rsidP="00522F95">
            <w:pPr>
              <w:rPr>
                <w:b/>
                <w:color w:val="FFFFFF" w:themeColor="background1"/>
              </w:rPr>
            </w:pPr>
            <w:r w:rsidRPr="00E04212">
              <w:rPr>
                <w:b/>
                <w:color w:val="FFFFFF" w:themeColor="background1"/>
              </w:rPr>
              <w:t>Supportive environments</w:t>
            </w:r>
          </w:p>
          <w:p w:rsidR="00FF21C1" w:rsidRPr="00E87D3B" w:rsidRDefault="00FF21C1" w:rsidP="00A10051">
            <w:pPr>
              <w:pStyle w:val="ListParagraph"/>
              <w:ind w:left="714"/>
            </w:pPr>
          </w:p>
        </w:tc>
      </w:tr>
      <w:tr w:rsidR="00FF21C1" w:rsidTr="00FF21C1">
        <w:tc>
          <w:tcPr>
            <w:tcW w:w="9242" w:type="dxa"/>
          </w:tcPr>
          <w:p w:rsidR="00522F95" w:rsidRPr="00E87D3B" w:rsidRDefault="00522F95" w:rsidP="00CE2FEF">
            <w:pPr>
              <w:pStyle w:val="ListParagraph"/>
              <w:numPr>
                <w:ilvl w:val="1"/>
                <w:numId w:val="17"/>
              </w:numPr>
              <w:ind w:left="426" w:hanging="357"/>
            </w:pPr>
            <w:r w:rsidRPr="00E87D3B">
              <w:t>Continue to build on strong public suppo</w:t>
            </w:r>
            <w:r w:rsidR="00A10051" w:rsidRPr="00E87D3B">
              <w:t>rt for tobacco control measures</w:t>
            </w:r>
          </w:p>
          <w:p w:rsidR="00FF21C1" w:rsidRDefault="00522F95" w:rsidP="00CE2FEF">
            <w:pPr>
              <w:pStyle w:val="ListParagraph"/>
              <w:numPr>
                <w:ilvl w:val="1"/>
                <w:numId w:val="17"/>
              </w:numPr>
              <w:ind w:left="426" w:hanging="357"/>
            </w:pPr>
            <w:r w:rsidRPr="00E87D3B">
              <w:t>Encourage the expa</w:t>
            </w:r>
            <w:r w:rsidR="00A10051" w:rsidRPr="00E87D3B">
              <w:t>nsion of smoke</w:t>
            </w:r>
            <w:r w:rsidR="00EF3B00">
              <w:t xml:space="preserve"> </w:t>
            </w:r>
            <w:r w:rsidR="00A10051" w:rsidRPr="00E87D3B">
              <w:t>free environments</w:t>
            </w:r>
          </w:p>
          <w:p w:rsidR="00B4625D" w:rsidRPr="00E87D3B" w:rsidRDefault="00B4625D" w:rsidP="00CE2FEF">
            <w:pPr>
              <w:pStyle w:val="ListParagraph"/>
              <w:numPr>
                <w:ilvl w:val="1"/>
                <w:numId w:val="17"/>
              </w:numPr>
              <w:ind w:left="426" w:hanging="357"/>
            </w:pPr>
            <w:r w:rsidRPr="00E87D3B">
              <w:t xml:space="preserve">Encourage and embed provision of </w:t>
            </w:r>
            <w:r>
              <w:t>evidence-based smoking cessation support</w:t>
            </w:r>
            <w:r w:rsidRPr="00E87D3B">
              <w:t xml:space="preserve"> and information throughout workplaces, educational and community settings and health service providers</w:t>
            </w:r>
          </w:p>
        </w:tc>
      </w:tr>
      <w:tr w:rsidR="00FF21C1" w:rsidTr="002B75D6">
        <w:tc>
          <w:tcPr>
            <w:tcW w:w="9242" w:type="dxa"/>
            <w:shd w:val="clear" w:color="auto" w:fill="808080" w:themeFill="background1" w:themeFillShade="80"/>
          </w:tcPr>
          <w:p w:rsidR="00FF21C1" w:rsidRPr="00E04212" w:rsidRDefault="00FF21C1" w:rsidP="00FF21C1">
            <w:pPr>
              <w:rPr>
                <w:b/>
                <w:color w:val="FFFFFF" w:themeColor="background1"/>
              </w:rPr>
            </w:pPr>
            <w:r w:rsidRPr="00E04212">
              <w:rPr>
                <w:b/>
                <w:color w:val="FFFFFF" w:themeColor="background1"/>
              </w:rPr>
              <w:t>Public awareness and engagement</w:t>
            </w:r>
          </w:p>
          <w:p w:rsidR="00FF21C1" w:rsidRPr="00E87D3B" w:rsidRDefault="00FF21C1" w:rsidP="00A10051">
            <w:pPr>
              <w:pStyle w:val="ListParagraph"/>
              <w:ind w:left="714"/>
            </w:pPr>
          </w:p>
        </w:tc>
      </w:tr>
      <w:tr w:rsidR="00FF21C1" w:rsidTr="00FF21C1">
        <w:tc>
          <w:tcPr>
            <w:tcW w:w="9242" w:type="dxa"/>
          </w:tcPr>
          <w:p w:rsidR="00FF21C1" w:rsidRPr="00E87D3B" w:rsidRDefault="00FF21C1" w:rsidP="00CE2FEF">
            <w:pPr>
              <w:pStyle w:val="ListParagraph"/>
              <w:numPr>
                <w:ilvl w:val="1"/>
                <w:numId w:val="17"/>
              </w:numPr>
              <w:ind w:left="426" w:hanging="357"/>
            </w:pPr>
            <w:r w:rsidRPr="00E87D3B">
              <w:t>Invest in sustained, high-quality statewide public education campaigns to encourage and support quitting, a</w:t>
            </w:r>
            <w:r w:rsidR="00A10051" w:rsidRPr="00E87D3B">
              <w:t>nd discourage uptake of smoking</w:t>
            </w:r>
          </w:p>
          <w:p w:rsidR="00FF21C1" w:rsidRPr="00E87D3B" w:rsidRDefault="00CA3E86" w:rsidP="00CE2FEF">
            <w:pPr>
              <w:pStyle w:val="ListParagraph"/>
              <w:numPr>
                <w:ilvl w:val="1"/>
                <w:numId w:val="17"/>
              </w:numPr>
              <w:ind w:left="426" w:hanging="357"/>
            </w:pPr>
            <w:r>
              <w:t>Evaluate and a</w:t>
            </w:r>
            <w:r w:rsidR="00FF21C1" w:rsidRPr="00E87D3B">
              <w:t>dopt new technologies to enhance and ext</w:t>
            </w:r>
            <w:r w:rsidR="00A10051" w:rsidRPr="00E87D3B">
              <w:t>end public education activities</w:t>
            </w:r>
          </w:p>
          <w:p w:rsidR="00FF21C1" w:rsidRPr="00E87D3B" w:rsidRDefault="00FF21C1" w:rsidP="008E657A">
            <w:pPr>
              <w:pStyle w:val="ListParagraph"/>
              <w:numPr>
                <w:ilvl w:val="1"/>
                <w:numId w:val="17"/>
              </w:numPr>
              <w:ind w:left="426" w:hanging="357"/>
            </w:pPr>
            <w:r w:rsidRPr="00E87D3B">
              <w:t xml:space="preserve">Support communities and stakeholders to </w:t>
            </w:r>
            <w:r w:rsidR="008E657A">
              <w:t>adopt</w:t>
            </w:r>
            <w:r w:rsidRPr="00E87D3B">
              <w:t xml:space="preserve"> local policies which will reduce the prevalence of smoking and exposure to tobacco smoke in places where the h</w:t>
            </w:r>
            <w:r w:rsidR="00A10051" w:rsidRPr="00E87D3B">
              <w:t>ealth of others can be affected</w:t>
            </w:r>
          </w:p>
        </w:tc>
      </w:tr>
      <w:tr w:rsidR="00FF21C1" w:rsidRPr="002B75D6" w:rsidTr="005F4C26">
        <w:tc>
          <w:tcPr>
            <w:tcW w:w="9242" w:type="dxa"/>
            <w:shd w:val="clear" w:color="auto" w:fill="808080" w:themeFill="background1" w:themeFillShade="80"/>
          </w:tcPr>
          <w:p w:rsidR="00FF21C1" w:rsidRPr="002B75D6" w:rsidRDefault="00FF21C1" w:rsidP="00FF21C1">
            <w:pPr>
              <w:rPr>
                <w:b/>
                <w:color w:val="FFFFFF" w:themeColor="background1"/>
              </w:rPr>
            </w:pPr>
            <w:r w:rsidRPr="00E04212">
              <w:rPr>
                <w:b/>
                <w:color w:val="FFFFFF" w:themeColor="background1"/>
              </w:rPr>
              <w:t>Community development</w:t>
            </w:r>
          </w:p>
          <w:p w:rsidR="00FF21C1" w:rsidRPr="002B75D6" w:rsidRDefault="00FF21C1" w:rsidP="00FF21C1">
            <w:pPr>
              <w:pStyle w:val="ListParagraph"/>
              <w:ind w:left="714"/>
              <w:rPr>
                <w:b/>
                <w:color w:val="FFFFFF" w:themeColor="background1"/>
              </w:rPr>
            </w:pPr>
          </w:p>
        </w:tc>
      </w:tr>
      <w:tr w:rsidR="00FF21C1" w:rsidTr="00FF21C1">
        <w:tc>
          <w:tcPr>
            <w:tcW w:w="9242" w:type="dxa"/>
          </w:tcPr>
          <w:p w:rsidR="00FF21C1" w:rsidRPr="00E87D3B" w:rsidRDefault="008E657A" w:rsidP="00CE2FEF">
            <w:pPr>
              <w:pStyle w:val="ListParagraph"/>
              <w:numPr>
                <w:ilvl w:val="1"/>
                <w:numId w:val="17"/>
              </w:numPr>
              <w:ind w:left="426" w:hanging="357"/>
            </w:pPr>
            <w:r>
              <w:t xml:space="preserve">Engage with the community and key stakeholders, including </w:t>
            </w:r>
            <w:r w:rsidR="003A4FA1">
              <w:t>L</w:t>
            </w:r>
            <w:r>
              <w:t xml:space="preserve">ocal </w:t>
            </w:r>
            <w:r w:rsidR="003A4FA1">
              <w:t>G</w:t>
            </w:r>
            <w:r>
              <w:t>overnments, to identify and implement priority actions to reduce exposure to second hand tobacco smoke</w:t>
            </w:r>
            <w:r w:rsidR="003A4FA1">
              <w:t xml:space="preserve"> and promote smoking cessation</w:t>
            </w:r>
          </w:p>
          <w:p w:rsidR="00FF21C1" w:rsidRPr="00E87D3B" w:rsidRDefault="009A735A" w:rsidP="00EC3A6A">
            <w:pPr>
              <w:pStyle w:val="ListParagraph"/>
              <w:numPr>
                <w:ilvl w:val="1"/>
                <w:numId w:val="17"/>
              </w:numPr>
              <w:ind w:left="426" w:hanging="357"/>
            </w:pPr>
            <w:r>
              <w:t xml:space="preserve">Work with </w:t>
            </w:r>
            <w:r w:rsidR="003A4FA1">
              <w:t>L</w:t>
            </w:r>
            <w:r w:rsidR="00FF21C1" w:rsidRPr="00E87D3B">
              <w:t xml:space="preserve">ocal </w:t>
            </w:r>
            <w:r w:rsidR="003A4FA1">
              <w:t>G</w:t>
            </w:r>
            <w:r w:rsidR="00A10051" w:rsidRPr="00E87D3B">
              <w:t>overnment</w:t>
            </w:r>
            <w:r>
              <w:t xml:space="preserve"> to develop Local Public </w:t>
            </w:r>
            <w:r w:rsidR="009E381A">
              <w:t xml:space="preserve">Health </w:t>
            </w:r>
            <w:r>
              <w:t>Plans</w:t>
            </w:r>
            <w:r w:rsidR="00270FB3">
              <w:t xml:space="preserve"> which include </w:t>
            </w:r>
            <w:r w:rsidR="00EC3A6A">
              <w:t xml:space="preserve">measures to address </w:t>
            </w:r>
            <w:r w:rsidR="00270FB3">
              <w:t xml:space="preserve">tobacco control </w:t>
            </w:r>
          </w:p>
        </w:tc>
      </w:tr>
      <w:tr w:rsidR="00FF21C1" w:rsidTr="005F4C26">
        <w:tc>
          <w:tcPr>
            <w:tcW w:w="9242" w:type="dxa"/>
            <w:shd w:val="clear" w:color="auto" w:fill="808080" w:themeFill="background1" w:themeFillShade="80"/>
          </w:tcPr>
          <w:p w:rsidR="00FF21C1" w:rsidRPr="00E04212" w:rsidRDefault="00FF21C1" w:rsidP="00FF21C1">
            <w:pPr>
              <w:rPr>
                <w:b/>
                <w:color w:val="FFFFFF" w:themeColor="background1"/>
              </w:rPr>
            </w:pPr>
            <w:r w:rsidRPr="00E04212">
              <w:rPr>
                <w:b/>
                <w:color w:val="FFFFFF" w:themeColor="background1"/>
              </w:rPr>
              <w:lastRenderedPageBreak/>
              <w:t>Targeted interventions</w:t>
            </w:r>
          </w:p>
          <w:p w:rsidR="00FF21C1" w:rsidRPr="00E87D3B" w:rsidRDefault="00FF21C1" w:rsidP="00FF21C1"/>
        </w:tc>
      </w:tr>
      <w:tr w:rsidR="00FF21C1" w:rsidTr="00FF21C1">
        <w:tc>
          <w:tcPr>
            <w:tcW w:w="9242" w:type="dxa"/>
          </w:tcPr>
          <w:p w:rsidR="00302FF8" w:rsidRPr="00E87D3B" w:rsidRDefault="00263F9E" w:rsidP="00302FF8">
            <w:pPr>
              <w:pStyle w:val="ListParagraph"/>
              <w:numPr>
                <w:ilvl w:val="1"/>
                <w:numId w:val="17"/>
              </w:numPr>
              <w:ind w:left="426" w:hanging="357"/>
            </w:pPr>
            <w:r>
              <w:t>Complement population approaches with target</w:t>
            </w:r>
            <w:r w:rsidR="004D43A9">
              <w:t>ed</w:t>
            </w:r>
            <w:r>
              <w:t xml:space="preserve"> programs </w:t>
            </w:r>
            <w:r w:rsidR="00055AB1">
              <w:t>that are culturally-s</w:t>
            </w:r>
            <w:r w:rsidR="00FF21C1" w:rsidRPr="00E87D3B">
              <w:t xml:space="preserve">ecure </w:t>
            </w:r>
            <w:r w:rsidR="00055AB1">
              <w:t xml:space="preserve">and/or meet the needs </w:t>
            </w:r>
            <w:r w:rsidR="00302FF8" w:rsidRPr="00E87D3B">
              <w:t xml:space="preserve">of people with higher smoking prevalence (including </w:t>
            </w:r>
            <w:r w:rsidR="00302FF8">
              <w:t xml:space="preserve">Aboriginal people, </w:t>
            </w:r>
            <w:r w:rsidR="00302FF8" w:rsidRPr="00E87D3B">
              <w:t>those with mental illness and the prison population), or who are particularly vulnerable to the harmful effects of smoking (such as pregnant women and infants)</w:t>
            </w:r>
          </w:p>
          <w:p w:rsidR="00FF21C1" w:rsidRDefault="00055AB1" w:rsidP="00CE2FEF">
            <w:pPr>
              <w:pStyle w:val="ListParagraph"/>
              <w:numPr>
                <w:ilvl w:val="1"/>
                <w:numId w:val="17"/>
              </w:numPr>
              <w:ind w:left="426" w:hanging="357"/>
            </w:pPr>
            <w:r>
              <w:t>C</w:t>
            </w:r>
            <w:r w:rsidR="00263F9E">
              <w:t>o</w:t>
            </w:r>
            <w:r w:rsidR="00FF21C1" w:rsidRPr="00E87D3B">
              <w:t>llaborat</w:t>
            </w:r>
            <w:r>
              <w:t>e</w:t>
            </w:r>
            <w:r w:rsidR="00FF21C1" w:rsidRPr="00E87D3B">
              <w:t xml:space="preserve"> on the range of initiatives implemented under the </w:t>
            </w:r>
            <w:r w:rsidR="00FF21C1" w:rsidRPr="00723E47">
              <w:rPr>
                <w:i/>
              </w:rPr>
              <w:t>Commonwealth Tack</w:t>
            </w:r>
            <w:r w:rsidR="00723E47">
              <w:rPr>
                <w:i/>
              </w:rPr>
              <w:t xml:space="preserve">ling Indigenous </w:t>
            </w:r>
            <w:r w:rsidR="00A10051" w:rsidRPr="00723E47">
              <w:rPr>
                <w:i/>
              </w:rPr>
              <w:t>Smoking</w:t>
            </w:r>
            <w:r w:rsidR="00A10051" w:rsidRPr="00E87D3B">
              <w:t xml:space="preserve"> program</w:t>
            </w:r>
          </w:p>
          <w:p w:rsidR="00554B10" w:rsidRPr="00E87D3B" w:rsidRDefault="00206DCE" w:rsidP="00B4625D">
            <w:pPr>
              <w:pStyle w:val="ListParagraph"/>
              <w:numPr>
                <w:ilvl w:val="1"/>
                <w:numId w:val="17"/>
              </w:numPr>
              <w:ind w:left="426" w:hanging="357"/>
            </w:pPr>
            <w:r w:rsidRPr="00E87D3B">
              <w:t xml:space="preserve">Integrate smoking </w:t>
            </w:r>
            <w:r>
              <w:t xml:space="preserve">prevention and </w:t>
            </w:r>
            <w:r w:rsidRPr="00E87D3B">
              <w:t xml:space="preserve">cessation </w:t>
            </w:r>
            <w:r>
              <w:t xml:space="preserve">messages </w:t>
            </w:r>
            <w:r w:rsidRPr="00E87D3B">
              <w:t xml:space="preserve">with other healthy lifestyle initiatives, </w:t>
            </w:r>
            <w:r w:rsidR="00292BA1">
              <w:t>and develop links between programs and services whi</w:t>
            </w:r>
            <w:r>
              <w:t>ch are targeted at specific populations with higher prevalence of smoking, or more vulnerable to its effects</w:t>
            </w:r>
          </w:p>
        </w:tc>
      </w:tr>
      <w:tr w:rsidR="00FF21C1" w:rsidTr="005F4C26">
        <w:trPr>
          <w:trHeight w:val="440"/>
        </w:trPr>
        <w:tc>
          <w:tcPr>
            <w:tcW w:w="9242" w:type="dxa"/>
            <w:shd w:val="clear" w:color="auto" w:fill="808080" w:themeFill="background1" w:themeFillShade="80"/>
          </w:tcPr>
          <w:p w:rsidR="00E87D3B" w:rsidRPr="00E04212" w:rsidRDefault="00E87D3B" w:rsidP="00E87D3B">
            <w:pPr>
              <w:rPr>
                <w:b/>
                <w:color w:val="FFFFFF" w:themeColor="background1"/>
              </w:rPr>
            </w:pPr>
            <w:r w:rsidRPr="00E04212">
              <w:rPr>
                <w:b/>
                <w:color w:val="FFFFFF" w:themeColor="background1"/>
              </w:rPr>
              <w:t xml:space="preserve">Strategic coordination, building partnerships and </w:t>
            </w:r>
            <w:r w:rsidR="00E04212">
              <w:rPr>
                <w:b/>
                <w:color w:val="FFFFFF" w:themeColor="background1"/>
              </w:rPr>
              <w:t>workforce development</w:t>
            </w:r>
          </w:p>
          <w:p w:rsidR="00FF21C1" w:rsidRPr="00E04212" w:rsidRDefault="00FF21C1" w:rsidP="00E87D3B">
            <w:pPr>
              <w:pStyle w:val="ListParagraph"/>
              <w:ind w:left="426"/>
              <w:rPr>
                <w:b/>
                <w:color w:val="FFFFFF" w:themeColor="background1"/>
              </w:rPr>
            </w:pPr>
          </w:p>
        </w:tc>
      </w:tr>
      <w:tr w:rsidR="00E87D3B" w:rsidTr="00FF21C1">
        <w:trPr>
          <w:trHeight w:val="1850"/>
        </w:trPr>
        <w:tc>
          <w:tcPr>
            <w:tcW w:w="9242" w:type="dxa"/>
          </w:tcPr>
          <w:p w:rsidR="00E87D3B" w:rsidRPr="00E87D3B" w:rsidRDefault="00BA5D8E" w:rsidP="00CE2FEF">
            <w:pPr>
              <w:pStyle w:val="ListParagraph"/>
              <w:numPr>
                <w:ilvl w:val="1"/>
                <w:numId w:val="17"/>
              </w:numPr>
              <w:ind w:left="426" w:hanging="357"/>
            </w:pPr>
            <w:r>
              <w:t xml:space="preserve">Strengthen </w:t>
            </w:r>
            <w:r w:rsidR="005801AD">
              <w:t xml:space="preserve">existing </w:t>
            </w:r>
            <w:r>
              <w:t xml:space="preserve">and develop </w:t>
            </w:r>
            <w:r w:rsidR="005801AD">
              <w:t xml:space="preserve">new </w:t>
            </w:r>
            <w:r>
              <w:t>partnerships across all sectors to ensure a comprehensive, consistent and effective approach to reducing the prevalence of smoking and exposure to second hand smoke</w:t>
            </w:r>
          </w:p>
          <w:p w:rsidR="00E87D3B" w:rsidRPr="00E87D3B" w:rsidRDefault="00C10B84" w:rsidP="00CE2FEF">
            <w:pPr>
              <w:pStyle w:val="ListParagraph"/>
              <w:numPr>
                <w:ilvl w:val="1"/>
                <w:numId w:val="17"/>
              </w:numPr>
              <w:ind w:left="426" w:hanging="357"/>
            </w:pPr>
            <w:r>
              <w:t xml:space="preserve">Strengthen, upskill and support relevant parts of the workforce (public health, broader health and non-health sectors) to address </w:t>
            </w:r>
            <w:r w:rsidR="002B0BFC">
              <w:t>tobacco control in their programs, policies and plans</w:t>
            </w:r>
          </w:p>
          <w:p w:rsidR="00507B4F" w:rsidRPr="00507B4F" w:rsidRDefault="00E87D3B" w:rsidP="00507B4F">
            <w:pPr>
              <w:pStyle w:val="ListParagraph"/>
              <w:numPr>
                <w:ilvl w:val="1"/>
                <w:numId w:val="17"/>
              </w:numPr>
              <w:ind w:left="426" w:hanging="357"/>
            </w:pPr>
            <w:r w:rsidRPr="00E87D3B">
              <w:t>Improve and maintain the capacity of the wider health and allied workforce to provide reliable cessation inf</w:t>
            </w:r>
            <w:r>
              <w:t>ormation</w:t>
            </w:r>
            <w:r w:rsidR="00B43F43">
              <w:t>,</w:t>
            </w:r>
            <w:r w:rsidR="00636316">
              <w:t xml:space="preserve"> advice </w:t>
            </w:r>
            <w:r w:rsidR="00507B4F">
              <w:t>and support to smokers</w:t>
            </w:r>
          </w:p>
          <w:p w:rsidR="00E87D3B" w:rsidRPr="00E87D3B" w:rsidRDefault="003F3D8D" w:rsidP="00421921">
            <w:pPr>
              <w:pStyle w:val="ListParagraph"/>
              <w:numPr>
                <w:ilvl w:val="1"/>
                <w:numId w:val="17"/>
              </w:numPr>
              <w:ind w:left="426" w:hanging="357"/>
            </w:pPr>
            <w:r>
              <w:t xml:space="preserve">Support and undertake research in line </w:t>
            </w:r>
            <w:r w:rsidRPr="00507B4F">
              <w:t xml:space="preserve">with the </w:t>
            </w:r>
            <w:r w:rsidRPr="00FC5EFE">
              <w:rPr>
                <w:i/>
              </w:rPr>
              <w:t>National Preventive Health Research Strategy</w:t>
            </w:r>
            <w:r w:rsidR="00E0217E" w:rsidRPr="00FC5EFE">
              <w:rPr>
                <w:i/>
              </w:rPr>
              <w:t xml:space="preserve"> 2013–2018</w:t>
            </w:r>
            <w:r w:rsidRPr="00FC5EFE">
              <w:rPr>
                <w:i/>
              </w:rPr>
              <w:t xml:space="preserve"> Priority-driven </w:t>
            </w:r>
            <w:r w:rsidR="00A005EF">
              <w:rPr>
                <w:i/>
              </w:rPr>
              <w:t>r</w:t>
            </w:r>
            <w:r w:rsidRPr="00FC5EFE">
              <w:rPr>
                <w:i/>
              </w:rPr>
              <w:t xml:space="preserve">esearch </w:t>
            </w:r>
            <w:r w:rsidR="00A005EF">
              <w:rPr>
                <w:i/>
              </w:rPr>
              <w:t>a</w:t>
            </w:r>
            <w:r w:rsidRPr="00FC5EFE">
              <w:rPr>
                <w:i/>
              </w:rPr>
              <w:t xml:space="preserve">genda for </w:t>
            </w:r>
            <w:r w:rsidR="00A005EF">
              <w:rPr>
                <w:i/>
              </w:rPr>
              <w:t>t</w:t>
            </w:r>
            <w:r w:rsidR="003F0FC4" w:rsidRPr="00FC5EFE">
              <w:rPr>
                <w:i/>
              </w:rPr>
              <w:t xml:space="preserve">obacco </w:t>
            </w:r>
            <w:r w:rsidR="00A005EF">
              <w:rPr>
                <w:i/>
              </w:rPr>
              <w:t>c</w:t>
            </w:r>
            <w:r w:rsidR="003F0FC4" w:rsidRPr="00FC5EFE">
              <w:rPr>
                <w:i/>
              </w:rPr>
              <w:t>ontrol in Australia</w:t>
            </w:r>
            <w:r w:rsidR="00421921">
              <w:rPr>
                <w:i/>
              </w:rPr>
              <w:t xml:space="preserve"> </w:t>
            </w:r>
            <w:r w:rsidR="00E87D3B" w:rsidRPr="00E87D3B">
              <w:t>and ensure that policies and programs are base</w:t>
            </w:r>
            <w:r w:rsidR="00E87D3B">
              <w:t>d on best information available</w:t>
            </w:r>
          </w:p>
          <w:p w:rsidR="00E87D3B" w:rsidRPr="00547C06" w:rsidRDefault="00CF69E5" w:rsidP="000343EB">
            <w:pPr>
              <w:pStyle w:val="ListParagraph"/>
              <w:numPr>
                <w:ilvl w:val="1"/>
                <w:numId w:val="17"/>
              </w:numPr>
              <w:ind w:left="426" w:hanging="357"/>
              <w:rPr>
                <w:rFonts w:asciiTheme="majorHAnsi" w:hAnsiTheme="majorHAnsi"/>
                <w:b/>
                <w:sz w:val="26"/>
                <w:szCs w:val="26"/>
              </w:rPr>
            </w:pPr>
            <w:r w:rsidRPr="000049AC">
              <w:t xml:space="preserve">Support continued population monitoring of </w:t>
            </w:r>
            <w:r>
              <w:t>smoking prevalence</w:t>
            </w:r>
            <w:r w:rsidRPr="000049AC">
              <w:t xml:space="preserve"> as well as individual and key environmental facto</w:t>
            </w:r>
            <w:r>
              <w:t xml:space="preserve">rs that impact on </w:t>
            </w:r>
            <w:r w:rsidR="000343EB">
              <w:t>smoking behaviour</w:t>
            </w:r>
          </w:p>
        </w:tc>
      </w:tr>
    </w:tbl>
    <w:p w:rsidR="003C14F4" w:rsidRDefault="003C14F4">
      <w:pPr>
        <w:widowControl/>
        <w:spacing w:after="200" w:line="276" w:lineRule="auto"/>
      </w:pPr>
      <w:r>
        <w:br w:type="page"/>
      </w:r>
    </w:p>
    <w:p w:rsidR="001F0C9B" w:rsidRPr="005F4C26" w:rsidRDefault="001F0C9B" w:rsidP="001F0C9B">
      <w:pPr>
        <w:pStyle w:val="Heading1"/>
      </w:pPr>
      <w:bookmarkStart w:id="46" w:name="_Toc462049334"/>
      <w:r w:rsidRPr="005F4C26">
        <w:lastRenderedPageBreak/>
        <w:t>Reducing harmful alcohol use</w:t>
      </w:r>
      <w:bookmarkEnd w:id="46"/>
    </w:p>
    <w:p w:rsidR="001F0C9B" w:rsidRDefault="001F0C9B" w:rsidP="001F0C9B">
      <w:pPr>
        <w:rPr>
          <w:lang w:val="en-AU"/>
        </w:rPr>
      </w:pPr>
    </w:p>
    <w:p w:rsidR="001F0C9B" w:rsidRPr="0050075E" w:rsidRDefault="008973C5" w:rsidP="0050075E">
      <w:pPr>
        <w:shd w:val="clear" w:color="auto" w:fill="F2F2F2" w:themeFill="background1" w:themeFillShade="F2"/>
        <w:rPr>
          <w:color w:val="808080" w:themeColor="background1" w:themeShade="80"/>
          <w:lang w:val="en-AU"/>
        </w:rPr>
      </w:pPr>
      <w:r w:rsidRPr="0050075E">
        <w:rPr>
          <w:i/>
          <w:color w:val="808080" w:themeColor="background1" w:themeShade="80"/>
          <w:lang w:val="en-AU"/>
        </w:rPr>
        <w:t>“</w:t>
      </w:r>
      <w:r w:rsidR="001F0C9B" w:rsidRPr="0050075E">
        <w:rPr>
          <w:i/>
          <w:color w:val="808080" w:themeColor="background1" w:themeShade="80"/>
          <w:lang w:val="en-AU"/>
        </w:rPr>
        <w:t>Alcohol continues to be a priority drug of concern for Western Australia. There is a need to continue efforts to change the drinking culture from one of harmful use to one where low-risk drinking is encouraged and supported</w:t>
      </w:r>
      <w:r w:rsidR="001F0C9B" w:rsidRPr="0050075E">
        <w:rPr>
          <w:color w:val="808080" w:themeColor="background1" w:themeShade="80"/>
          <w:lang w:val="en-AU"/>
        </w:rPr>
        <w:t>.</w:t>
      </w:r>
      <w:r w:rsidRPr="0050075E">
        <w:rPr>
          <w:color w:val="808080" w:themeColor="background1" w:themeShade="80"/>
          <w:lang w:val="en-AU"/>
        </w:rPr>
        <w:t>”</w:t>
      </w:r>
      <w:r w:rsidR="00602D5A" w:rsidRPr="0050075E">
        <w:rPr>
          <w:color w:val="808080" w:themeColor="background1" w:themeShade="80"/>
          <w:lang w:val="en-AU"/>
        </w:rPr>
        <w:t>—</w:t>
      </w:r>
      <w:r w:rsidR="001F0C9B" w:rsidRPr="0050075E">
        <w:rPr>
          <w:color w:val="808080" w:themeColor="background1" w:themeShade="80"/>
          <w:lang w:val="en-AU"/>
        </w:rPr>
        <w:t>Mental Health Commission</w:t>
      </w:r>
      <w:r w:rsidRPr="0050075E">
        <w:rPr>
          <w:color w:val="808080" w:themeColor="background1" w:themeShade="80"/>
          <w:lang w:val="en-AU"/>
        </w:rPr>
        <w:t xml:space="preserve"> WA</w:t>
      </w:r>
      <w:r w:rsidR="001F0C9B" w:rsidRPr="0050075E">
        <w:rPr>
          <w:color w:val="808080" w:themeColor="background1" w:themeShade="80"/>
          <w:lang w:val="en-AU"/>
        </w:rPr>
        <w:t>.</w:t>
      </w:r>
      <w:r w:rsidR="008E4A1B" w:rsidRPr="0050075E">
        <w:rPr>
          <w:color w:val="808080" w:themeColor="background1" w:themeShade="80"/>
          <w:lang w:val="en-AU"/>
        </w:rPr>
        <w:fldChar w:fldCharType="begin"/>
      </w:r>
      <w:r w:rsidR="005B3C51">
        <w:rPr>
          <w:color w:val="808080" w:themeColor="background1" w:themeShade="80"/>
          <w:lang w:val="en-AU"/>
        </w:rPr>
        <w:instrText xml:space="preserve"> ADDIN EN.CITE &lt;EndNote&gt;&lt;Cite&gt;&lt;Author&gt;Mental Health Commission&lt;/Author&gt;&lt;Year&gt;2015&lt;/Year&gt;&lt;RecNum&gt;1067&lt;/RecNum&gt;&lt;DisplayText&gt;&lt;style face="superscript"&gt;167&lt;/style&gt;&lt;/DisplayText&gt;&lt;record&gt;&lt;rec-number&gt;1067&lt;/rec-number&gt;&lt;foreign-keys&gt;&lt;key app="EN" db-id="zxa00wf2opvf9oeeset50xz7ezpfwre2v20z"&gt;1067&lt;/key&gt;&lt;/foreign-keys&gt;&lt;ref-type name="Report"&gt;27&lt;/ref-type&gt;&lt;contributors&gt;&lt;authors&gt;&lt;author&gt;Mental Health Commission,&lt;/author&gt;&lt;author&gt;Western Australia,&lt;/author&gt;&lt;/authors&gt;&lt;/contributors&gt;&lt;titles&gt;&lt;title&gt;Better Choices. Better Lives. Western Australian Mental Health, Alcohol and Other Drug Services Plan 2015-2025&lt;/title&gt;&lt;/titles&gt;&lt;dates&gt;&lt;year&gt;2015&lt;/year&gt;&lt;/dates&gt;&lt;pub-location&gt;Perth&lt;/pub-location&gt;&lt;publisher&gt;Mental Health Commission, Western Australia&lt;/publisher&gt;&lt;urls&gt;&lt;related-urls&gt;&lt;url&gt;http://www.mentalhealth.wa.gov.au/Libraries/pdf_docs/The_Plan_81215_3.sflb.ashx&lt;/url&gt;&lt;/related-urls&gt;&lt;/urls&gt;&lt;/record&gt;&lt;/Cite&gt;&lt;/EndNote&gt;</w:instrText>
      </w:r>
      <w:r w:rsidR="008E4A1B" w:rsidRPr="0050075E">
        <w:rPr>
          <w:color w:val="808080" w:themeColor="background1" w:themeShade="80"/>
          <w:lang w:val="en-AU"/>
        </w:rPr>
        <w:fldChar w:fldCharType="separate"/>
      </w:r>
      <w:r w:rsidR="005B3C51" w:rsidRPr="005B3C51">
        <w:rPr>
          <w:noProof/>
          <w:color w:val="808080" w:themeColor="background1" w:themeShade="80"/>
          <w:vertAlign w:val="superscript"/>
          <w:lang w:val="en-AU"/>
        </w:rPr>
        <w:t>167</w:t>
      </w:r>
      <w:r w:rsidR="008E4A1B" w:rsidRPr="0050075E">
        <w:rPr>
          <w:color w:val="808080" w:themeColor="background1" w:themeShade="80"/>
          <w:lang w:val="en-AU"/>
        </w:rPr>
        <w:fldChar w:fldCharType="end"/>
      </w:r>
    </w:p>
    <w:p w:rsidR="001F0C9B" w:rsidRDefault="001F0C9B" w:rsidP="001F0C9B">
      <w:pPr>
        <w:rPr>
          <w:lang w:val="en-AU"/>
        </w:rPr>
      </w:pPr>
    </w:p>
    <w:p w:rsidR="001F0C9B" w:rsidRPr="0050075E" w:rsidRDefault="001F0C9B" w:rsidP="001F0C9B">
      <w:pPr>
        <w:pStyle w:val="Heading2"/>
        <w:rPr>
          <w:lang w:val="en-AU"/>
        </w:rPr>
      </w:pPr>
      <w:bookmarkStart w:id="47" w:name="_Toc462049335"/>
      <w:r w:rsidRPr="0050075E">
        <w:rPr>
          <w:lang w:val="en-AU"/>
        </w:rPr>
        <w:t>A snapshot of alcohol use in WA</w:t>
      </w:r>
      <w:bookmarkEnd w:id="47"/>
    </w:p>
    <w:p w:rsidR="001F0C9B" w:rsidRDefault="001F0C9B" w:rsidP="001F0C9B">
      <w:pPr>
        <w:rPr>
          <w:lang w:val="en-AU"/>
        </w:rPr>
      </w:pPr>
    </w:p>
    <w:p w:rsidR="001F0C9B" w:rsidRPr="008F1FAA" w:rsidRDefault="001F0C9B" w:rsidP="00CE2FEF">
      <w:pPr>
        <w:pStyle w:val="ListParagraph"/>
        <w:numPr>
          <w:ilvl w:val="0"/>
          <w:numId w:val="7"/>
        </w:numPr>
        <w:ind w:left="426"/>
        <w:rPr>
          <w:lang w:val="en-AU"/>
        </w:rPr>
      </w:pPr>
      <w:r w:rsidRPr="008F1FAA">
        <w:rPr>
          <w:lang w:val="en-AU"/>
        </w:rPr>
        <w:t>In</w:t>
      </w:r>
      <w:r w:rsidRPr="008F1FAA">
        <w:rPr>
          <w:spacing w:val="-2"/>
          <w:lang w:val="en-AU"/>
        </w:rPr>
        <w:t xml:space="preserve"> </w:t>
      </w:r>
      <w:r w:rsidRPr="008F1FAA">
        <w:rPr>
          <w:lang w:val="en-AU"/>
        </w:rPr>
        <w:t>201</w:t>
      </w:r>
      <w:r>
        <w:rPr>
          <w:lang w:val="en-AU"/>
        </w:rPr>
        <w:t>5</w:t>
      </w:r>
      <w:r w:rsidRPr="008F1FAA">
        <w:rPr>
          <w:lang w:val="en-AU"/>
        </w:rPr>
        <w:t xml:space="preserve">, </w:t>
      </w:r>
      <w:r>
        <w:rPr>
          <w:lang w:val="en-AU"/>
        </w:rPr>
        <w:t>62</w:t>
      </w:r>
      <w:r w:rsidRPr="008F1FAA">
        <w:rPr>
          <w:lang w:val="en-AU"/>
        </w:rPr>
        <w:t>% of</w:t>
      </w:r>
      <w:r w:rsidRPr="008F1FAA">
        <w:rPr>
          <w:spacing w:val="-2"/>
          <w:lang w:val="en-AU"/>
        </w:rPr>
        <w:t xml:space="preserve"> </w:t>
      </w:r>
      <w:r w:rsidRPr="008F1FAA">
        <w:rPr>
          <w:lang w:val="en-AU"/>
        </w:rPr>
        <w:t>the WA</w:t>
      </w:r>
      <w:r w:rsidRPr="008F1FAA">
        <w:rPr>
          <w:spacing w:val="-4"/>
          <w:lang w:val="en-AU"/>
        </w:rPr>
        <w:t xml:space="preserve"> </w:t>
      </w:r>
      <w:r w:rsidRPr="008F1FAA">
        <w:rPr>
          <w:lang w:val="en-AU"/>
        </w:rPr>
        <w:t>population aged 16 and over reported that</w:t>
      </w:r>
      <w:r w:rsidRPr="008F1FAA">
        <w:rPr>
          <w:spacing w:val="-4"/>
          <w:lang w:val="en-AU"/>
        </w:rPr>
        <w:t xml:space="preserve"> </w:t>
      </w:r>
      <w:r w:rsidRPr="008F1FAA">
        <w:rPr>
          <w:lang w:val="en-AU"/>
        </w:rPr>
        <w:t xml:space="preserve">they consumed alcohol, and </w:t>
      </w:r>
      <w:r w:rsidR="00A13543">
        <w:rPr>
          <w:lang w:val="en-AU"/>
        </w:rPr>
        <w:t>the remainder (</w:t>
      </w:r>
      <w:r>
        <w:rPr>
          <w:lang w:val="en-AU"/>
        </w:rPr>
        <w:t>38</w:t>
      </w:r>
      <w:r w:rsidRPr="008F1FAA">
        <w:rPr>
          <w:lang w:val="en-AU"/>
        </w:rPr>
        <w:t>%</w:t>
      </w:r>
      <w:r w:rsidR="00A13543">
        <w:rPr>
          <w:lang w:val="en-AU"/>
        </w:rPr>
        <w:t>)</w:t>
      </w:r>
      <w:r w:rsidRPr="008F1FAA">
        <w:rPr>
          <w:lang w:val="en-AU"/>
        </w:rPr>
        <w:t xml:space="preserve"> reported that</w:t>
      </w:r>
      <w:r w:rsidRPr="008F1FAA">
        <w:rPr>
          <w:spacing w:val="-4"/>
          <w:lang w:val="en-AU"/>
        </w:rPr>
        <w:t xml:space="preserve"> </w:t>
      </w:r>
      <w:r w:rsidRPr="008F1FAA">
        <w:rPr>
          <w:lang w:val="en-AU"/>
        </w:rPr>
        <w:t>they were non-drinkers</w:t>
      </w:r>
      <w:r>
        <w:rPr>
          <w:lang w:val="en-AU"/>
        </w:rPr>
        <w:t>, or their drinking level was not determined.</w:t>
      </w:r>
      <w:r w:rsidR="008E4A1B">
        <w:rPr>
          <w:lang w:val="en-AU"/>
        </w:rPr>
        <w:fldChar w:fldCharType="begin"/>
      </w:r>
      <w:r w:rsidR="009F7E7C">
        <w:rPr>
          <w:lang w:val="en-AU"/>
        </w:rPr>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rPr>
          <w:lang w:val="en-AU"/>
        </w:rPr>
        <w:fldChar w:fldCharType="separate"/>
      </w:r>
      <w:r w:rsidR="009F7E7C" w:rsidRPr="009F7E7C">
        <w:rPr>
          <w:noProof/>
          <w:vertAlign w:val="superscript"/>
          <w:lang w:val="en-AU"/>
        </w:rPr>
        <w:t>20</w:t>
      </w:r>
      <w:r w:rsidR="008E4A1B">
        <w:rPr>
          <w:lang w:val="en-AU"/>
        </w:rPr>
        <w:fldChar w:fldCharType="end"/>
      </w:r>
      <w:r w:rsidRPr="008F1FAA" w:rsidDel="00B22E73">
        <w:t xml:space="preserve"> </w:t>
      </w:r>
    </w:p>
    <w:p w:rsidR="001F0C9B" w:rsidRPr="0093372D" w:rsidRDefault="001F0C9B" w:rsidP="001F0C9B">
      <w:pPr>
        <w:pStyle w:val="ListParagraph"/>
        <w:ind w:left="426" w:hanging="360"/>
        <w:rPr>
          <w:lang w:val="en-AU"/>
        </w:rPr>
      </w:pPr>
    </w:p>
    <w:p w:rsidR="001F0C9B" w:rsidRPr="00111D1D" w:rsidRDefault="001F0C9B" w:rsidP="00CE2FEF">
      <w:pPr>
        <w:pStyle w:val="ListParagraph"/>
        <w:numPr>
          <w:ilvl w:val="0"/>
          <w:numId w:val="7"/>
        </w:numPr>
        <w:ind w:left="426"/>
        <w:rPr>
          <w:lang w:val="en-AU"/>
        </w:rPr>
      </w:pPr>
      <w:r w:rsidRPr="0093372D">
        <w:t xml:space="preserve">According to the </w:t>
      </w:r>
      <w:r w:rsidRPr="00F615EA">
        <w:rPr>
          <w:i/>
        </w:rPr>
        <w:t>Australian Guidelines</w:t>
      </w:r>
      <w:r w:rsidRPr="007B03C0">
        <w:rPr>
          <w:i/>
        </w:rPr>
        <w:t xml:space="preserve"> for Alcohol Consumption</w:t>
      </w:r>
      <w:r w:rsidRPr="0093372D">
        <w:t xml:space="preserve"> </w:t>
      </w:r>
      <w:r>
        <w:t xml:space="preserve">(Box 11), </w:t>
      </w:r>
      <w:r w:rsidRPr="0093372D">
        <w:t>2</w:t>
      </w:r>
      <w:r>
        <w:t>8</w:t>
      </w:r>
      <w:r w:rsidRPr="0093372D">
        <w:t xml:space="preserve">% of the </w:t>
      </w:r>
      <w:r>
        <w:t xml:space="preserve">WA </w:t>
      </w:r>
      <w:r w:rsidRPr="0093372D">
        <w:t>population</w:t>
      </w:r>
      <w:r w:rsidR="0090447D">
        <w:t xml:space="preserve"> aged 16 and over</w:t>
      </w:r>
      <w:r w:rsidRPr="0093372D">
        <w:t xml:space="preserve"> in 201</w:t>
      </w:r>
      <w:r>
        <w:t>5</w:t>
      </w:r>
      <w:r w:rsidRPr="0093372D">
        <w:t xml:space="preserve"> were drinking at levels likely to increase their risk of long-term harm and</w:t>
      </w:r>
      <w:r>
        <w:t xml:space="preserve"> 10</w:t>
      </w:r>
      <w:r w:rsidRPr="0093372D">
        <w:t>% dr</w:t>
      </w:r>
      <w:r>
        <w:t>a</w:t>
      </w:r>
      <w:r w:rsidRPr="0093372D">
        <w:t xml:space="preserve">nk at levels </w:t>
      </w:r>
      <w:r>
        <w:t xml:space="preserve">likely to </w:t>
      </w:r>
      <w:r w:rsidRPr="0093372D">
        <w:t xml:space="preserve">increase their </w:t>
      </w:r>
      <w:r>
        <w:t xml:space="preserve">risk </w:t>
      </w:r>
      <w:r w:rsidRPr="0093372D">
        <w:t xml:space="preserve">of short-term </w:t>
      </w:r>
      <w:r>
        <w:t>harm.</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r>
        <w:br/>
      </w:r>
    </w:p>
    <w:p w:rsidR="001F0C9B" w:rsidRPr="00F52EC8" w:rsidRDefault="0090447D" w:rsidP="00CE2FEF">
      <w:pPr>
        <w:pStyle w:val="ListParagraph"/>
        <w:numPr>
          <w:ilvl w:val="0"/>
          <w:numId w:val="7"/>
        </w:numPr>
        <w:ind w:left="426"/>
        <w:rPr>
          <w:lang w:val="en-AU"/>
        </w:rPr>
      </w:pPr>
      <w:r w:rsidRPr="00F52EC8">
        <w:rPr>
          <w:lang w:val="en-AU"/>
        </w:rPr>
        <w:t xml:space="preserve">The prevalence of </w:t>
      </w:r>
      <w:r w:rsidR="00F52EC8">
        <w:rPr>
          <w:lang w:val="en-AU"/>
        </w:rPr>
        <w:t xml:space="preserve">drinking at risk of </w:t>
      </w:r>
      <w:r w:rsidRPr="00F52EC8">
        <w:rPr>
          <w:lang w:val="en-AU"/>
        </w:rPr>
        <w:t>lon</w:t>
      </w:r>
      <w:r w:rsidR="00F52EC8">
        <w:rPr>
          <w:lang w:val="en-AU"/>
        </w:rPr>
        <w:t>g</w:t>
      </w:r>
      <w:r w:rsidRPr="00F52EC8">
        <w:rPr>
          <w:lang w:val="en-AU"/>
        </w:rPr>
        <w:t>-term harm and short-term har</w:t>
      </w:r>
      <w:r w:rsidR="00F52EC8">
        <w:rPr>
          <w:lang w:val="en-AU"/>
        </w:rPr>
        <w:t xml:space="preserve">m </w:t>
      </w:r>
      <w:r w:rsidRPr="00F52EC8">
        <w:rPr>
          <w:lang w:val="en-AU"/>
        </w:rPr>
        <w:t xml:space="preserve">declined </w:t>
      </w:r>
      <w:r w:rsidR="00F52EC8">
        <w:rPr>
          <w:lang w:val="en-AU"/>
        </w:rPr>
        <w:t xml:space="preserve">among </w:t>
      </w:r>
      <w:r w:rsidRPr="00F52EC8">
        <w:rPr>
          <w:lang w:val="en-AU"/>
        </w:rPr>
        <w:t>males and females aged 16 and over in WA between 2002 and 2015.</w:t>
      </w:r>
      <w:r w:rsidR="008E4A1B" w:rsidRPr="00F52EC8">
        <w:rPr>
          <w:lang w:val="en-AU"/>
        </w:rPr>
        <w:fldChar w:fldCharType="begin"/>
      </w:r>
      <w:r w:rsidR="009F7E7C" w:rsidRPr="00F52EC8">
        <w:rPr>
          <w:lang w:val="en-AU"/>
        </w:rPr>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rsidRPr="00F52EC8">
        <w:rPr>
          <w:lang w:val="en-AU"/>
        </w:rPr>
        <w:fldChar w:fldCharType="separate"/>
      </w:r>
      <w:r w:rsidR="009F7E7C" w:rsidRPr="00F52EC8">
        <w:rPr>
          <w:noProof/>
          <w:vertAlign w:val="superscript"/>
          <w:lang w:val="en-AU"/>
        </w:rPr>
        <w:t>20</w:t>
      </w:r>
      <w:r w:rsidR="008E4A1B" w:rsidRPr="00F52EC8">
        <w:rPr>
          <w:lang w:val="en-AU"/>
        </w:rPr>
        <w:fldChar w:fldCharType="end"/>
      </w:r>
    </w:p>
    <w:p w:rsidR="001F0C9B" w:rsidRPr="00F665FC" w:rsidRDefault="001F0C9B" w:rsidP="001F0C9B">
      <w:pPr>
        <w:pStyle w:val="ListParagraph"/>
        <w:ind w:left="426"/>
        <w:rPr>
          <w:lang w:val="en-AU"/>
        </w:rPr>
      </w:pPr>
    </w:p>
    <w:p w:rsidR="001F0C9B" w:rsidRPr="0093372D" w:rsidRDefault="001F0C9B" w:rsidP="00CE2FEF">
      <w:pPr>
        <w:pStyle w:val="ListParagraph"/>
        <w:numPr>
          <w:ilvl w:val="0"/>
          <w:numId w:val="7"/>
        </w:numPr>
        <w:ind w:left="426"/>
        <w:rPr>
          <w:lang w:val="en-AU"/>
        </w:rPr>
      </w:pPr>
      <w:r w:rsidRPr="0093372D">
        <w:t xml:space="preserve">Males in all age groups were significantly more likely </w:t>
      </w:r>
      <w:r>
        <w:t xml:space="preserve">than females </w:t>
      </w:r>
      <w:r w:rsidRPr="0093372D">
        <w:t xml:space="preserve">to report drinking at </w:t>
      </w:r>
      <w:r>
        <w:t xml:space="preserve">high-risk </w:t>
      </w:r>
      <w:r w:rsidRPr="0093372D">
        <w:t xml:space="preserve">levels for long-term harm. Males were also significantly more likely than females to report drinking </w:t>
      </w:r>
      <w:r>
        <w:t xml:space="preserve">at </w:t>
      </w:r>
      <w:r w:rsidRPr="0093372D">
        <w:t>high</w:t>
      </w:r>
      <w:r>
        <w:t>-</w:t>
      </w:r>
      <w:r w:rsidRPr="0093372D">
        <w:t>risk</w:t>
      </w:r>
      <w:r>
        <w:t xml:space="preserve"> levels</w:t>
      </w:r>
      <w:r w:rsidRPr="0093372D">
        <w:t xml:space="preserve"> for short</w:t>
      </w:r>
      <w:r>
        <w:t>-</w:t>
      </w:r>
      <w:r w:rsidRPr="0093372D">
        <w:t>term h</w:t>
      </w:r>
      <w:r>
        <w:t>arm (15% compared with 4%).</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p>
    <w:p w:rsidR="001F0C9B" w:rsidRPr="0093372D" w:rsidRDefault="001F0C9B" w:rsidP="001F0C9B">
      <w:pPr>
        <w:pStyle w:val="ListParagraph"/>
        <w:ind w:left="426" w:hanging="360"/>
        <w:rPr>
          <w:lang w:val="en-AU"/>
        </w:rPr>
      </w:pPr>
    </w:p>
    <w:p w:rsidR="001F0C9B" w:rsidRDefault="00960180" w:rsidP="00CE2FEF">
      <w:pPr>
        <w:pStyle w:val="ListParagraph"/>
        <w:numPr>
          <w:ilvl w:val="0"/>
          <w:numId w:val="7"/>
        </w:numPr>
        <w:ind w:left="426"/>
        <w:rPr>
          <w:lang w:val="en-AU"/>
        </w:rPr>
      </w:pPr>
      <w:r>
        <w:rPr>
          <w:lang w:val="en-AU"/>
        </w:rPr>
        <w:t>Although</w:t>
      </w:r>
      <w:r w:rsidR="001F0C9B" w:rsidRPr="00C26AAD">
        <w:rPr>
          <w:lang w:val="en-AU"/>
        </w:rPr>
        <w:t xml:space="preserve"> </w:t>
      </w:r>
      <w:r w:rsidR="001F0C9B">
        <w:rPr>
          <w:lang w:val="en-AU"/>
        </w:rPr>
        <w:t xml:space="preserve">Aboriginal </w:t>
      </w:r>
      <w:r w:rsidR="00602D5A">
        <w:rPr>
          <w:lang w:val="en-AU"/>
        </w:rPr>
        <w:t>people</w:t>
      </w:r>
      <w:r w:rsidR="001F0C9B" w:rsidRPr="00C26AAD">
        <w:rPr>
          <w:lang w:val="en-AU"/>
        </w:rPr>
        <w:t xml:space="preserve"> were more likely to abstain </w:t>
      </w:r>
      <w:r w:rsidR="001F0C9B">
        <w:rPr>
          <w:lang w:val="en-AU"/>
        </w:rPr>
        <w:t>from drinking alcohol than non-Aboriginal</w:t>
      </w:r>
      <w:r w:rsidR="001F0C9B" w:rsidRPr="00C26AAD">
        <w:rPr>
          <w:lang w:val="en-AU"/>
        </w:rPr>
        <w:t xml:space="preserve"> </w:t>
      </w:r>
      <w:r w:rsidR="00602D5A">
        <w:rPr>
          <w:lang w:val="en-AU"/>
        </w:rPr>
        <w:t>people</w:t>
      </w:r>
      <w:r w:rsidR="001F0C9B">
        <w:rPr>
          <w:lang w:val="en-AU"/>
        </w:rPr>
        <w:t xml:space="preserve"> in 2013</w:t>
      </w:r>
      <w:r w:rsidR="001F0C9B" w:rsidRPr="00C26AAD">
        <w:rPr>
          <w:lang w:val="en-AU"/>
        </w:rPr>
        <w:t xml:space="preserve"> (28% </w:t>
      </w:r>
      <w:r w:rsidR="001F0C9B">
        <w:rPr>
          <w:lang w:val="en-AU"/>
        </w:rPr>
        <w:t>and</w:t>
      </w:r>
      <w:r w:rsidR="001F0C9B" w:rsidRPr="00C26AAD">
        <w:rPr>
          <w:lang w:val="en-AU"/>
        </w:rPr>
        <w:t xml:space="preserve"> 22%</w:t>
      </w:r>
      <w:r w:rsidR="001F0C9B">
        <w:rPr>
          <w:lang w:val="en-AU"/>
        </w:rPr>
        <w:t>,</w:t>
      </w:r>
      <w:r w:rsidR="001F0C9B" w:rsidRPr="00C26AAD">
        <w:rPr>
          <w:lang w:val="en-AU"/>
        </w:rPr>
        <w:t xml:space="preserve"> respectively)</w:t>
      </w:r>
      <w:r>
        <w:rPr>
          <w:lang w:val="en-AU"/>
        </w:rPr>
        <w:t xml:space="preserve">, </w:t>
      </w:r>
      <w:r w:rsidR="001F0C9B" w:rsidRPr="00C26AAD">
        <w:rPr>
          <w:lang w:val="en-AU"/>
        </w:rPr>
        <w:t xml:space="preserve">among those who </w:t>
      </w:r>
      <w:r w:rsidR="00447F7F">
        <w:rPr>
          <w:lang w:val="en-AU"/>
        </w:rPr>
        <w:t>consumed alcohol</w:t>
      </w:r>
      <w:r w:rsidR="001F0C9B" w:rsidRPr="00C26AAD">
        <w:rPr>
          <w:lang w:val="en-AU"/>
        </w:rPr>
        <w:t xml:space="preserve">, a higher proportion of </w:t>
      </w:r>
      <w:r w:rsidR="001F0C9B">
        <w:rPr>
          <w:lang w:val="en-AU"/>
        </w:rPr>
        <w:t xml:space="preserve">Aboriginal people </w:t>
      </w:r>
      <w:r w:rsidR="001F0C9B" w:rsidRPr="00C26AAD">
        <w:rPr>
          <w:lang w:val="en-AU"/>
        </w:rPr>
        <w:t>drank at risky levels.</w:t>
      </w:r>
      <w:r w:rsidR="008E4A1B">
        <w:rPr>
          <w:lang w:val="en-AU"/>
        </w:rPr>
        <w:fldChar w:fldCharType="begin"/>
      </w:r>
      <w:r w:rsidR="005B3C51">
        <w:rPr>
          <w:lang w:val="en-AU"/>
        </w:rPr>
        <w:instrText xml:space="preserve"> ADDIN EN.CITE &lt;EndNote&gt;&lt;Cite&gt;&lt;Author&gt;Australian Institute of Health and Welfare&lt;/Author&gt;&lt;Year&gt;2014&lt;/Year&gt;&lt;RecNum&gt;26&lt;/RecNum&gt;&lt;DisplayText&gt;&lt;style face="superscript"&gt;142&lt;/style&gt;&lt;/DisplayText&gt;&lt;record&gt;&lt;rec-number&gt;26&lt;/rec-number&gt;&lt;foreign-keys&gt;&lt;key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Welfare&lt;/publisher&gt;&lt;urls&gt;&lt;related-urls&gt;&lt;url&gt;http://www.aihw.gov.au/WorkArea/DownloadAsset.aspx?id=60129549848&lt;/url&gt;&lt;/related-urls&gt;&lt;/urls&gt;&lt;/record&gt;&lt;/Cite&gt;&lt;/EndNote&gt;</w:instrText>
      </w:r>
      <w:r w:rsidR="008E4A1B">
        <w:rPr>
          <w:lang w:val="en-AU"/>
        </w:rPr>
        <w:fldChar w:fldCharType="separate"/>
      </w:r>
      <w:r w:rsidR="005B3C51" w:rsidRPr="005B3C51">
        <w:rPr>
          <w:noProof/>
          <w:vertAlign w:val="superscript"/>
          <w:lang w:val="en-AU"/>
        </w:rPr>
        <w:t>142</w:t>
      </w:r>
      <w:r w:rsidR="008E4A1B">
        <w:rPr>
          <w:lang w:val="en-AU"/>
        </w:rPr>
        <w:fldChar w:fldCharType="end"/>
      </w:r>
    </w:p>
    <w:p w:rsidR="001F0C9B" w:rsidRPr="006617B0" w:rsidRDefault="001F0C9B" w:rsidP="001F0C9B">
      <w:pPr>
        <w:pStyle w:val="ListParagraph"/>
        <w:ind w:left="426" w:hanging="360"/>
        <w:rPr>
          <w:lang w:val="en-AU"/>
        </w:rPr>
      </w:pPr>
    </w:p>
    <w:p w:rsidR="001F0C9B" w:rsidRPr="00C26AAD" w:rsidRDefault="001F0C9B" w:rsidP="00CE2FEF">
      <w:pPr>
        <w:pStyle w:val="ListParagraph"/>
        <w:numPr>
          <w:ilvl w:val="0"/>
          <w:numId w:val="7"/>
        </w:numPr>
        <w:ind w:left="426"/>
        <w:rPr>
          <w:lang w:val="en-AU"/>
        </w:rPr>
      </w:pPr>
      <w:r>
        <w:rPr>
          <w:lang w:val="en-AU"/>
        </w:rPr>
        <w:t xml:space="preserve">From 2010 to 2013, there was a significant decline in </w:t>
      </w:r>
      <w:r w:rsidRPr="00C26AAD">
        <w:rPr>
          <w:lang w:val="en-AU"/>
        </w:rPr>
        <w:t xml:space="preserve">the proportion of </w:t>
      </w:r>
      <w:r>
        <w:rPr>
          <w:lang w:val="en-AU"/>
        </w:rPr>
        <w:t>Aboriginal</w:t>
      </w:r>
      <w:r w:rsidRPr="00C26AAD">
        <w:rPr>
          <w:lang w:val="en-AU"/>
        </w:rPr>
        <w:t xml:space="preserve"> people </w:t>
      </w:r>
      <w:r>
        <w:rPr>
          <w:lang w:val="en-AU"/>
        </w:rPr>
        <w:t xml:space="preserve">consuming alcohol at levels that </w:t>
      </w:r>
      <w:r w:rsidRPr="00C26AAD">
        <w:rPr>
          <w:lang w:val="en-AU"/>
        </w:rPr>
        <w:t xml:space="preserve">exceed the NHMRC guidelines for </w:t>
      </w:r>
      <w:r w:rsidR="003C7577">
        <w:rPr>
          <w:lang w:val="en-AU"/>
        </w:rPr>
        <w:t>risk of long-term harm</w:t>
      </w:r>
      <w:r w:rsidRPr="00C26AAD">
        <w:rPr>
          <w:lang w:val="en-AU"/>
        </w:rPr>
        <w:t xml:space="preserve"> (</w:t>
      </w:r>
      <w:r>
        <w:rPr>
          <w:lang w:val="en-AU"/>
        </w:rPr>
        <w:t xml:space="preserve">from </w:t>
      </w:r>
      <w:r w:rsidRPr="00C26AAD">
        <w:rPr>
          <w:lang w:val="en-AU"/>
        </w:rPr>
        <w:t xml:space="preserve">32% </w:t>
      </w:r>
      <w:r>
        <w:rPr>
          <w:lang w:val="en-AU"/>
        </w:rPr>
        <w:t>to</w:t>
      </w:r>
      <w:r w:rsidRPr="00C26AAD">
        <w:rPr>
          <w:lang w:val="en-AU"/>
        </w:rPr>
        <w:t xml:space="preserve"> 23%). There were</w:t>
      </w:r>
      <w:r>
        <w:rPr>
          <w:lang w:val="en-AU"/>
        </w:rPr>
        <w:t xml:space="preserve"> also </w:t>
      </w:r>
      <w:r w:rsidRPr="00C26AAD">
        <w:rPr>
          <w:lang w:val="en-AU"/>
        </w:rPr>
        <w:t xml:space="preserve">fewer </w:t>
      </w:r>
      <w:r>
        <w:rPr>
          <w:lang w:val="en-AU"/>
        </w:rPr>
        <w:t>Aboriginal people</w:t>
      </w:r>
      <w:r w:rsidRPr="00C26AAD">
        <w:rPr>
          <w:lang w:val="en-AU"/>
        </w:rPr>
        <w:t xml:space="preserve"> drinking alcohol </w:t>
      </w:r>
      <w:r>
        <w:rPr>
          <w:lang w:val="en-AU"/>
        </w:rPr>
        <w:t xml:space="preserve">at least once a month in 2013 </w:t>
      </w:r>
      <w:r w:rsidRPr="00C26AAD">
        <w:rPr>
          <w:lang w:val="en-AU"/>
        </w:rPr>
        <w:t xml:space="preserve">at levels that put them at risk of </w:t>
      </w:r>
      <w:r w:rsidR="003C7577">
        <w:rPr>
          <w:lang w:val="en-AU"/>
        </w:rPr>
        <w:t>short-term harm</w:t>
      </w:r>
      <w:r w:rsidRPr="00C26AAD">
        <w:rPr>
          <w:lang w:val="en-AU"/>
        </w:rPr>
        <w:t xml:space="preserve"> (from 4</w:t>
      </w:r>
      <w:r>
        <w:rPr>
          <w:lang w:val="en-AU"/>
        </w:rPr>
        <w:t>5</w:t>
      </w:r>
      <w:r w:rsidRPr="00C26AAD">
        <w:rPr>
          <w:lang w:val="en-AU"/>
        </w:rPr>
        <w:t>% to 38%).</w:t>
      </w:r>
      <w:r w:rsidR="008E4A1B">
        <w:rPr>
          <w:lang w:val="en-AU"/>
        </w:rPr>
        <w:fldChar w:fldCharType="begin"/>
      </w:r>
      <w:r w:rsidR="005B3C51">
        <w:rPr>
          <w:lang w:val="en-AU"/>
        </w:rPr>
        <w:instrText xml:space="preserve"> ADDIN EN.CITE &lt;EndNote&gt;&lt;Cite&gt;&lt;Author&gt;Australian Institute of Health and Welfare&lt;/Author&gt;&lt;Year&gt;2014&lt;/Year&gt;&lt;RecNum&gt;26&lt;/RecNum&gt;&lt;DisplayText&gt;&lt;style face="superscript"&gt;142&lt;/style&gt;&lt;/DisplayText&gt;&lt;record&gt;&lt;rec-number&gt;26&lt;/rec-number&gt;&lt;foreign-keys&gt;&lt;key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Welfare&lt;/publisher&gt;&lt;urls&gt;&lt;related-urls&gt;&lt;url&gt;http://www.aihw.gov.au/WorkArea/DownloadAsset.aspx?id=60129549848&lt;/url&gt;&lt;/related-urls&gt;&lt;/urls&gt;&lt;/record&gt;&lt;/Cite&gt;&lt;/EndNote&gt;</w:instrText>
      </w:r>
      <w:r w:rsidR="008E4A1B">
        <w:rPr>
          <w:lang w:val="en-AU"/>
        </w:rPr>
        <w:fldChar w:fldCharType="separate"/>
      </w:r>
      <w:r w:rsidR="005B3C51" w:rsidRPr="005B3C51">
        <w:rPr>
          <w:noProof/>
          <w:vertAlign w:val="superscript"/>
          <w:lang w:val="en-AU"/>
        </w:rPr>
        <w:t>142</w:t>
      </w:r>
      <w:r w:rsidR="008E4A1B">
        <w:rPr>
          <w:lang w:val="en-AU"/>
        </w:rPr>
        <w:fldChar w:fldCharType="end"/>
      </w:r>
    </w:p>
    <w:p w:rsidR="001F0C9B" w:rsidRDefault="001F0C9B" w:rsidP="001F0C9B">
      <w:pPr>
        <w:pStyle w:val="ListParagraph"/>
        <w:ind w:left="426" w:hanging="360"/>
      </w:pPr>
    </w:p>
    <w:p w:rsidR="001F0C9B" w:rsidRPr="00693EEF" w:rsidRDefault="00960180" w:rsidP="00CE2FEF">
      <w:pPr>
        <w:pStyle w:val="ListParagraph"/>
        <w:numPr>
          <w:ilvl w:val="0"/>
          <w:numId w:val="7"/>
        </w:numPr>
        <w:ind w:left="426"/>
        <w:rPr>
          <w:lang w:val="en-AU"/>
        </w:rPr>
      </w:pPr>
      <w:r>
        <w:t>From</w:t>
      </w:r>
      <w:r w:rsidR="001F0C9B" w:rsidRPr="00693EEF">
        <w:t xml:space="preserve"> 1984</w:t>
      </w:r>
      <w:r w:rsidR="00710B2B">
        <w:rPr>
          <w:lang w:val="en-AU"/>
        </w:rPr>
        <w:t>–</w:t>
      </w:r>
      <w:r w:rsidR="001F0C9B" w:rsidRPr="00693EEF">
        <w:t>2014</w:t>
      </w:r>
      <w:r w:rsidR="001F0C9B">
        <w:t>,</w:t>
      </w:r>
      <w:r w:rsidR="001F0C9B" w:rsidRPr="00693EEF">
        <w:t xml:space="preserve"> rates of alcohol use among secondary school students declined</w:t>
      </w:r>
      <w:r w:rsidR="001F0C9B">
        <w:t>. There were notable declines over this period in the</w:t>
      </w:r>
      <w:r w:rsidR="001F0C9B" w:rsidRPr="00693EEF">
        <w:t xml:space="preserve"> proportion of students </w:t>
      </w:r>
      <w:r w:rsidR="001F0C9B">
        <w:t xml:space="preserve">who reported </w:t>
      </w:r>
      <w:r w:rsidR="001F0C9B" w:rsidRPr="00693EEF">
        <w:t xml:space="preserve">drinking </w:t>
      </w:r>
      <w:r w:rsidR="001F0C9B">
        <w:t>in the past year</w:t>
      </w:r>
      <w:r w:rsidR="001F0C9B" w:rsidRPr="00693EEF">
        <w:t xml:space="preserve"> (</w:t>
      </w:r>
      <w:r w:rsidR="001F0C9B">
        <w:t>80</w:t>
      </w:r>
      <w:r w:rsidR="001F0C9B" w:rsidRPr="00693EEF">
        <w:t>% to 44%), in the past month (50% to 2</w:t>
      </w:r>
      <w:r w:rsidR="001F0C9B">
        <w:t>4</w:t>
      </w:r>
      <w:r w:rsidR="001F0C9B" w:rsidRPr="00693EEF">
        <w:t xml:space="preserve">%) and </w:t>
      </w:r>
      <w:r w:rsidR="001F0C9B">
        <w:t xml:space="preserve">in the </w:t>
      </w:r>
      <w:r w:rsidR="001F0C9B" w:rsidRPr="00693EEF">
        <w:t>past week (3</w:t>
      </w:r>
      <w:r w:rsidR="001F0C9B">
        <w:t>4</w:t>
      </w:r>
      <w:r w:rsidR="001F0C9B" w:rsidRPr="00693EEF">
        <w:t>% to 1</w:t>
      </w:r>
      <w:r w:rsidR="001F0C9B">
        <w:t>4%).</w:t>
      </w:r>
      <w:r w:rsidR="008E4A1B">
        <w:fldChar w:fldCharType="begin"/>
      </w:r>
      <w:r w:rsidR="005B3C51">
        <w:instrText xml:space="preserve"> ADDIN EN.CITE &lt;EndNote&gt;&lt;Cite&gt;&lt;Author&gt;Bridle&lt;/Author&gt;&lt;Year&gt;2016&lt;/Year&gt;&lt;RecNum&gt;263&lt;/RecNum&gt;&lt;DisplayText&gt;&lt;style face="superscript"&gt;168&lt;/style&gt;&lt;/DisplayText&gt;&lt;record&gt;&lt;rec-number&gt;263&lt;/rec-number&gt;&lt;foreign-keys&gt;&lt;key app="EN" db-id="zxa00wf2opvf9oeeset50xz7ezpfwre2v20z"&gt;263&lt;/key&gt;&lt;/foreign-keys&gt;&lt;ref-type name="Report"&gt;27&lt;/ref-type&gt;&lt;contributors&gt;&lt;authors&gt;&lt;author&gt;Bridle, R&lt;/author&gt;&lt;author&gt;Harrison, A&lt;/author&gt;&lt;author&gt;Goggin, L &lt;/author&gt;&lt;/authors&gt;&lt;/contributors&gt;&lt;titles&gt;&lt;title&gt;Australian School Students Alcohol and other Drug Survey.  Western Australian results 2014&lt;/title&gt;&lt;/titles&gt;&lt;dates&gt;&lt;year&gt;2016&lt;/year&gt;&lt;/dates&gt;&lt;pub-location&gt;Perth&lt;/pub-location&gt;&lt;publisher&gt;Mental Health Commission, Western Australia&lt;/publisher&gt;&lt;urls&gt;&lt;related-urls&gt;&lt;url&gt;http://www.dao.health.wa.gov.au/Informationandresources/Publicationsandresources/Researchandstatistics/Statistics/AustralianSchoolStudentsAlcoholandDrugsurvey.aspx&lt;/url&gt;&lt;/related-urls&gt;&lt;/urls&gt;&lt;/record&gt;&lt;/Cite&gt;&lt;/EndNote&gt;</w:instrText>
      </w:r>
      <w:r w:rsidR="008E4A1B">
        <w:fldChar w:fldCharType="separate"/>
      </w:r>
      <w:r w:rsidR="005B3C51" w:rsidRPr="005B3C51">
        <w:rPr>
          <w:noProof/>
          <w:vertAlign w:val="superscript"/>
        </w:rPr>
        <w:t>168</w:t>
      </w:r>
      <w:r w:rsidR="008E4A1B">
        <w:fldChar w:fldCharType="end"/>
      </w:r>
    </w:p>
    <w:p w:rsidR="001F0C9B" w:rsidRPr="00693EEF" w:rsidRDefault="001F0C9B" w:rsidP="001F0C9B">
      <w:pPr>
        <w:pStyle w:val="ListParagraph"/>
        <w:ind w:left="426" w:hanging="360"/>
        <w:rPr>
          <w:lang w:val="en-AU"/>
        </w:rPr>
      </w:pPr>
    </w:p>
    <w:p w:rsidR="001F0C9B" w:rsidRPr="00410ACD" w:rsidRDefault="001F0C9B" w:rsidP="00CE2FEF">
      <w:pPr>
        <w:pStyle w:val="ListParagraph"/>
        <w:numPr>
          <w:ilvl w:val="0"/>
          <w:numId w:val="7"/>
        </w:numPr>
        <w:ind w:left="426"/>
      </w:pPr>
      <w:r w:rsidRPr="0093372D">
        <w:rPr>
          <w:lang w:val="en-AU"/>
        </w:rPr>
        <w:t xml:space="preserve">In 2014, almost one in seven (14%) students aged </w:t>
      </w:r>
      <w:r>
        <w:t>12</w:t>
      </w:r>
      <w:r w:rsidR="00F54D17">
        <w:t>–</w:t>
      </w:r>
      <w:r>
        <w:t xml:space="preserve">17 years </w:t>
      </w:r>
      <w:r w:rsidRPr="0093372D">
        <w:rPr>
          <w:lang w:val="en-AU"/>
        </w:rPr>
        <w:t xml:space="preserve">drank </w:t>
      </w:r>
      <w:r>
        <w:rPr>
          <w:lang w:val="en-AU"/>
        </w:rPr>
        <w:t>during</w:t>
      </w:r>
      <w:r w:rsidRPr="0093372D">
        <w:rPr>
          <w:lang w:val="en-AU"/>
        </w:rPr>
        <w:t xml:space="preserve"> the </w:t>
      </w:r>
      <w:r>
        <w:rPr>
          <w:lang w:val="en-AU"/>
        </w:rPr>
        <w:t>past</w:t>
      </w:r>
      <w:r w:rsidRPr="0093372D">
        <w:rPr>
          <w:lang w:val="en-AU"/>
        </w:rPr>
        <w:t xml:space="preserve"> week. Of th</w:t>
      </w:r>
      <w:r>
        <w:rPr>
          <w:lang w:val="en-AU"/>
        </w:rPr>
        <w:t>is 14%</w:t>
      </w:r>
      <w:r w:rsidRPr="0093372D">
        <w:rPr>
          <w:lang w:val="en-AU"/>
        </w:rPr>
        <w:t xml:space="preserve">, </w:t>
      </w:r>
      <w:r>
        <w:rPr>
          <w:lang w:val="en-AU"/>
        </w:rPr>
        <w:t>almost</w:t>
      </w:r>
      <w:r w:rsidRPr="0093372D">
        <w:rPr>
          <w:lang w:val="en-AU"/>
        </w:rPr>
        <w:t xml:space="preserve"> one in three (30%) </w:t>
      </w:r>
      <w:r>
        <w:rPr>
          <w:lang w:val="en-AU"/>
        </w:rPr>
        <w:t>drank</w:t>
      </w:r>
      <w:r w:rsidRPr="0093372D">
        <w:rPr>
          <w:lang w:val="en-AU"/>
        </w:rPr>
        <w:t xml:space="preserve"> at risky levels for </w:t>
      </w:r>
      <w:r w:rsidR="0019684C">
        <w:rPr>
          <w:lang w:val="en-AU"/>
        </w:rPr>
        <w:t>short-term harm</w:t>
      </w:r>
      <w:r w:rsidRPr="0093372D">
        <w:rPr>
          <w:lang w:val="en-AU"/>
        </w:rPr>
        <w:t>.</w:t>
      </w:r>
      <w:r w:rsidR="008E4A1B">
        <w:rPr>
          <w:lang w:val="en-AU"/>
        </w:rPr>
        <w:fldChar w:fldCharType="begin"/>
      </w:r>
      <w:r w:rsidR="005B3C51">
        <w:rPr>
          <w:lang w:val="en-AU"/>
        </w:rPr>
        <w:instrText xml:space="preserve"> ADDIN EN.CITE &lt;EndNote&gt;&lt;Cite&gt;&lt;Author&gt;Bridle&lt;/Author&gt;&lt;Year&gt;2016&lt;/Year&gt;&lt;RecNum&gt;263&lt;/RecNum&gt;&lt;DisplayText&gt;&lt;style face="superscript"&gt;168&lt;/style&gt;&lt;/DisplayText&gt;&lt;record&gt;&lt;rec-number&gt;263&lt;/rec-number&gt;&lt;foreign-keys&gt;&lt;key app="EN" db-id="zxa00wf2opvf9oeeset50xz7ezpfwre2v20z"&gt;263&lt;/key&gt;&lt;/foreign-keys&gt;&lt;ref-type name="Report"&gt;27&lt;/ref-type&gt;&lt;contributors&gt;&lt;authors&gt;&lt;author&gt;Bridle, R&lt;/author&gt;&lt;author&gt;Harrison, A&lt;/author&gt;&lt;author&gt;Goggin, L &lt;/author&gt;&lt;/authors&gt;&lt;/contributors&gt;&lt;titles&gt;&lt;title&gt;Australian School Students Alcohol and other Drug Survey.  Western Australian results 2014&lt;/title&gt;&lt;/titles&gt;&lt;dates&gt;&lt;year&gt;2016&lt;/year&gt;&lt;/dates&gt;&lt;pub-location&gt;Perth&lt;/pub-location&gt;&lt;publisher&gt;Mental Health Commission, Western Australia&lt;/publisher&gt;&lt;urls&gt;&lt;related-urls&gt;&lt;url&gt;http://www.dao.health.wa.gov.au/Informationandresources/Publicationsandresources/Researchandstatistics/Statistics/AustralianSchoolStudentsAlcoholandDrugsurvey.aspx&lt;/url&gt;&lt;/related-urls&gt;&lt;/urls&gt;&lt;/record&gt;&lt;/Cite&gt;&lt;/EndNote&gt;</w:instrText>
      </w:r>
      <w:r w:rsidR="008E4A1B">
        <w:rPr>
          <w:lang w:val="en-AU"/>
        </w:rPr>
        <w:fldChar w:fldCharType="separate"/>
      </w:r>
      <w:r w:rsidR="005B3C51" w:rsidRPr="005B3C51">
        <w:rPr>
          <w:noProof/>
          <w:vertAlign w:val="superscript"/>
          <w:lang w:val="en-AU"/>
        </w:rPr>
        <w:t>168</w:t>
      </w:r>
      <w:r w:rsidR="008E4A1B">
        <w:rPr>
          <w:lang w:val="en-AU"/>
        </w:rPr>
        <w:fldChar w:fldCharType="end"/>
      </w:r>
    </w:p>
    <w:p w:rsidR="001F0C9B" w:rsidRPr="00410ACD" w:rsidRDefault="001F0C9B" w:rsidP="001F0C9B">
      <w:pPr>
        <w:pStyle w:val="ListParagraph"/>
        <w:ind w:left="426" w:hanging="360"/>
      </w:pPr>
    </w:p>
    <w:p w:rsidR="001F0C9B" w:rsidRPr="00C26AAD" w:rsidRDefault="00960180" w:rsidP="00CE2FEF">
      <w:pPr>
        <w:pStyle w:val="ListParagraph"/>
        <w:numPr>
          <w:ilvl w:val="0"/>
          <w:numId w:val="7"/>
        </w:numPr>
        <w:ind w:left="426"/>
        <w:rPr>
          <w:lang w:val="en-AU"/>
        </w:rPr>
      </w:pPr>
      <w:r>
        <w:rPr>
          <w:lang w:val="en-AU"/>
        </w:rPr>
        <w:t>From</w:t>
      </w:r>
      <w:r w:rsidR="001F0C9B" w:rsidRPr="00C26AAD">
        <w:rPr>
          <w:lang w:val="en-AU"/>
        </w:rPr>
        <w:t xml:space="preserve"> 2010</w:t>
      </w:r>
      <w:r w:rsidR="00710B2B">
        <w:rPr>
          <w:lang w:val="en-AU"/>
        </w:rPr>
        <w:t>–</w:t>
      </w:r>
      <w:r w:rsidR="001F0C9B" w:rsidRPr="00C26AAD">
        <w:rPr>
          <w:lang w:val="en-AU"/>
        </w:rPr>
        <w:t>2013</w:t>
      </w:r>
      <w:r w:rsidR="001F0C9B">
        <w:rPr>
          <w:lang w:val="en-AU"/>
        </w:rPr>
        <w:t>,</w:t>
      </w:r>
      <w:r w:rsidR="001F0C9B" w:rsidRPr="00C26AAD">
        <w:rPr>
          <w:lang w:val="en-AU"/>
        </w:rPr>
        <w:t xml:space="preserve"> the proportion of pregnant women abstaining from alcohol </w:t>
      </w:r>
      <w:r w:rsidR="001F0C9B" w:rsidRPr="00C26AAD">
        <w:rPr>
          <w:lang w:val="en-AU"/>
        </w:rPr>
        <w:lastRenderedPageBreak/>
        <w:t xml:space="preserve">increased </w:t>
      </w:r>
      <w:r w:rsidR="001F0C9B">
        <w:rPr>
          <w:lang w:val="en-AU"/>
        </w:rPr>
        <w:t xml:space="preserve">slightly </w:t>
      </w:r>
      <w:r w:rsidR="001F0C9B" w:rsidRPr="00C26AAD">
        <w:rPr>
          <w:lang w:val="en-AU"/>
        </w:rPr>
        <w:t xml:space="preserve">from 49% to 53%. About </w:t>
      </w:r>
      <w:r w:rsidR="001F0C9B">
        <w:rPr>
          <w:lang w:val="en-AU"/>
        </w:rPr>
        <w:t>three-quarters</w:t>
      </w:r>
      <w:r w:rsidR="001F0C9B" w:rsidRPr="00C26AAD">
        <w:rPr>
          <w:lang w:val="en-AU"/>
        </w:rPr>
        <w:t xml:space="preserve"> (78%) </w:t>
      </w:r>
      <w:r w:rsidR="001F0C9B">
        <w:rPr>
          <w:lang w:val="en-AU"/>
        </w:rPr>
        <w:t xml:space="preserve">of </w:t>
      </w:r>
      <w:r w:rsidR="001F0C9B" w:rsidRPr="00C26AAD">
        <w:rPr>
          <w:lang w:val="en-AU"/>
        </w:rPr>
        <w:t>pregnant women who consumed alcohol while pregnant</w:t>
      </w:r>
      <w:r w:rsidR="001F0C9B">
        <w:rPr>
          <w:lang w:val="en-AU"/>
        </w:rPr>
        <w:t xml:space="preserve"> drank monthly or less, and 17</w:t>
      </w:r>
      <w:r w:rsidR="001F0C9B" w:rsidRPr="00C26AAD">
        <w:rPr>
          <w:lang w:val="en-AU"/>
        </w:rPr>
        <w:t xml:space="preserve">% drank </w:t>
      </w:r>
      <w:r w:rsidR="001F0C9B">
        <w:rPr>
          <w:lang w:val="en-AU"/>
        </w:rPr>
        <w:t xml:space="preserve">two to four </w:t>
      </w:r>
      <w:r w:rsidR="001F0C9B" w:rsidRPr="00C26AAD">
        <w:rPr>
          <w:lang w:val="en-AU"/>
        </w:rPr>
        <w:t>times a month</w:t>
      </w:r>
      <w:r w:rsidR="001F0C9B">
        <w:rPr>
          <w:lang w:val="en-AU"/>
        </w:rPr>
        <w:t>.</w:t>
      </w:r>
      <w:r w:rsidR="008E4A1B">
        <w:rPr>
          <w:lang w:val="en-AU"/>
        </w:rPr>
        <w:fldChar w:fldCharType="begin"/>
      </w:r>
      <w:r w:rsidR="005B3C51">
        <w:rPr>
          <w:lang w:val="en-AU"/>
        </w:rPr>
        <w:instrText xml:space="preserve"> ADDIN EN.CITE &lt;EndNote&gt;&lt;Cite&gt;&lt;Author&gt;Australian Institute of Health and Welfare&lt;/Author&gt;&lt;Year&gt;2014&lt;/Year&gt;&lt;RecNum&gt;26&lt;/RecNum&gt;&lt;DisplayText&gt;&lt;style face="superscript"&gt;142&lt;/style&gt;&lt;/DisplayText&gt;&lt;record&gt;&lt;rec-number&gt;26&lt;/rec-number&gt;&lt;foreign-keys&gt;&lt;key app="EN" db-id="zxa00wf2opvf9oeeset50xz7ezpfwre2v20z"&gt;26&lt;/key&gt;&lt;/foreign-keys&gt;&lt;ref-type name="Report"&gt;27&lt;/ref-type&gt;&lt;contributors&gt;&lt;authors&gt;&lt;author&gt;Australian Institute of Health and Welfare,&lt;/author&gt;&lt;/authors&gt;&lt;/contributors&gt;&lt;titles&gt;&lt;title&gt;National Drug Strategy Household Survey detailed report 2013. Drug statistics series no. 28. Cat. no. PHE 283&lt;/title&gt;&lt;/titles&gt;&lt;dates&gt;&lt;year&gt;2014&lt;/year&gt;&lt;/dates&gt;&lt;pub-location&gt;Canberra&lt;/pub-location&gt;&lt;publisher&gt;Australian Institute of Health and Welfare&lt;/publisher&gt;&lt;urls&gt;&lt;related-urls&gt;&lt;url&gt;http://www.aihw.gov.au/WorkArea/DownloadAsset.aspx?id=60129549848&lt;/url&gt;&lt;/related-urls&gt;&lt;/urls&gt;&lt;/record&gt;&lt;/Cite&gt;&lt;/EndNote&gt;</w:instrText>
      </w:r>
      <w:r w:rsidR="008E4A1B">
        <w:rPr>
          <w:lang w:val="en-AU"/>
        </w:rPr>
        <w:fldChar w:fldCharType="separate"/>
      </w:r>
      <w:r w:rsidR="005B3C51" w:rsidRPr="005B3C51">
        <w:rPr>
          <w:noProof/>
          <w:vertAlign w:val="superscript"/>
          <w:lang w:val="en-AU"/>
        </w:rPr>
        <w:t>142</w:t>
      </w:r>
      <w:r w:rsidR="008E4A1B">
        <w:rPr>
          <w:lang w:val="en-AU"/>
        </w:rPr>
        <w:fldChar w:fldCharType="end"/>
      </w:r>
    </w:p>
    <w:p w:rsidR="001F0C9B" w:rsidRPr="00C26AAD" w:rsidRDefault="001F0C9B" w:rsidP="001F0C9B">
      <w:pPr>
        <w:pStyle w:val="ListParagraph"/>
        <w:ind w:left="426" w:hanging="360"/>
        <w:rPr>
          <w:lang w:val="en-AU"/>
        </w:rPr>
      </w:pPr>
    </w:p>
    <w:p w:rsidR="001F0C9B" w:rsidRDefault="00960180" w:rsidP="00CE2FEF">
      <w:pPr>
        <w:pStyle w:val="ListParagraph"/>
        <w:numPr>
          <w:ilvl w:val="0"/>
          <w:numId w:val="7"/>
        </w:numPr>
        <w:ind w:left="426"/>
        <w:rPr>
          <w:lang w:val="en-AU"/>
        </w:rPr>
      </w:pPr>
      <w:r>
        <w:rPr>
          <w:lang w:val="en-AU"/>
        </w:rPr>
        <w:t>From</w:t>
      </w:r>
      <w:r w:rsidR="001F0C9B" w:rsidRPr="00711822">
        <w:rPr>
          <w:lang w:val="en-AU"/>
        </w:rPr>
        <w:t xml:space="preserve"> 2007</w:t>
      </w:r>
      <w:r w:rsidR="00710B2B">
        <w:rPr>
          <w:lang w:val="en-AU"/>
        </w:rPr>
        <w:t>–</w:t>
      </w:r>
      <w:r w:rsidR="001F0C9B" w:rsidRPr="00711822">
        <w:rPr>
          <w:lang w:val="en-AU"/>
        </w:rPr>
        <w:t>2011</w:t>
      </w:r>
      <w:r w:rsidR="001F0C9B">
        <w:rPr>
          <w:lang w:val="en-AU"/>
        </w:rPr>
        <w:t>,</w:t>
      </w:r>
      <w:r w:rsidR="001F0C9B" w:rsidRPr="00711822">
        <w:rPr>
          <w:lang w:val="en-AU"/>
        </w:rPr>
        <w:t xml:space="preserve"> </w:t>
      </w:r>
      <w:r w:rsidR="001F0C9B">
        <w:rPr>
          <w:lang w:val="en-AU"/>
        </w:rPr>
        <w:t xml:space="preserve">the rate of </w:t>
      </w:r>
      <w:r w:rsidR="001F0C9B" w:rsidRPr="00711822">
        <w:rPr>
          <w:lang w:val="en-AU"/>
        </w:rPr>
        <w:t>alcohol-related deaths w</w:t>
      </w:r>
      <w:r w:rsidR="001F0C9B">
        <w:rPr>
          <w:lang w:val="en-AU"/>
        </w:rPr>
        <w:t>as nearly</w:t>
      </w:r>
      <w:r w:rsidR="001F0C9B" w:rsidRPr="00711822">
        <w:rPr>
          <w:lang w:val="en-AU"/>
        </w:rPr>
        <w:t xml:space="preserve"> twice as high </w:t>
      </w:r>
      <w:r w:rsidR="001F0C9B">
        <w:rPr>
          <w:lang w:val="en-AU"/>
        </w:rPr>
        <w:t>in</w:t>
      </w:r>
      <w:r w:rsidR="001F0C9B" w:rsidRPr="00711822">
        <w:rPr>
          <w:lang w:val="en-AU"/>
        </w:rPr>
        <w:t xml:space="preserve"> people living in very remote areas </w:t>
      </w:r>
      <w:r w:rsidR="001F0C9B">
        <w:rPr>
          <w:lang w:val="en-AU"/>
        </w:rPr>
        <w:t>relative to the state average. For people</w:t>
      </w:r>
      <w:r w:rsidR="001F0C9B" w:rsidRPr="00711822">
        <w:rPr>
          <w:lang w:val="en-AU"/>
        </w:rPr>
        <w:t xml:space="preserve"> </w:t>
      </w:r>
      <w:r w:rsidR="001F0C9B">
        <w:rPr>
          <w:lang w:val="en-AU"/>
        </w:rPr>
        <w:t xml:space="preserve">living in </w:t>
      </w:r>
      <w:r w:rsidR="001F0C9B" w:rsidRPr="00711822">
        <w:rPr>
          <w:lang w:val="en-AU"/>
        </w:rPr>
        <w:t>remote and moderately-accessible areas</w:t>
      </w:r>
      <w:r w:rsidR="001F0C9B">
        <w:rPr>
          <w:lang w:val="en-AU"/>
        </w:rPr>
        <w:t xml:space="preserve">, the </w:t>
      </w:r>
      <w:r w:rsidR="001F0C9B" w:rsidRPr="00711822">
        <w:rPr>
          <w:lang w:val="en-AU"/>
        </w:rPr>
        <w:t>rate of alcohol-related death</w:t>
      </w:r>
      <w:r w:rsidR="001F0C9B">
        <w:rPr>
          <w:lang w:val="en-AU"/>
        </w:rPr>
        <w:t xml:space="preserve">s was approximately 1.4 times </w:t>
      </w:r>
      <w:r w:rsidR="001F0C9B" w:rsidRPr="00711822">
        <w:rPr>
          <w:lang w:val="en-AU"/>
        </w:rPr>
        <w:t xml:space="preserve">higher than the state </w:t>
      </w:r>
      <w:r w:rsidR="001F0C9B">
        <w:rPr>
          <w:lang w:val="en-AU"/>
        </w:rPr>
        <w:t>average.</w:t>
      </w:r>
      <w:r w:rsidR="008E4A1B">
        <w:rPr>
          <w:lang w:val="en-AU"/>
        </w:rPr>
        <w:fldChar w:fldCharType="begin"/>
      </w:r>
      <w:r w:rsidR="005B3C51">
        <w:rPr>
          <w:lang w:val="en-AU"/>
        </w:rPr>
        <w:instrText xml:space="preserve"> ADDIN EN.CITE &lt;EndNote&gt;&lt;Cite&gt;&lt;Author&gt;Epidemiology Branch in collaboration with the CRC for Spatial Information&lt;/Author&gt;&lt;Year&gt;2016&lt;/Year&gt;&lt;RecNum&gt;77&lt;/RecNum&gt;&lt;DisplayText&gt;&lt;style face="superscript"&gt;169&lt;/style&gt;&lt;/DisplayText&gt;&lt;record&gt;&lt;rec-number&gt;77&lt;/rec-number&gt;&lt;foreign-keys&gt;&lt;key app="EN" db-id="zxa00wf2opvf9oeeset50xz7ezpfwre2v20z"&gt;77&lt;/key&gt;&lt;/foreign-keys&gt;&lt;ref-type name="Report"&gt;27&lt;/ref-type&gt;&lt;contributors&gt;&lt;authors&gt;&lt;author&gt;Epidemiology Branch in collaboration with the CRC for Spatial Information,&lt;/author&gt;&lt;/authors&gt;&lt;/contributors&gt;&lt;titles&gt;&lt;title&gt;HealthTracks reporting 1.1 (2016). Alcohol drug-caused deaths – comparison between ARIA classifications&lt;/title&gt;&lt;/titles&gt;&lt;dates&gt;&lt;year&gt;2016&lt;/year&gt;&lt;/dates&gt;&lt;pub-location&gt;Perth&lt;/pub-location&gt;&lt;publisher&gt;Department of Health, Western Australia&lt;/publisher&gt;&lt;urls&gt;&lt;/urls&gt;&lt;/record&gt;&lt;/Cite&gt;&lt;/EndNote&gt;</w:instrText>
      </w:r>
      <w:r w:rsidR="008E4A1B">
        <w:rPr>
          <w:lang w:val="en-AU"/>
        </w:rPr>
        <w:fldChar w:fldCharType="separate"/>
      </w:r>
      <w:r w:rsidR="005B3C51" w:rsidRPr="005B3C51">
        <w:rPr>
          <w:noProof/>
          <w:vertAlign w:val="superscript"/>
          <w:lang w:val="en-AU"/>
        </w:rPr>
        <w:t>169</w:t>
      </w:r>
      <w:r w:rsidR="008E4A1B">
        <w:rPr>
          <w:lang w:val="en-AU"/>
        </w:rPr>
        <w:fldChar w:fldCharType="end"/>
      </w:r>
    </w:p>
    <w:p w:rsidR="001F0C9B" w:rsidRPr="00711822" w:rsidRDefault="001F0C9B" w:rsidP="001F0C9B">
      <w:pPr>
        <w:pStyle w:val="ListParagraph"/>
        <w:ind w:left="426" w:hanging="360"/>
        <w:rPr>
          <w:lang w:val="en-AU"/>
        </w:rPr>
      </w:pPr>
    </w:p>
    <w:p w:rsidR="001F0C9B" w:rsidRPr="00711822" w:rsidRDefault="001F0C9B" w:rsidP="00CE2FEF">
      <w:pPr>
        <w:pStyle w:val="ListParagraph"/>
        <w:numPr>
          <w:ilvl w:val="0"/>
          <w:numId w:val="7"/>
        </w:numPr>
        <w:ind w:left="426"/>
        <w:rPr>
          <w:lang w:val="en-AU"/>
        </w:rPr>
      </w:pPr>
      <w:r w:rsidRPr="00711822">
        <w:rPr>
          <w:lang w:val="en-AU"/>
        </w:rPr>
        <w:t xml:space="preserve">In 2012, there were almost 19,000 </w:t>
      </w:r>
      <w:r>
        <w:rPr>
          <w:lang w:val="en-AU"/>
        </w:rPr>
        <w:t>hospitalisations in WA attributable</w:t>
      </w:r>
      <w:r w:rsidRPr="00711822">
        <w:rPr>
          <w:lang w:val="en-AU"/>
        </w:rPr>
        <w:t xml:space="preserve"> to alcohol. This accounted for </w:t>
      </w:r>
      <w:r>
        <w:rPr>
          <w:lang w:val="en-AU"/>
        </w:rPr>
        <w:t xml:space="preserve">more than </w:t>
      </w:r>
      <w:r w:rsidRPr="00711822">
        <w:rPr>
          <w:lang w:val="en-AU"/>
        </w:rPr>
        <w:t>88,5</w:t>
      </w:r>
      <w:r>
        <w:rPr>
          <w:lang w:val="en-AU"/>
        </w:rPr>
        <w:t>00</w:t>
      </w:r>
      <w:r w:rsidRPr="00711822">
        <w:rPr>
          <w:lang w:val="en-AU"/>
        </w:rPr>
        <w:t xml:space="preserve"> bed-days </w:t>
      </w:r>
      <w:r>
        <w:rPr>
          <w:lang w:val="en-AU"/>
        </w:rPr>
        <w:t xml:space="preserve">and </w:t>
      </w:r>
      <w:r w:rsidRPr="00711822">
        <w:rPr>
          <w:lang w:val="en-AU"/>
        </w:rPr>
        <w:t>cost in excess of</w:t>
      </w:r>
      <w:r w:rsidR="0099210E">
        <w:rPr>
          <w:lang w:val="en-AU"/>
        </w:rPr>
        <w:t xml:space="preserve"> </w:t>
      </w:r>
      <w:r w:rsidRPr="00711822">
        <w:rPr>
          <w:lang w:val="en-AU"/>
        </w:rPr>
        <w:t>$114 million.</w:t>
      </w:r>
      <w:r w:rsidR="008E4A1B">
        <w:rPr>
          <w:lang w:val="en-AU"/>
        </w:rPr>
        <w:fldChar w:fldCharType="begin"/>
      </w:r>
      <w:r w:rsidR="005B3C51">
        <w:rPr>
          <w:lang w:val="en-AU"/>
        </w:rPr>
        <w:instrText xml:space="preserve"> ADDIN EN.CITE &lt;EndNote&gt;&lt;Cite&gt;&lt;Author&gt;Epidemiology Branch in collaboration with the CRC for Spatial Information&lt;/Author&gt;&lt;Year&gt;2016&lt;/Year&gt;&lt;RecNum&gt;1081&lt;/RecNum&gt;&lt;DisplayText&gt;&lt;style face="superscript"&gt;170&lt;/style&gt;&lt;/DisplayText&gt;&lt;record&gt;&lt;rec-number&gt;1081&lt;/rec-number&gt;&lt;foreign-keys&gt;&lt;key app="EN" db-id="zxa00wf2opvf9oeeset50xz7ezpfwre2v20z"&gt;1081&lt;/key&gt;&lt;/foreign-keys&gt;&lt;ref-type name="Report"&gt;27&lt;/ref-type&gt;&lt;contributors&gt;&lt;authors&gt;&lt;author&gt;Epidemiology Branch in collaboration with the CRC for Spatial Information,&lt;/author&gt;&lt;/authors&gt;&lt;/contributors&gt;&lt;titles&gt;&lt;title&gt;HealthTracks reporting 1.1 (2016). Alcohol drug-caused hospitalisations – state of Western Australia&lt;/title&gt;&lt;/titles&gt;&lt;dates&gt;&lt;year&gt;2016&lt;/year&gt;&lt;/dates&gt;&lt;pub-location&gt;Perth&lt;/pub-location&gt;&lt;publisher&gt;Department of Health, Western Australia&lt;/publisher&gt;&lt;urls&gt;&lt;/urls&gt;&lt;/record&gt;&lt;/Cite&gt;&lt;/EndNote&gt;</w:instrText>
      </w:r>
      <w:r w:rsidR="008E4A1B">
        <w:rPr>
          <w:lang w:val="en-AU"/>
        </w:rPr>
        <w:fldChar w:fldCharType="separate"/>
      </w:r>
      <w:r w:rsidR="005B3C51" w:rsidRPr="005B3C51">
        <w:rPr>
          <w:noProof/>
          <w:vertAlign w:val="superscript"/>
          <w:lang w:val="en-AU"/>
        </w:rPr>
        <w:t>170</w:t>
      </w:r>
      <w:r w:rsidR="008E4A1B">
        <w:rPr>
          <w:lang w:val="en-AU"/>
        </w:rPr>
        <w:fldChar w:fldCharType="end"/>
      </w:r>
    </w:p>
    <w:p w:rsidR="001F0C9B" w:rsidRDefault="001F0C9B" w:rsidP="001F0C9B">
      <w:pPr>
        <w:rPr>
          <w:lang w:val="en-AU"/>
        </w:rPr>
      </w:pPr>
    </w:p>
    <w:p w:rsidR="001F0C9B" w:rsidRPr="00ED44C6"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rPr>
          <w:b/>
          <w:color w:val="808080" w:themeColor="background1" w:themeShade="80"/>
          <w:sz w:val="26"/>
          <w:szCs w:val="26"/>
          <w:lang w:val="en-AU"/>
        </w:rPr>
      </w:pPr>
      <w:r w:rsidRPr="00ED44C6">
        <w:rPr>
          <w:b/>
          <w:color w:val="808080" w:themeColor="background1" w:themeShade="80"/>
          <w:sz w:val="26"/>
          <w:szCs w:val="26"/>
          <w:lang w:val="en-AU"/>
        </w:rPr>
        <w:t xml:space="preserve">Box 11:  </w:t>
      </w:r>
      <w:r w:rsidRPr="00ED44C6">
        <w:rPr>
          <w:b/>
          <w:i/>
          <w:color w:val="808080" w:themeColor="background1" w:themeShade="80"/>
          <w:sz w:val="26"/>
          <w:szCs w:val="26"/>
          <w:lang w:val="en-AU"/>
        </w:rPr>
        <w:t xml:space="preserve">Australian </w:t>
      </w:r>
      <w:r w:rsidR="00505C58">
        <w:rPr>
          <w:b/>
          <w:i/>
          <w:color w:val="808080" w:themeColor="background1" w:themeShade="80"/>
          <w:sz w:val="26"/>
          <w:szCs w:val="26"/>
          <w:lang w:val="en-AU"/>
        </w:rPr>
        <w:t>G</w:t>
      </w:r>
      <w:r w:rsidRPr="00ED44C6">
        <w:rPr>
          <w:b/>
          <w:i/>
          <w:color w:val="808080" w:themeColor="background1" w:themeShade="80"/>
          <w:sz w:val="26"/>
          <w:szCs w:val="26"/>
          <w:lang w:val="en-AU"/>
        </w:rPr>
        <w:t xml:space="preserve">uidelines to </w:t>
      </w:r>
      <w:r w:rsidR="00505C58">
        <w:rPr>
          <w:b/>
          <w:i/>
          <w:color w:val="808080" w:themeColor="background1" w:themeShade="80"/>
          <w:sz w:val="26"/>
          <w:szCs w:val="26"/>
          <w:lang w:val="en-AU"/>
        </w:rPr>
        <w:t>R</w:t>
      </w:r>
      <w:r w:rsidRPr="00ED44C6">
        <w:rPr>
          <w:b/>
          <w:i/>
          <w:color w:val="808080" w:themeColor="background1" w:themeShade="80"/>
          <w:sz w:val="26"/>
          <w:szCs w:val="26"/>
          <w:lang w:val="en-AU"/>
        </w:rPr>
        <w:t xml:space="preserve">educe </w:t>
      </w:r>
      <w:r w:rsidR="00505C58">
        <w:rPr>
          <w:b/>
          <w:i/>
          <w:color w:val="808080" w:themeColor="background1" w:themeShade="80"/>
          <w:sz w:val="26"/>
          <w:szCs w:val="26"/>
          <w:lang w:val="en-AU"/>
        </w:rPr>
        <w:t>H</w:t>
      </w:r>
      <w:r w:rsidRPr="00ED44C6">
        <w:rPr>
          <w:b/>
          <w:i/>
          <w:color w:val="808080" w:themeColor="background1" w:themeShade="80"/>
          <w:sz w:val="26"/>
          <w:szCs w:val="26"/>
          <w:lang w:val="en-AU"/>
        </w:rPr>
        <w:t xml:space="preserve">ealth </w:t>
      </w:r>
      <w:r w:rsidR="00505C58">
        <w:rPr>
          <w:b/>
          <w:i/>
          <w:color w:val="808080" w:themeColor="background1" w:themeShade="80"/>
          <w:sz w:val="26"/>
          <w:szCs w:val="26"/>
          <w:lang w:val="en-AU"/>
        </w:rPr>
        <w:t>R</w:t>
      </w:r>
      <w:r w:rsidRPr="00ED44C6">
        <w:rPr>
          <w:b/>
          <w:i/>
          <w:color w:val="808080" w:themeColor="background1" w:themeShade="80"/>
          <w:sz w:val="26"/>
          <w:szCs w:val="26"/>
          <w:lang w:val="en-AU"/>
        </w:rPr>
        <w:t xml:space="preserve">isks from </w:t>
      </w:r>
      <w:r w:rsidR="00505C58">
        <w:rPr>
          <w:b/>
          <w:i/>
          <w:color w:val="808080" w:themeColor="background1" w:themeShade="80"/>
          <w:sz w:val="26"/>
          <w:szCs w:val="26"/>
          <w:lang w:val="en-AU"/>
        </w:rPr>
        <w:t>D</w:t>
      </w:r>
      <w:r w:rsidRPr="00ED44C6">
        <w:rPr>
          <w:b/>
          <w:i/>
          <w:color w:val="808080" w:themeColor="background1" w:themeShade="80"/>
          <w:sz w:val="26"/>
          <w:szCs w:val="26"/>
          <w:lang w:val="en-AU"/>
        </w:rPr>
        <w:t xml:space="preserve">rinking </w:t>
      </w:r>
      <w:r w:rsidR="00505C58">
        <w:rPr>
          <w:b/>
          <w:i/>
          <w:color w:val="808080" w:themeColor="background1" w:themeShade="80"/>
          <w:sz w:val="26"/>
          <w:szCs w:val="26"/>
          <w:lang w:val="en-AU"/>
        </w:rPr>
        <w:t>A</w:t>
      </w:r>
      <w:r w:rsidRPr="00ED44C6">
        <w:rPr>
          <w:b/>
          <w:i/>
          <w:color w:val="808080" w:themeColor="background1" w:themeShade="80"/>
          <w:sz w:val="26"/>
          <w:szCs w:val="26"/>
          <w:lang w:val="en-AU"/>
        </w:rPr>
        <w:t>lcohol</w:t>
      </w:r>
      <w:r w:rsidR="008E4A1B" w:rsidRPr="00ED44C6">
        <w:rPr>
          <w:b/>
          <w:color w:val="808080" w:themeColor="background1" w:themeShade="80"/>
          <w:sz w:val="26"/>
          <w:szCs w:val="26"/>
          <w:lang w:val="en-AU"/>
        </w:rPr>
        <w:fldChar w:fldCharType="begin"/>
      </w:r>
      <w:r w:rsidR="005B3C51">
        <w:rPr>
          <w:b/>
          <w:color w:val="808080" w:themeColor="background1" w:themeShade="80"/>
          <w:sz w:val="26"/>
          <w:szCs w:val="26"/>
          <w:lang w:val="en-AU"/>
        </w:rPr>
        <w:instrText xml:space="preserve"> ADDIN EN.CITE &lt;EndNote&gt;&lt;Cite&gt;&lt;Author&gt;National Health and Medical Research Council&lt;/Author&gt;&lt;Year&gt;2009&lt;/Year&gt;&lt;RecNum&gt;665&lt;/RecNum&gt;&lt;DisplayText&gt;&lt;style face="superscript"&gt;171&lt;/style&gt;&lt;/DisplayText&gt;&lt;record&gt;&lt;rec-number&gt;665&lt;/rec-number&gt;&lt;foreign-keys&gt;&lt;key app="EN" db-id="zxa00wf2opvf9oeeset50xz7ezpfwre2v20z"&gt;665&lt;/key&gt;&lt;/foreign-keys&gt;&lt;ref-type name="Report"&gt;27&lt;/ref-type&gt;&lt;contributors&gt;&lt;authors&gt;&lt;author&gt;National Health and Medical Research Council,&lt;/author&gt;&lt;/authors&gt;&lt;/contributors&gt;&lt;titles&gt;&lt;title&gt;Australian guidelines to reduce health risks from drinking alcohol&lt;/title&gt;&lt;/titles&gt;&lt;dates&gt;&lt;year&gt;2009&lt;/year&gt;&lt;/dates&gt;&lt;pub-location&gt;Canberra&lt;/pub-location&gt;&lt;publisher&gt;Commonwealth of Australia&lt;/publisher&gt;&lt;urls&gt;&lt;related-urls&gt;&lt;url&gt;http://www.nhmrc.gov.au/publications/synopses/ds10syn.htm&lt;/url&gt;&lt;/related-urls&gt;&lt;/urls&gt;&lt;/record&gt;&lt;/Cite&gt;&lt;/EndNote&gt;</w:instrText>
      </w:r>
      <w:r w:rsidR="008E4A1B" w:rsidRPr="00ED44C6">
        <w:rPr>
          <w:b/>
          <w:color w:val="808080" w:themeColor="background1" w:themeShade="80"/>
          <w:sz w:val="26"/>
          <w:szCs w:val="26"/>
          <w:lang w:val="en-AU"/>
        </w:rPr>
        <w:fldChar w:fldCharType="separate"/>
      </w:r>
      <w:r w:rsidR="005B3C51" w:rsidRPr="005B3C51">
        <w:rPr>
          <w:b/>
          <w:noProof/>
          <w:color w:val="808080" w:themeColor="background1" w:themeShade="80"/>
          <w:sz w:val="26"/>
          <w:szCs w:val="26"/>
          <w:vertAlign w:val="superscript"/>
          <w:lang w:val="en-AU"/>
        </w:rPr>
        <w:t>171</w:t>
      </w:r>
      <w:r w:rsidR="008E4A1B" w:rsidRPr="00ED44C6">
        <w:rPr>
          <w:b/>
          <w:color w:val="808080" w:themeColor="background1" w:themeShade="80"/>
          <w:sz w:val="26"/>
          <w:szCs w:val="26"/>
          <w:lang w:val="en-AU"/>
        </w:rPr>
        <w:fldChar w:fldCharType="end"/>
      </w: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lang w:val="en-AU"/>
        </w:rPr>
      </w:pP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lang w:val="en-AU"/>
        </w:rPr>
      </w:pPr>
      <w:r w:rsidRPr="00B5784F">
        <w:rPr>
          <w:color w:val="808080" w:themeColor="background1" w:themeShade="80"/>
          <w:lang w:val="en-AU"/>
        </w:rPr>
        <w:t>The National Health and Medical Research Council recommend that:</w:t>
      </w: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rPr>
          <w:color w:val="808080" w:themeColor="background1" w:themeShade="80"/>
          <w:lang w:val="en-AU"/>
        </w:rPr>
      </w:pP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color w:val="808080" w:themeColor="background1" w:themeShade="80"/>
          <w:lang w:val="en-AU"/>
        </w:rPr>
      </w:pPr>
      <w:r w:rsidRPr="00B5784F">
        <w:rPr>
          <w:color w:val="808080" w:themeColor="background1" w:themeShade="80"/>
          <w:lang w:val="en-AU"/>
        </w:rPr>
        <w:t>•</w:t>
      </w:r>
      <w:r w:rsidRPr="00B5784F">
        <w:rPr>
          <w:color w:val="808080" w:themeColor="background1" w:themeShade="80"/>
          <w:lang w:val="en-AU"/>
        </w:rPr>
        <w:tab/>
        <w:t>For healthy men and women, drinking no more than two standard drinks on any day reduces the lifetime risk of harm from alcohol-related disease or injury.</w:t>
      </w: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color w:val="808080" w:themeColor="background1" w:themeShade="80"/>
          <w:lang w:val="en-AU"/>
        </w:rPr>
      </w:pPr>
      <w:r w:rsidRPr="00B5784F">
        <w:rPr>
          <w:color w:val="808080" w:themeColor="background1" w:themeShade="80"/>
          <w:lang w:val="en-AU"/>
        </w:rPr>
        <w:t>•</w:t>
      </w:r>
      <w:r w:rsidRPr="00B5784F">
        <w:rPr>
          <w:color w:val="808080" w:themeColor="background1" w:themeShade="80"/>
          <w:lang w:val="en-AU"/>
        </w:rPr>
        <w:tab/>
        <w:t>For healthy men and women, drinking no more than four standard drinks on a single occasion reduces the risk of alcohol related injury arising from that occasion.</w:t>
      </w: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color w:val="808080" w:themeColor="background1" w:themeShade="80"/>
          <w:lang w:val="en-AU"/>
        </w:rPr>
      </w:pPr>
      <w:r w:rsidRPr="00B5784F">
        <w:rPr>
          <w:color w:val="808080" w:themeColor="background1" w:themeShade="80"/>
          <w:lang w:val="en-AU"/>
        </w:rPr>
        <w:t>•</w:t>
      </w:r>
      <w:r w:rsidRPr="00B5784F">
        <w:rPr>
          <w:color w:val="808080" w:themeColor="background1" w:themeShade="80"/>
          <w:lang w:val="en-AU"/>
        </w:rPr>
        <w:tab/>
        <w:t>Parents and carers should be advised that children under 15 years of age are at the greatest risk of harm from drinking and that for this age group, not drinking alcohol is especially important.</w:t>
      </w: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color w:val="808080" w:themeColor="background1" w:themeShade="80"/>
          <w:lang w:val="en-AU"/>
        </w:rPr>
      </w:pPr>
      <w:r w:rsidRPr="00B5784F">
        <w:rPr>
          <w:color w:val="808080" w:themeColor="background1" w:themeShade="80"/>
          <w:lang w:val="en-AU"/>
        </w:rPr>
        <w:t>•</w:t>
      </w:r>
      <w:r w:rsidRPr="00B5784F">
        <w:rPr>
          <w:color w:val="808080" w:themeColor="background1" w:themeShade="80"/>
          <w:lang w:val="en-AU"/>
        </w:rPr>
        <w:tab/>
        <w:t>For young people aged 15–17 years the safest option is to delay the initiation of drinking for as long as possible.</w:t>
      </w: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color w:val="808080" w:themeColor="background1" w:themeShade="80"/>
          <w:lang w:val="en-AU"/>
        </w:rPr>
      </w:pPr>
      <w:r w:rsidRPr="00B5784F">
        <w:rPr>
          <w:color w:val="808080" w:themeColor="background1" w:themeShade="80"/>
          <w:lang w:val="en-AU"/>
        </w:rPr>
        <w:t>•</w:t>
      </w:r>
      <w:r w:rsidRPr="00B5784F">
        <w:rPr>
          <w:color w:val="808080" w:themeColor="background1" w:themeShade="80"/>
          <w:lang w:val="en-AU"/>
        </w:rPr>
        <w:tab/>
        <w:t>For women who are pregnant or planning a pregnancy, not drinking is the safest option.</w:t>
      </w:r>
    </w:p>
    <w:p w:rsidR="001F0C9B" w:rsidRPr="00B5784F" w:rsidRDefault="001F0C9B" w:rsidP="00B5784F">
      <w:pPr>
        <w:pBdr>
          <w:top w:val="single" w:sz="4" w:space="1" w:color="auto"/>
          <w:left w:val="single" w:sz="4" w:space="4" w:color="auto"/>
          <w:bottom w:val="single" w:sz="4" w:space="1" w:color="auto"/>
          <w:right w:val="single" w:sz="4" w:space="4" w:color="auto"/>
        </w:pBdr>
        <w:shd w:val="clear" w:color="auto" w:fill="F2F2F2" w:themeFill="background1" w:themeFillShade="F2"/>
        <w:ind w:left="284" w:hanging="284"/>
        <w:rPr>
          <w:color w:val="808080" w:themeColor="background1" w:themeShade="80"/>
          <w:lang w:val="en-AU"/>
        </w:rPr>
      </w:pPr>
      <w:r w:rsidRPr="00B5784F">
        <w:rPr>
          <w:color w:val="808080" w:themeColor="background1" w:themeShade="80"/>
          <w:lang w:val="en-AU"/>
        </w:rPr>
        <w:t>•</w:t>
      </w:r>
      <w:r w:rsidRPr="00B5784F">
        <w:rPr>
          <w:color w:val="808080" w:themeColor="background1" w:themeShade="80"/>
          <w:lang w:val="en-AU"/>
        </w:rPr>
        <w:tab/>
        <w:t>For women who are breastfeeding, not drinking is the safest option.</w:t>
      </w:r>
    </w:p>
    <w:p w:rsidR="001F0C9B" w:rsidRDefault="001F0C9B" w:rsidP="001F0C9B">
      <w:pPr>
        <w:rPr>
          <w:lang w:val="en-AU"/>
        </w:rPr>
      </w:pPr>
    </w:p>
    <w:p w:rsidR="001F0C9B" w:rsidRPr="00B5784F" w:rsidRDefault="001F0C9B" w:rsidP="000903A8">
      <w:pPr>
        <w:shd w:val="clear" w:color="auto" w:fill="F2F2F2" w:themeFill="background1" w:themeFillShade="F2"/>
        <w:rPr>
          <w:color w:val="808080" w:themeColor="background1" w:themeShade="80"/>
          <w:lang w:val="en-AU"/>
        </w:rPr>
      </w:pPr>
      <w:r w:rsidRPr="00B5784F">
        <w:rPr>
          <w:color w:val="808080" w:themeColor="background1" w:themeShade="80"/>
          <w:lang w:val="en-AU"/>
        </w:rPr>
        <w:t>Australian</w:t>
      </w:r>
      <w:r w:rsidR="008E4A1B" w:rsidRPr="00B5784F">
        <w:rPr>
          <w:color w:val="808080" w:themeColor="background1" w:themeShade="80"/>
          <w:lang w:val="en-AU"/>
        </w:rPr>
        <w:fldChar w:fldCharType="begin"/>
      </w:r>
      <w:r w:rsidR="005B3C51">
        <w:rPr>
          <w:color w:val="808080" w:themeColor="background1" w:themeShade="80"/>
          <w:lang w:val="en-AU"/>
        </w:rPr>
        <w:instrText xml:space="preserve"> ADDIN EN.CITE &lt;EndNote&gt;&lt;Cite&gt;&lt;Author&gt;National Heart Foundation of Australia&lt;/Author&gt;&lt;Year&gt;2010&lt;/Year&gt;&lt;RecNum&gt;673&lt;/RecNum&gt;&lt;DisplayText&gt;&lt;style face="superscript"&gt;172, 173&lt;/style&gt;&lt;/DisplayText&gt;&lt;record&gt;&lt;rec-number&gt;673&lt;/rec-number&gt;&lt;foreign-keys&gt;&lt;key app="EN" db-id="zxa00wf2opvf9oeeset50xz7ezpfwre2v20z"&gt;673&lt;/key&gt;&lt;/foreign-keys&gt;&lt;ref-type name="Report"&gt;27&lt;/ref-type&gt;&lt;contributors&gt;&lt;authors&gt;&lt;author&gt;National Heart Foundation of Australia,&lt;/author&gt;&lt;/authors&gt;&lt;/contributors&gt;&lt;titles&gt;&lt;title&gt;Position statement. Antioxidants in food, drinks and supplements for cardiovascular health&lt;/title&gt;&lt;/titles&gt;&lt;dates&gt;&lt;year&gt;2010&lt;/year&gt;&lt;/dates&gt;&lt;pub-location&gt;Canberra&lt;/pub-location&gt;&lt;publisher&gt;National Heart Foundation of Australia&lt;/publisher&gt;&lt;urls&gt;&lt;related-urls&gt;&lt;url&gt;http://heartfoundation.org.au/images/uploads/publications/Antioxidants-Position-Statement.pdf&lt;/url&gt;&lt;/related-urls&gt;&lt;/urls&gt;&lt;/record&gt;&lt;/Cite&gt;&lt;Cite&gt;&lt;Author&gt;Winstanley MH&lt;/Author&gt;&lt;Year&gt;2011&lt;/Year&gt;&lt;RecNum&gt;925&lt;/RecNum&gt;&lt;record&gt;&lt;rec-number&gt;925&lt;/rec-number&gt;&lt;foreign-keys&gt;&lt;key app="EN" db-id="zxa00wf2opvf9oeeset50xz7ezpfwre2v20z"&gt;925&lt;/key&gt;&lt;/foreign-keys&gt;&lt;ref-type name="Journal Article"&gt;17&lt;/ref-type&gt;&lt;contributors&gt;&lt;authors&gt;&lt;author&gt;Winstanley MH,&lt;/author&gt;&lt;author&gt;Pratt, S&lt;/author&gt;&lt;author&gt;Chapman, K&lt;/author&gt;&lt;author&gt;Griffin, HJ&lt;/author&gt;&lt;author&gt;Croager, EJ&lt;/author&gt;&lt;author&gt;Olver, IN&lt;/author&gt;&lt;author&gt;Sinclair, C&lt;/author&gt;&lt;author&gt;Slevin, TJ&lt;/author&gt;&lt;/authors&gt;&lt;/contributors&gt;&lt;titles&gt;&lt;title&gt;Alcohol and cancer:  a position statement from Cancer Council Australia&lt;/title&gt;&lt;secondary-title&gt;Med J Aust&lt;/secondary-title&gt;&lt;/titles&gt;&lt;pages&gt;479-482&lt;/pages&gt;&lt;volume&gt;194&lt;/volume&gt;&lt;dates&gt;&lt;year&gt;2011&lt;/year&gt;&lt;/dates&gt;&lt;urls&gt;&lt;related-urls&gt;&lt;url&gt;http://www.mja.com.au/public/issues/194_09_020511/win10641_fm.html&lt;/url&gt;&lt;/related-urls&gt;&lt;/urls&gt;&lt;/record&gt;&lt;/Cite&gt;&lt;/EndNote&gt;</w:instrText>
      </w:r>
      <w:r w:rsidR="008E4A1B" w:rsidRPr="00B5784F">
        <w:rPr>
          <w:color w:val="808080" w:themeColor="background1" w:themeShade="80"/>
          <w:lang w:val="en-AU"/>
        </w:rPr>
        <w:fldChar w:fldCharType="separate"/>
      </w:r>
      <w:r w:rsidR="005B3C51" w:rsidRPr="005B3C51">
        <w:rPr>
          <w:noProof/>
          <w:color w:val="808080" w:themeColor="background1" w:themeShade="80"/>
          <w:vertAlign w:val="superscript"/>
          <w:lang w:val="en-AU"/>
        </w:rPr>
        <w:t>172, 173</w:t>
      </w:r>
      <w:r w:rsidR="008E4A1B" w:rsidRPr="00B5784F">
        <w:rPr>
          <w:color w:val="808080" w:themeColor="background1" w:themeShade="80"/>
          <w:lang w:val="en-AU"/>
        </w:rPr>
        <w:fldChar w:fldCharType="end"/>
      </w:r>
      <w:r w:rsidRPr="00B5784F">
        <w:rPr>
          <w:color w:val="808080" w:themeColor="background1" w:themeShade="80"/>
          <w:lang w:val="en-AU"/>
        </w:rPr>
        <w:t xml:space="preserve"> and international</w:t>
      </w:r>
      <w:r w:rsidR="008E4A1B" w:rsidRPr="00B5784F">
        <w:rPr>
          <w:color w:val="808080" w:themeColor="background1" w:themeShade="80"/>
          <w:lang w:val="en-AU"/>
        </w:rPr>
        <w:fldChar w:fldCharType="begin"/>
      </w:r>
      <w:r w:rsidR="005B3C51">
        <w:rPr>
          <w:color w:val="808080" w:themeColor="background1" w:themeShade="80"/>
          <w:lang w:val="en-AU"/>
        </w:rPr>
        <w:instrText xml:space="preserve"> ADDIN EN.CITE &lt;EndNote&gt;&lt;Cite&gt;&lt;Author&gt;World Health Organization&lt;/Author&gt;&lt;Year&gt;2007&lt;/Year&gt;&lt;RecNum&gt;942&lt;/RecNum&gt;&lt;DisplayText&gt;&lt;style face="superscript"&gt;174&lt;/style&gt;&lt;/DisplayText&gt;&lt;record&gt;&lt;rec-number&gt;942&lt;/rec-number&gt;&lt;foreign-keys&gt;&lt;key app="EN" db-id="zxa00wf2opvf9oeeset50xz7ezpfwre2v20z"&gt;942&lt;/key&gt;&lt;/foreign-keys&gt;&lt;ref-type name="Report"&gt;27&lt;/ref-type&gt;&lt;contributors&gt;&lt;authors&gt;&lt;author&gt;World Health Organization,&lt;/author&gt;&lt;/authors&gt;&lt;/contributors&gt;&lt;titles&gt;&lt;title&gt;Prevention of cardiovascular disease. Guidelines for assessment and management of cardiovascular risk&lt;/title&gt;&lt;/titles&gt;&lt;dates&gt;&lt;year&gt;2007&lt;/year&gt;&lt;/dates&gt;&lt;pub-location&gt;Geneva&lt;/pub-location&gt;&lt;publisher&gt;World Health Organization&lt;/publisher&gt;&lt;urls&gt;&lt;related-urls&gt;&lt;url&gt;http://www.who.int/cardiovascular_diseases/guidelines/Full%20text.pdf&lt;/url&gt;&lt;/related-urls&gt;&lt;/urls&gt;&lt;/record&gt;&lt;/Cite&gt;&lt;/EndNote&gt;</w:instrText>
      </w:r>
      <w:r w:rsidR="008E4A1B" w:rsidRPr="00B5784F">
        <w:rPr>
          <w:color w:val="808080" w:themeColor="background1" w:themeShade="80"/>
          <w:lang w:val="en-AU"/>
        </w:rPr>
        <w:fldChar w:fldCharType="separate"/>
      </w:r>
      <w:r w:rsidR="005B3C51" w:rsidRPr="005B3C51">
        <w:rPr>
          <w:noProof/>
          <w:color w:val="808080" w:themeColor="background1" w:themeShade="80"/>
          <w:vertAlign w:val="superscript"/>
          <w:lang w:val="en-AU"/>
        </w:rPr>
        <w:t>174</w:t>
      </w:r>
      <w:r w:rsidR="008E4A1B" w:rsidRPr="00B5784F">
        <w:rPr>
          <w:color w:val="808080" w:themeColor="background1" w:themeShade="80"/>
          <w:lang w:val="en-AU"/>
        </w:rPr>
        <w:fldChar w:fldCharType="end"/>
      </w:r>
      <w:r w:rsidRPr="00B5784F">
        <w:rPr>
          <w:color w:val="808080" w:themeColor="background1" w:themeShade="80"/>
          <w:lang w:val="en-AU"/>
        </w:rPr>
        <w:t xml:space="preserve"> health authorities do not recommend drinking alcohol as a way of preventing or treating heart disease.</w:t>
      </w:r>
    </w:p>
    <w:p w:rsidR="001F0C9B" w:rsidRDefault="001F0C9B" w:rsidP="001F0C9B">
      <w:pPr>
        <w:rPr>
          <w:lang w:val="en-AU"/>
        </w:rPr>
      </w:pPr>
    </w:p>
    <w:p w:rsidR="00E50CBD" w:rsidRPr="00E36B88" w:rsidRDefault="00E50CBD" w:rsidP="001F0C9B">
      <w:pPr>
        <w:rPr>
          <w:lang w:val="en-AU"/>
        </w:rPr>
      </w:pPr>
    </w:p>
    <w:p w:rsidR="001F0C9B" w:rsidRPr="00B5784F" w:rsidRDefault="001F0C9B" w:rsidP="001F0C9B">
      <w:pPr>
        <w:pStyle w:val="Heading2"/>
        <w:rPr>
          <w:lang w:val="en-AU"/>
        </w:rPr>
      </w:pPr>
      <w:bookmarkStart w:id="48" w:name="_Toc462049336"/>
      <w:r w:rsidRPr="00B5784F">
        <w:rPr>
          <w:lang w:val="en-AU"/>
        </w:rPr>
        <w:t>Priorities for reducing harmful alcohol use in WA</w:t>
      </w:r>
      <w:bookmarkEnd w:id="48"/>
    </w:p>
    <w:p w:rsidR="001F0C9B" w:rsidRPr="001D71BB" w:rsidRDefault="001F0C9B" w:rsidP="001F0C9B">
      <w:pPr>
        <w:rPr>
          <w:lang w:val="en-AU"/>
        </w:rPr>
      </w:pPr>
    </w:p>
    <w:p w:rsidR="001F0C9B" w:rsidRPr="00B5784F" w:rsidRDefault="001F0C9B" w:rsidP="001F0C9B">
      <w:pPr>
        <w:rPr>
          <w:rFonts w:eastAsia="Arial"/>
          <w:color w:val="808080" w:themeColor="background1" w:themeShade="80"/>
          <w:sz w:val="28"/>
          <w:szCs w:val="28"/>
        </w:rPr>
      </w:pPr>
      <w:r w:rsidRPr="00B5784F">
        <w:rPr>
          <w:rFonts w:eastAsia="Arial"/>
          <w:color w:val="808080" w:themeColor="background1" w:themeShade="80"/>
          <w:sz w:val="28"/>
          <w:szCs w:val="28"/>
        </w:rPr>
        <w:t>Change community attitudes towards alcohol use</w:t>
      </w:r>
    </w:p>
    <w:p w:rsidR="001F0C9B" w:rsidRPr="001D71BB" w:rsidRDefault="001F0C9B" w:rsidP="001F0C9B">
      <w:pPr>
        <w:rPr>
          <w:lang w:val="en-AU"/>
        </w:rPr>
      </w:pPr>
    </w:p>
    <w:p w:rsidR="001F0C9B" w:rsidRDefault="001F0C9B" w:rsidP="001F0C9B">
      <w:r w:rsidRPr="00C26AAD">
        <w:t>Alcohol use is embedded in national culture</w:t>
      </w:r>
      <w:r w:rsidR="008E4A1B">
        <w:fldChar w:fldCharType="begin"/>
      </w:r>
      <w:r w:rsidR="005B3C51">
        <w:instrText xml:space="preserve"> ADDIN EN.CITE &lt;EndNote&gt;&lt;Cite&gt;&lt;Author&gt;Alcohol Working Group&lt;/Author&gt;&lt;Year&gt;2009&lt;/Year&gt;&lt;RecNum&gt;123&lt;/RecNum&gt;&lt;DisplayText&gt;&lt;style face="superscript"&gt;175&lt;/style&gt;&lt;/DisplayText&gt;&lt;record&gt;&lt;rec-number&gt;123&lt;/rec-number&gt;&lt;foreign-keys&gt;&lt;key app="EN" db-id="zxa00wf2opvf9oeeset50xz7ezpfwre2v20z"&gt;123&lt;/key&gt;&lt;/foreign-keys&gt;&lt;ref-type name="Report"&gt;27&lt;/ref-type&gt;&lt;contributors&gt;&lt;authors&gt;&lt;author&gt;Alcohol Working Group,&lt;/author&gt;&lt;/authors&gt;&lt;/contributors&gt;&lt;titles&gt;&lt;title&gt;Australia: the healthiest country by 2020. Technical report no. 3. Preventing alcohol-related harm in Australia: a window of opportunity. Including addendum for October 2008 to June 2009.  Prepared for the National Preventative Health Taskforce by the Alcohol Working Group&lt;/title&gt;&lt;/titles&gt;&lt;dates&gt;&lt;year&gt;2009&lt;/year&gt;&lt;/dates&gt;&lt;pub-location&gt;Canberra&lt;/pub-location&gt;&lt;publisher&gt;Commonwealth of Australia&lt;/publisher&gt;&lt;urls&gt;&lt;related-urls&gt;&lt;url&gt;http://www.health.gov.au/internet/preventativehealth/publishing.nsf/Content/09C94C0F1B9799F5CA2574DD0081E770/$File/alcohol-jul09.pdf&lt;/url&gt;&lt;/related-urls&gt;&lt;/urls&gt;&lt;/record&gt;&lt;/Cite&gt;&lt;/EndNote&gt;</w:instrText>
      </w:r>
      <w:r w:rsidR="008E4A1B">
        <w:fldChar w:fldCharType="separate"/>
      </w:r>
      <w:r w:rsidR="005B3C51" w:rsidRPr="005B3C51">
        <w:rPr>
          <w:noProof/>
          <w:vertAlign w:val="superscript"/>
        </w:rPr>
        <w:t>175</w:t>
      </w:r>
      <w:r w:rsidR="008E4A1B">
        <w:fldChar w:fldCharType="end"/>
      </w:r>
      <w:r>
        <w:t xml:space="preserve"> </w:t>
      </w:r>
      <w:r w:rsidRPr="00C26AAD">
        <w:t xml:space="preserve">and the majority of </w:t>
      </w:r>
      <w:r>
        <w:t>Western Australians</w:t>
      </w:r>
      <w:r w:rsidRPr="00C26AAD">
        <w:t xml:space="preserve"> consume alcohol at some level.</w:t>
      </w:r>
      <w:r w:rsidR="008E4A1B">
        <w:fldChar w:fldCharType="begin"/>
      </w:r>
      <w:r w:rsidR="009F7E7C">
        <w:instrText xml:space="preserve"> ADDIN EN.CITE &lt;EndNote&gt;&lt;Cite&gt;&lt;Author&gt;Tomlin&lt;/Author&gt;&lt;Year&gt;2016&lt;/Year&gt;&lt;RecNum&gt;969&lt;/RecNum&gt;&lt;DisplayText&gt;&lt;style face="superscript"&gt;20&lt;/style&gt;&lt;/DisplayText&gt;&lt;record&gt;&lt;rec-number&gt;969&lt;/rec-number&gt;&lt;foreign-keys&gt;&lt;key app="EN" db-id="zxa00wf2opvf9oeeset50xz7ezpfwre2v20z"&gt;969&lt;/key&gt;&lt;/foreign-keys&gt;&lt;ref-type name="Report"&gt;27&lt;/ref-type&gt;&lt;contributors&gt;&lt;authors&gt;&lt;author&gt;Tomlin, S&lt;/author&gt;&lt;author&gt;Joyce, S&lt;/author&gt;&lt;author&gt;Radomiljac, A&lt;/author&gt;&lt;/authors&gt;&lt;/contributors&gt;&lt;titles&gt;&lt;title&gt;Health and wellbeing of adults in Western Australia 2015, overview and trends&lt;/title&gt;&lt;/titles&gt;&lt;dates&gt;&lt;year&gt;2016&lt;/year&gt;&lt;/dates&gt;&lt;pub-location&gt;Perth&lt;/pub-location&gt;&lt;publisher&gt;Department of Health, Western Australia&lt;/publisher&gt;&lt;urls&gt;&lt;related-urls&gt;&lt;url&gt;http://ww2.health.wa.gov.au/~/media/Files/Corporate/Reports%20and%20publications/Population%20surveys/Health-and-Wellbeing-of-Adults-in-Western-Australia-2015-Overview-and-Trends.ashx&lt;/url&gt;&lt;/related-urls&gt;&lt;/urls&gt;&lt;/record&gt;&lt;/Cite&gt;&lt;/EndNote&gt;</w:instrText>
      </w:r>
      <w:r w:rsidR="008E4A1B">
        <w:fldChar w:fldCharType="separate"/>
      </w:r>
      <w:r w:rsidR="009F7E7C" w:rsidRPr="009F7E7C">
        <w:rPr>
          <w:noProof/>
          <w:vertAlign w:val="superscript"/>
        </w:rPr>
        <w:t>20</w:t>
      </w:r>
      <w:r w:rsidR="008E4A1B">
        <w:fldChar w:fldCharType="end"/>
      </w:r>
      <w:r>
        <w:t xml:space="preserve"> </w:t>
      </w:r>
      <w:r w:rsidR="00A1348E">
        <w:t>T</w:t>
      </w:r>
      <w:r w:rsidRPr="00C26AAD">
        <w:t xml:space="preserve">he greatest number of alcohol-related problems </w:t>
      </w:r>
      <w:r w:rsidR="000A68B2" w:rsidRPr="00C26AAD">
        <w:t>occurs</w:t>
      </w:r>
      <w:r w:rsidRPr="00C26AAD">
        <w:t xml:space="preserve"> in people who often drink moderately</w:t>
      </w:r>
      <w:r w:rsidR="002C1EC1">
        <w:t>, and</w:t>
      </w:r>
      <w:r w:rsidRPr="00C26AAD">
        <w:t xml:space="preserve"> drink to harmful levels</w:t>
      </w:r>
      <w:r w:rsidR="0002723C">
        <w:t xml:space="preserve"> only occasionally</w:t>
      </w:r>
      <w:r>
        <w:t>.</w:t>
      </w:r>
      <w:r w:rsidR="00181A10">
        <w:t xml:space="preserve"> </w:t>
      </w:r>
      <w:r>
        <w:t>A</w:t>
      </w:r>
      <w:r w:rsidRPr="00C26AAD">
        <w:t xml:space="preserve"> large proportion of the general drinking population</w:t>
      </w:r>
      <w:r>
        <w:t xml:space="preserve"> has this pattern of consumption</w:t>
      </w:r>
      <w:r w:rsidRPr="00C26AAD">
        <w:t>.</w:t>
      </w:r>
      <w:r w:rsidR="008E4A1B">
        <w:fldChar w:fldCharType="begin"/>
      </w:r>
      <w:r w:rsidR="005B3C51">
        <w:instrText xml:space="preserve"> ADDIN EN.CITE &lt;EndNote&gt;&lt;Cite&gt;&lt;Author&gt;Stockwell&lt;/Author&gt;&lt;Year&gt;1996&lt;/Year&gt;&lt;RecNum&gt;833&lt;/RecNum&gt;&lt;DisplayText&gt;&lt;style face="superscript"&gt;176&lt;/style&gt;&lt;/DisplayText&gt;&lt;record&gt;&lt;rec-number&gt;833&lt;/rec-number&gt;&lt;foreign-keys&gt;&lt;key app="EN" db-id="zxa00wf2opvf9oeeset50xz7ezpfwre2v20z"&gt;833&lt;/key&gt;&lt;/foreign-keys&gt;&lt;ref-type name="Journal Article"&gt;17&lt;/ref-type&gt;&lt;contributors&gt;&lt;authors&gt;&lt;author&gt;Stockwell, Tim&lt;/author&gt;&lt;author&gt;Hawks, David&lt;/author&gt;&lt;author&gt;Lang, Ernie&lt;/author&gt;&lt;author&gt;Rydon, Phillip&lt;/author&gt;&lt;/authors&gt;&lt;/contributors&gt;&lt;titles&gt;&lt;title&gt;Unravelling the preventive paradox for acute alcohol problems&lt;/title&gt;&lt;secondary-title&gt;Drug Alcohol Rev&lt;/secondary-title&gt;&lt;/titles&gt;&lt;periodical&gt;&lt;full-title&gt;Drug Alcohol Rev&lt;/full-title&gt;&lt;/periodical&gt;&lt;pages&gt;7-15&lt;/pages&gt;&lt;volume&gt;15&lt;/volume&gt;&lt;number&gt;1&lt;/number&gt;&lt;dates&gt;&lt;year&gt;1996&lt;/year&gt;&lt;pub-dates&gt;&lt;date&gt;1996/03/01&lt;/date&gt;&lt;/pub-dates&gt;&lt;/dates&gt;&lt;publisher&gt;Wiley-Blackwell&lt;/publisher&gt;&lt;urls&gt;&lt;related-urls&gt;&lt;url&gt;http://www.ncbi.nlm.nih.gov/pubmed/16203346&lt;/url&gt;&lt;/related-urls&gt;&lt;/urls&gt;&lt;/record&gt;&lt;/Cite&gt;&lt;/EndNote&gt;</w:instrText>
      </w:r>
      <w:r w:rsidR="008E4A1B">
        <w:fldChar w:fldCharType="separate"/>
      </w:r>
      <w:r w:rsidR="005B3C51" w:rsidRPr="005B3C51">
        <w:rPr>
          <w:noProof/>
          <w:vertAlign w:val="superscript"/>
        </w:rPr>
        <w:t>176</w:t>
      </w:r>
      <w:r w:rsidR="008E4A1B">
        <w:fldChar w:fldCharType="end"/>
      </w:r>
    </w:p>
    <w:p w:rsidR="001F0C9B" w:rsidRPr="00C26AAD" w:rsidRDefault="001F0C9B" w:rsidP="001F0C9B"/>
    <w:p w:rsidR="001F0C9B" w:rsidRDefault="001F0C9B" w:rsidP="001F0C9B">
      <w:r w:rsidRPr="00C26AAD">
        <w:t>Australian children are initiated into a culture of drinking at an early age.</w:t>
      </w:r>
      <w:r w:rsidR="008E4A1B">
        <w:fldChar w:fldCharType="begin"/>
      </w:r>
      <w:r w:rsidR="005B3C51">
        <w:instrText xml:space="preserve"> ADDIN EN.CITE &lt;EndNote&gt;&lt;Cite&gt;&lt;Author&gt;Alcohol Working Group&lt;/Author&gt;&lt;Year&gt;2009&lt;/Year&gt;&lt;RecNum&gt;123&lt;/RecNum&gt;&lt;DisplayText&gt;&lt;style face="superscript"&gt;175&lt;/style&gt;&lt;/DisplayText&gt;&lt;record&gt;&lt;rec-number&gt;123&lt;/rec-number&gt;&lt;foreign-keys&gt;&lt;key app="EN" db-id="zxa00wf2opvf9oeeset50xz7ezpfwre2v20z"&gt;123&lt;/key&gt;&lt;/foreign-keys&gt;&lt;ref-type name="Report"&gt;27&lt;/ref-type&gt;&lt;contributors&gt;&lt;authors&gt;&lt;author&gt;Alcohol Working Group,&lt;/author&gt;&lt;/authors&gt;&lt;/contributors&gt;&lt;titles&gt;&lt;title&gt;Australia: the healthiest country by 2020. Technical report no. 3. Preventing alcohol-related harm in Australia: a window of opportunity. Including addendum for October 2008 to June 2009.  Prepared for the National Preventative Health Taskforce by the Alcohol Working Group&lt;/title&gt;&lt;/titles&gt;&lt;dates&gt;&lt;year&gt;2009&lt;/year&gt;&lt;/dates&gt;&lt;pub-location&gt;Canberra&lt;/pub-location&gt;&lt;publisher&gt;Commonwealth of Australia&lt;/publisher&gt;&lt;urls&gt;&lt;related-urls&gt;&lt;url&gt;http://www.health.gov.au/internet/preventativehealth/publishing.nsf/Content/09C94C0F1B9799F5CA2574DD0081E770/$File/alcohol-jul09.pdf&lt;/url&gt;&lt;/related-urls&gt;&lt;/urls&gt;&lt;/record&gt;&lt;/Cite&gt;&lt;/EndNote&gt;</w:instrText>
      </w:r>
      <w:r w:rsidR="008E4A1B">
        <w:fldChar w:fldCharType="separate"/>
      </w:r>
      <w:r w:rsidR="005B3C51" w:rsidRPr="005B3C51">
        <w:rPr>
          <w:noProof/>
          <w:vertAlign w:val="superscript"/>
        </w:rPr>
        <w:t>175</w:t>
      </w:r>
      <w:r w:rsidR="008E4A1B">
        <w:fldChar w:fldCharType="end"/>
      </w:r>
      <w:r w:rsidR="00181A10">
        <w:t xml:space="preserve"> </w:t>
      </w:r>
      <w:r w:rsidRPr="00C26AAD">
        <w:rPr>
          <w:lang w:val="en-AU"/>
        </w:rPr>
        <w:t>Among WA secondary school children in 2014</w:t>
      </w:r>
      <w:r>
        <w:rPr>
          <w:lang w:val="en-AU"/>
        </w:rPr>
        <w:t xml:space="preserve"> who</w:t>
      </w:r>
      <w:r w:rsidRPr="00C26AAD">
        <w:rPr>
          <w:lang w:val="en-AU"/>
        </w:rPr>
        <w:t xml:space="preserve"> drank in the last week, more than one quarter (27%) of those </w:t>
      </w:r>
      <w:r>
        <w:rPr>
          <w:lang w:val="en-AU"/>
        </w:rPr>
        <w:t>aged 12</w:t>
      </w:r>
      <w:r w:rsidR="0002723C">
        <w:rPr>
          <w:lang w:val="en-AU"/>
        </w:rPr>
        <w:t>–</w:t>
      </w:r>
      <w:r>
        <w:rPr>
          <w:lang w:val="en-AU"/>
        </w:rPr>
        <w:t xml:space="preserve">15 years, and </w:t>
      </w:r>
      <w:r w:rsidRPr="00C26AAD">
        <w:rPr>
          <w:lang w:val="en-AU"/>
        </w:rPr>
        <w:t xml:space="preserve">more than one third (36%) of those </w:t>
      </w:r>
      <w:r>
        <w:rPr>
          <w:lang w:val="en-AU"/>
        </w:rPr>
        <w:lastRenderedPageBreak/>
        <w:t>aged 16</w:t>
      </w:r>
      <w:r w:rsidR="0002723C">
        <w:rPr>
          <w:lang w:val="en-AU"/>
        </w:rPr>
        <w:t>–</w:t>
      </w:r>
      <w:r>
        <w:rPr>
          <w:lang w:val="en-AU"/>
        </w:rPr>
        <w:t>17 years, r</w:t>
      </w:r>
      <w:r w:rsidRPr="00C26AAD">
        <w:rPr>
          <w:lang w:val="en-AU"/>
        </w:rPr>
        <w:t>eported that they drank alcohol with the aim of getting drunk.</w:t>
      </w:r>
      <w:r w:rsidR="008E4A1B">
        <w:rPr>
          <w:lang w:val="en-AU"/>
        </w:rPr>
        <w:fldChar w:fldCharType="begin"/>
      </w:r>
      <w:r w:rsidR="005B3C51">
        <w:rPr>
          <w:lang w:val="en-AU"/>
        </w:rPr>
        <w:instrText xml:space="preserve"> ADDIN EN.CITE &lt;EndNote&gt;&lt;Cite&gt;&lt;Author&gt;Bridle&lt;/Author&gt;&lt;Year&gt;2016&lt;/Year&gt;&lt;RecNum&gt;263&lt;/RecNum&gt;&lt;DisplayText&gt;&lt;style face="superscript"&gt;168&lt;/style&gt;&lt;/DisplayText&gt;&lt;record&gt;&lt;rec-number&gt;263&lt;/rec-number&gt;&lt;foreign-keys&gt;&lt;key app="EN" db-id="zxa00wf2opvf9oeeset50xz7ezpfwre2v20z"&gt;263&lt;/key&gt;&lt;/foreign-keys&gt;&lt;ref-type name="Report"&gt;27&lt;/ref-type&gt;&lt;contributors&gt;&lt;authors&gt;&lt;author&gt;Bridle, R&lt;/author&gt;&lt;author&gt;Harrison, A&lt;/author&gt;&lt;author&gt;Goggin, L &lt;/author&gt;&lt;/authors&gt;&lt;/contributors&gt;&lt;titles&gt;&lt;title&gt;Australian School Students Alcohol and other Drug Survey.  Western Australian results 2014&lt;/title&gt;&lt;/titles&gt;&lt;dates&gt;&lt;year&gt;2016&lt;/year&gt;&lt;/dates&gt;&lt;pub-location&gt;Perth&lt;/pub-location&gt;&lt;publisher&gt;Mental Health Commission, Western Australia&lt;/publisher&gt;&lt;urls&gt;&lt;related-urls&gt;&lt;url&gt;http://www.dao.health.wa.gov.au/Informationandresources/Publicationsandresources/Researchandstatistics/Statistics/AustralianSchoolStudentsAlcoholandDrugsurvey.aspx&lt;/url&gt;&lt;/related-urls&gt;&lt;/urls&gt;&lt;/record&gt;&lt;/Cite&gt;&lt;/EndNote&gt;</w:instrText>
      </w:r>
      <w:r w:rsidR="008E4A1B">
        <w:rPr>
          <w:lang w:val="en-AU"/>
        </w:rPr>
        <w:fldChar w:fldCharType="separate"/>
      </w:r>
      <w:r w:rsidR="005B3C51" w:rsidRPr="005B3C51">
        <w:rPr>
          <w:noProof/>
          <w:vertAlign w:val="superscript"/>
          <w:lang w:val="en-AU"/>
        </w:rPr>
        <w:t>168</w:t>
      </w:r>
      <w:r w:rsidR="008E4A1B">
        <w:rPr>
          <w:lang w:val="en-AU"/>
        </w:rPr>
        <w:fldChar w:fldCharType="end"/>
      </w:r>
      <w:r w:rsidRPr="00C26AAD">
        <w:t xml:space="preserve"> Community attitudes to drinking,</w:t>
      </w:r>
      <w:r>
        <w:t xml:space="preserve"> role-modelling and</w:t>
      </w:r>
      <w:r w:rsidRPr="00C26AAD">
        <w:t xml:space="preserve"> the availability, pr</w:t>
      </w:r>
      <w:r>
        <w:t xml:space="preserve">ice and advertising of alcohol </w:t>
      </w:r>
      <w:r w:rsidRPr="00C26AAD">
        <w:t>all influence the drinking behaviour of young people.</w:t>
      </w:r>
      <w:r w:rsidR="008E4A1B">
        <w:fldChar w:fldCharType="begin"/>
      </w:r>
      <w:r w:rsidR="005B3C51">
        <w:instrText xml:space="preserve"> ADDIN EN.CITE &lt;EndNote&gt;&lt;Cite&gt;&lt;Author&gt;Alcohol Working Group&lt;/Author&gt;&lt;Year&gt;2009&lt;/Year&gt;&lt;RecNum&gt;123&lt;/RecNum&gt;&lt;DisplayText&gt;&lt;style face="superscript"&gt;175&lt;/style&gt;&lt;/DisplayText&gt;&lt;record&gt;&lt;rec-number&gt;123&lt;/rec-number&gt;&lt;foreign-keys&gt;&lt;key app="EN" db-id="zxa00wf2opvf9oeeset50xz7ezpfwre2v20z"&gt;123&lt;/key&gt;&lt;/foreign-keys&gt;&lt;ref-type name="Report"&gt;27&lt;/ref-type&gt;&lt;contributors&gt;&lt;authors&gt;&lt;author&gt;Alcohol Working Group,&lt;/author&gt;&lt;/authors&gt;&lt;/contributors&gt;&lt;titles&gt;&lt;title&gt;Australia: the healthiest country by 2020. Technical report no. 3. Preventing alcohol-related harm in Australia: a window of opportunity. Including addendum for October 2008 to June 2009.  Prepared for the National Preventative Health Taskforce by the Alcohol Working Group&lt;/title&gt;&lt;/titles&gt;&lt;dates&gt;&lt;year&gt;2009&lt;/year&gt;&lt;/dates&gt;&lt;pub-location&gt;Canberra&lt;/pub-location&gt;&lt;publisher&gt;Commonwealth of Australia&lt;/publisher&gt;&lt;urls&gt;&lt;related-urls&gt;&lt;url&gt;http://www.health.gov.au/internet/preventativehealth/publishing.nsf/Content/09C94C0F1B9799F5CA2574DD0081E770/$File/alcohol-jul09.pdf&lt;/url&gt;&lt;/related-urls&gt;&lt;/urls&gt;&lt;/record&gt;&lt;/Cite&gt;&lt;/EndNote&gt;</w:instrText>
      </w:r>
      <w:r w:rsidR="008E4A1B">
        <w:fldChar w:fldCharType="separate"/>
      </w:r>
      <w:r w:rsidR="005B3C51" w:rsidRPr="005B3C51">
        <w:rPr>
          <w:noProof/>
          <w:vertAlign w:val="superscript"/>
        </w:rPr>
        <w:t>175</w:t>
      </w:r>
      <w:r w:rsidR="008E4A1B">
        <w:fldChar w:fldCharType="end"/>
      </w:r>
    </w:p>
    <w:p w:rsidR="001F0C9B" w:rsidRDefault="001F0C9B" w:rsidP="001F0C9B"/>
    <w:p w:rsidR="001F0C9B" w:rsidRPr="00C26AAD" w:rsidRDefault="001F0C9B" w:rsidP="001F0C9B">
      <w:r>
        <w:t>Alcohol use poses unique problems during pregnancy and breastfeeding, adolescence, young adulthood and later in life.</w:t>
      </w:r>
      <w:r w:rsidR="008E4A1B">
        <w:fldChar w:fldCharType="begin"/>
      </w:r>
      <w:r w:rsidR="005B3C51">
        <w:instrText xml:space="preserve"> ADDIN EN.CITE &lt;EndNote&gt;&lt;Cite&gt;&lt;Author&gt;National Health and Medical Research Council&lt;/Author&gt;&lt;Year&gt;2009&lt;/Year&gt;&lt;RecNum&gt;665&lt;/RecNum&gt;&lt;DisplayText&gt;&lt;style face="superscript"&gt;171&lt;/style&gt;&lt;/DisplayText&gt;&lt;record&gt;&lt;rec-number&gt;665&lt;/rec-number&gt;&lt;foreign-keys&gt;&lt;key app="EN" db-id="zxa00wf2opvf9oeeset50xz7ezpfwre2v20z"&gt;665&lt;/key&gt;&lt;/foreign-keys&gt;&lt;ref-type name="Report"&gt;27&lt;/ref-type&gt;&lt;contributors&gt;&lt;authors&gt;&lt;author&gt;National Health and Medical Research Council,&lt;/author&gt;&lt;/authors&gt;&lt;/contributors&gt;&lt;titles&gt;&lt;title&gt;Australian guidelines to reduce health risks from drinking alcohol&lt;/title&gt;&lt;/titles&gt;&lt;dates&gt;&lt;year&gt;2009&lt;/year&gt;&lt;/dates&gt;&lt;pub-location&gt;Canberra&lt;/pub-location&gt;&lt;publisher&gt;Commonwealth of Australia&lt;/publisher&gt;&lt;urls&gt;&lt;related-urls&gt;&lt;url&gt;http://www.nhmrc.gov.au/publications/synopses/ds10syn.htm&lt;/url&gt;&lt;/related-urls&gt;&lt;/urls&gt;&lt;/record&gt;&lt;/Cite&gt;&lt;/EndNote&gt;</w:instrText>
      </w:r>
      <w:r w:rsidR="008E4A1B">
        <w:fldChar w:fldCharType="separate"/>
      </w:r>
      <w:r w:rsidR="005B3C51" w:rsidRPr="005B3C51">
        <w:rPr>
          <w:noProof/>
          <w:vertAlign w:val="superscript"/>
        </w:rPr>
        <w:t>171</w:t>
      </w:r>
      <w:r w:rsidR="008E4A1B">
        <w:fldChar w:fldCharType="end"/>
      </w:r>
      <w:r>
        <w:t xml:space="preserve"> Efforts to influence community attitudes towards alcohol need to take into account the range of effects that alcohol can have at key life stages.</w:t>
      </w:r>
    </w:p>
    <w:p w:rsidR="001F0C9B" w:rsidRPr="00C26AAD" w:rsidRDefault="001F0C9B" w:rsidP="001F0C9B"/>
    <w:p w:rsidR="001F0C9B" w:rsidRDefault="001F0C9B" w:rsidP="001F0C9B">
      <w:r w:rsidRPr="00C26AAD">
        <w:t>The traditional Australian tolerance of harmful levels of drinking</w:t>
      </w:r>
      <w:r w:rsidR="008E4A1B">
        <w:fldChar w:fldCharType="begin"/>
      </w:r>
      <w:r w:rsidR="00547316">
        <w:instrText xml:space="preserve"> ADDIN EN.CITE &lt;EndNote&gt;&lt;Cite&gt;&lt;Author&gt;National Preventative Health Taskforce&lt;/Author&gt;&lt;Year&gt;2009&lt;/Year&gt;&lt;RecNum&gt;679&lt;/RecNum&gt;&lt;DisplayText&gt;&lt;style face="superscript"&gt;51&lt;/style&gt;&lt;/DisplayText&gt;&lt;record&gt;&lt;rec-number&gt;679&lt;/rec-number&gt;&lt;foreign-keys&gt;&lt;key app="EN" db-id="zxa00wf2opvf9oeeset50xz7ezpfwre2v20z"&gt;679&lt;/key&gt;&lt;/foreign-keys&gt;&lt;ref-type name="Report"&gt;27&lt;/ref-type&gt;&lt;contributors&gt;&lt;authors&gt;&lt;author&gt;National Preventative Health Taskforce,&lt;/author&gt;&lt;/authors&gt;&lt;/contributors&gt;&lt;titles&gt;&lt;title&gt;Australia:  the healthiest country by 2020.  National Preventative Health Strategy - the roadmap for action&lt;/title&gt;&lt;/titles&gt;&lt;dates&gt;&lt;year&gt;2009&lt;/year&gt;&lt;/dates&gt;&lt;pub-location&gt;Canberra&lt;/pub-location&gt;&lt;publisher&gt;Commonwealth of Australia&lt;/publisher&gt;&lt;urls&gt;&lt;related-urls&gt;&lt;url&gt;http://www.health.gov.au/internet/preventativehealth/publishing.nsf/content/a06c2fcf439ecda1ca2574dd0081e40c/$file/discussion-28oct.pdf&lt;/url&gt;&lt;/related-urls&gt;&lt;/urls&gt;&lt;access-date&gt;June 2010&lt;/access-date&gt;&lt;/record&gt;&lt;/Cite&gt;&lt;/EndNote&gt;</w:instrText>
      </w:r>
      <w:r w:rsidR="008E4A1B">
        <w:fldChar w:fldCharType="separate"/>
      </w:r>
      <w:r w:rsidR="00547316" w:rsidRPr="00547316">
        <w:rPr>
          <w:noProof/>
          <w:vertAlign w:val="superscript"/>
        </w:rPr>
        <w:t>51</w:t>
      </w:r>
      <w:r w:rsidR="008E4A1B">
        <w:fldChar w:fldCharType="end"/>
      </w:r>
      <w:r>
        <w:t xml:space="preserve"> </w:t>
      </w:r>
      <w:r w:rsidRPr="00C26AAD">
        <w:t>is increasingly being countered by community concern and awareness about the damage it causes. In a WA survey in 2011, 60% of respondents thought that it was unacceptable to get drunk.</w:t>
      </w:r>
      <w:r w:rsidR="008E4A1B">
        <w:fldChar w:fldCharType="begin"/>
      </w:r>
      <w:r w:rsidR="005B3C51">
        <w:instrText xml:space="preserve"> ADDIN EN.CITE &lt;EndNote&gt;&lt;Cite&gt;&lt;Author&gt;Steer&lt;/Author&gt;&lt;Year&gt;2011&lt;/Year&gt;&lt;RecNum&gt;829&lt;/RecNum&gt;&lt;DisplayText&gt;&lt;style face="superscript"&gt;177&lt;/style&gt;&lt;/DisplayText&gt;&lt;record&gt;&lt;rec-number&gt;829&lt;/rec-number&gt;&lt;foreign-keys&gt;&lt;key app="EN" db-id="zxa00wf2opvf9oeeset50xz7ezpfwre2v20z"&gt;829&lt;/key&gt;&lt;/foreign-keys&gt;&lt;ref-type name="Report"&gt;27&lt;/ref-type&gt;&lt;contributors&gt;&lt;authors&gt;&lt;author&gt;Steer, A,&lt;/author&gt;&lt;author&gt;Coase, P,&lt;/author&gt;&lt;/authors&gt;&lt;/contributors&gt;&lt;titles&gt;&lt;title&gt;Alcohol. Think Again post-campaign evaluation.  Prepared for the Drug and Alcohol Office by TNS Social Research&lt;/title&gt;&lt;/titles&gt;&lt;dates&gt;&lt;year&gt;2011&lt;/year&gt;&lt;/dates&gt;&lt;pub-location&gt;Perth&lt;/pub-location&gt;&lt;publisher&gt;Drug and Alcohol Office&lt;/publisher&gt;&lt;urls&gt;&lt;/urls&gt;&lt;/record&gt;&lt;/Cite&gt;&lt;/EndNote&gt;</w:instrText>
      </w:r>
      <w:r w:rsidR="008E4A1B">
        <w:fldChar w:fldCharType="separate"/>
      </w:r>
      <w:r w:rsidR="005B3C51" w:rsidRPr="005B3C51">
        <w:rPr>
          <w:noProof/>
          <w:vertAlign w:val="superscript"/>
        </w:rPr>
        <w:t>177</w:t>
      </w:r>
      <w:r w:rsidR="008E4A1B">
        <w:fldChar w:fldCharType="end"/>
      </w:r>
      <w:r w:rsidRPr="00C26AAD">
        <w:t xml:space="preserve"> </w:t>
      </w:r>
      <w:r w:rsidR="00C87221">
        <w:t>Support for and development of</w:t>
      </w:r>
      <w:r>
        <w:t xml:space="preserve"> a culture that discourages harmful alcohol use is required to achieve sustainable change.</w:t>
      </w:r>
    </w:p>
    <w:p w:rsidR="001F0C9B" w:rsidRPr="001D71BB" w:rsidRDefault="001F0C9B" w:rsidP="001F0C9B">
      <w:pPr>
        <w:rPr>
          <w:lang w:val="en-AU"/>
        </w:rPr>
      </w:pPr>
    </w:p>
    <w:p w:rsidR="001F0C9B" w:rsidRPr="00154C32" w:rsidRDefault="001F0C9B" w:rsidP="001F0C9B">
      <w:pPr>
        <w:rPr>
          <w:rFonts w:eastAsia="Arial"/>
          <w:color w:val="1F497D" w:themeColor="text2"/>
          <w:sz w:val="28"/>
          <w:szCs w:val="28"/>
        </w:rPr>
      </w:pPr>
      <w:r w:rsidRPr="00B5784F">
        <w:rPr>
          <w:rFonts w:eastAsia="Arial"/>
          <w:color w:val="808080" w:themeColor="background1" w:themeShade="80"/>
          <w:sz w:val="28"/>
          <w:szCs w:val="28"/>
        </w:rPr>
        <w:t>Influence the supply of alcohol</w:t>
      </w:r>
    </w:p>
    <w:p w:rsidR="001F0C9B" w:rsidRPr="001D71BB" w:rsidRDefault="001F0C9B" w:rsidP="001F0C9B">
      <w:pPr>
        <w:rPr>
          <w:lang w:val="en-AU"/>
        </w:rPr>
      </w:pPr>
    </w:p>
    <w:p w:rsidR="001F0C9B" w:rsidRPr="00C26AAD" w:rsidRDefault="001F0C9B" w:rsidP="001F0C9B">
      <w:r w:rsidRPr="00C26AAD">
        <w:t>How alcohol is made available influen</w:t>
      </w:r>
      <w:r>
        <w:t>ces the extent to which alcohol-</w:t>
      </w:r>
      <w:r w:rsidRPr="00C26AAD">
        <w:t>related harm occurs. Risk can be reduced by controlling alcohol sales and supply through location, density and type of licen</w:t>
      </w:r>
      <w:r>
        <w:t>s</w:t>
      </w:r>
      <w:r w:rsidRPr="00C26AAD">
        <w:t>ed outlets.</w:t>
      </w:r>
      <w:r w:rsidR="008E4A1B">
        <w:fldChar w:fldCharType="begin"/>
      </w:r>
      <w:r w:rsidR="00547316">
        <w:instrText xml:space="preserve"> ADDIN EN.CITE &lt;EndNote&gt;&lt;Cite&gt;&lt;Author&gt;National Preventative Health Taskforce&lt;/Author&gt;&lt;Year&gt;2009&lt;/Year&gt;&lt;RecNum&gt;679&lt;/RecNum&gt;&lt;DisplayText&gt;&lt;style face="superscript"&gt;51&lt;/style&gt;&lt;/DisplayText&gt;&lt;record&gt;&lt;rec-number&gt;679&lt;/rec-number&gt;&lt;foreign-keys&gt;&lt;key app="EN" db-id="zxa00wf2opvf9oeeset50xz7ezpfwre2v20z"&gt;679&lt;/key&gt;&lt;/foreign-keys&gt;&lt;ref-type name="Report"&gt;27&lt;/ref-type&gt;&lt;contributors&gt;&lt;authors&gt;&lt;author&gt;National Preventative Health Taskforce,&lt;/author&gt;&lt;/authors&gt;&lt;/contributors&gt;&lt;titles&gt;&lt;title&gt;Australia:  the healthiest country by 2020.  National Preventative Health Strategy - the roadmap for action&lt;/title&gt;&lt;/titles&gt;&lt;dates&gt;&lt;year&gt;2009&lt;/year&gt;&lt;/dates&gt;&lt;pub-location&gt;Canberra&lt;/pub-location&gt;&lt;publisher&gt;Commonwealth of Australia&lt;/publisher&gt;&lt;urls&gt;&lt;related-urls&gt;&lt;url&gt;http://www.health.gov.au/internet/preventativehealth/publishing.nsf/content/a06c2fcf439ecda1ca2574dd0081e40c/$file/discussion-28oct.pdf&lt;/url&gt;&lt;/related-urls&gt;&lt;/urls&gt;&lt;access-date&gt;June 2010&lt;/access-date&gt;&lt;/record&gt;&lt;/Cite&gt;&lt;/EndNote&gt;</w:instrText>
      </w:r>
      <w:r w:rsidR="008E4A1B">
        <w:fldChar w:fldCharType="separate"/>
      </w:r>
      <w:r w:rsidR="00547316" w:rsidRPr="00547316">
        <w:rPr>
          <w:noProof/>
          <w:vertAlign w:val="superscript"/>
        </w:rPr>
        <w:t>51</w:t>
      </w:r>
      <w:r w:rsidR="008E4A1B">
        <w:fldChar w:fldCharType="end"/>
      </w:r>
      <w:r w:rsidRPr="00C26AAD">
        <w:t xml:space="preserve"> Increasingly, communities are engaging in the decision-making process about how alcohol is managed in their localities. Some remote communities in WA have opted for a complete ban on alcohol.</w:t>
      </w:r>
      <w:r w:rsidR="008E4A1B">
        <w:fldChar w:fldCharType="begin"/>
      </w:r>
      <w:r w:rsidR="005B3C51">
        <w:instrText xml:space="preserve"> ADDIN EN.CITE &lt;EndNote&gt;&lt;Cite&gt;&lt;Author&gt;Education and Health Standing Committee of the Legislative Assembly&lt;/Author&gt;&lt;Year&gt;2011&lt;/Year&gt;&lt;RecNum&gt;429&lt;/RecNum&gt;&lt;DisplayText&gt;&lt;style face="superscript"&gt;178&lt;/style&gt;&lt;/DisplayText&gt;&lt;record&gt;&lt;rec-number&gt;429&lt;/rec-number&gt;&lt;foreign-keys&gt;&lt;key app="EN" db-id="zxa00wf2opvf9oeeset50xz7ezpfwre2v20z"&gt;429&lt;/key&gt;&lt;/foreign-keys&gt;&lt;ref-type name="Report"&gt;27&lt;/ref-type&gt;&lt;contributors&gt;&lt;authors&gt;&lt;author&gt;Education and Health Standing Committee of the Legislative Assembly,&lt;/author&gt;&lt;author&gt;Parliament of Western Australia,&lt;/author&gt;&lt;/authors&gt;&lt;/contributors&gt;&lt;titles&gt;&lt;title&gt;Alcohol restrictions in the Kimberley: a ‘window of opportunity’ for improved health, education, housing and employment.  Report No. 8&lt;/title&gt;&lt;/titles&gt;&lt;dates&gt;&lt;year&gt;2011&lt;/year&gt;&lt;/dates&gt;&lt;pub-location&gt;Perth&lt;/pub-location&gt;&lt;publisher&gt;Legislative Assembly, Parliament of Western Australia&lt;/publisher&gt;&lt;urls&gt;&lt;related-urls&gt;&lt;url&gt;http://www.parliament.wa.gov.au/Parliament/commit.nsf/(Report+Lookup+by+Com+ID)/460AD36276677B1B482578560022E6EE/$file/35607530.pdf&lt;/url&gt;&lt;/related-urls&gt;&lt;/urls&gt;&lt;/record&gt;&lt;/Cite&gt;&lt;/EndNote&gt;</w:instrText>
      </w:r>
      <w:r w:rsidR="008E4A1B">
        <w:fldChar w:fldCharType="separate"/>
      </w:r>
      <w:r w:rsidR="005B3C51" w:rsidRPr="005B3C51">
        <w:rPr>
          <w:noProof/>
          <w:vertAlign w:val="superscript"/>
        </w:rPr>
        <w:t>178</w:t>
      </w:r>
      <w:r w:rsidR="008E4A1B">
        <w:fldChar w:fldCharType="end"/>
      </w:r>
    </w:p>
    <w:p w:rsidR="001F0C9B" w:rsidRDefault="001F0C9B" w:rsidP="001F0C9B">
      <w:pPr>
        <w:rPr>
          <w:rFonts w:cstheme="minorHAnsi"/>
          <w:bCs/>
        </w:rPr>
      </w:pPr>
    </w:p>
    <w:p w:rsidR="001F0C9B" w:rsidRDefault="001F0C9B" w:rsidP="001F0C9B">
      <w:pPr>
        <w:rPr>
          <w:rFonts w:cstheme="minorHAnsi"/>
          <w:bCs/>
        </w:rPr>
      </w:pPr>
      <w:r w:rsidRPr="00C26AAD">
        <w:rPr>
          <w:lang w:val="en-AU"/>
        </w:rPr>
        <w:t xml:space="preserve">The most common sources </w:t>
      </w:r>
      <w:r>
        <w:rPr>
          <w:lang w:val="en-AU"/>
        </w:rPr>
        <w:t xml:space="preserve">for obtaining </w:t>
      </w:r>
      <w:r w:rsidRPr="00C26AAD">
        <w:rPr>
          <w:lang w:val="en-AU"/>
        </w:rPr>
        <w:t>alcohol for under-aged drinkers are their friends (31%) and parents (30%).</w:t>
      </w:r>
      <w:r w:rsidR="008E4A1B">
        <w:rPr>
          <w:lang w:val="en-AU"/>
        </w:rPr>
        <w:fldChar w:fldCharType="begin"/>
      </w:r>
      <w:r w:rsidR="005B3C51">
        <w:rPr>
          <w:lang w:val="en-AU"/>
        </w:rPr>
        <w:instrText xml:space="preserve"> ADDIN EN.CITE &lt;EndNote&gt;&lt;Cite&gt;&lt;Author&gt;Bridle&lt;/Author&gt;&lt;Year&gt;2016&lt;/Year&gt;&lt;RecNum&gt;263&lt;/RecNum&gt;&lt;DisplayText&gt;&lt;style face="superscript"&gt;168&lt;/style&gt;&lt;/DisplayText&gt;&lt;record&gt;&lt;rec-number&gt;263&lt;/rec-number&gt;&lt;foreign-keys&gt;&lt;key app="EN" db-id="zxa00wf2opvf9oeeset50xz7ezpfwre2v20z"&gt;263&lt;/key&gt;&lt;/foreign-keys&gt;&lt;ref-type name="Report"&gt;27&lt;/ref-type&gt;&lt;contributors&gt;&lt;authors&gt;&lt;author&gt;Bridle, R&lt;/author&gt;&lt;author&gt;Harrison, A&lt;/author&gt;&lt;author&gt;Goggin, L &lt;/author&gt;&lt;/authors&gt;&lt;/contributors&gt;&lt;titles&gt;&lt;title&gt;Australian School Students Alcohol and other Drug Survey.  Western Australian results 2014&lt;/title&gt;&lt;/titles&gt;&lt;dates&gt;&lt;year&gt;2016&lt;/year&gt;&lt;/dates&gt;&lt;pub-location&gt;Perth&lt;/pub-location&gt;&lt;publisher&gt;Mental Health Commission, Western Australia&lt;/publisher&gt;&lt;urls&gt;&lt;related-urls&gt;&lt;url&gt;http://www.dao.health.wa.gov.au/Informationandresources/Publicationsandresources/Researchandstatistics/Statistics/AustralianSchoolStudentsAlcoholandDrugsurvey.aspx&lt;/url&gt;&lt;/related-urls&gt;&lt;/urls&gt;&lt;/record&gt;&lt;/Cite&gt;&lt;/EndNote&gt;</w:instrText>
      </w:r>
      <w:r w:rsidR="008E4A1B">
        <w:rPr>
          <w:lang w:val="en-AU"/>
        </w:rPr>
        <w:fldChar w:fldCharType="separate"/>
      </w:r>
      <w:r w:rsidR="005B3C51" w:rsidRPr="005B3C51">
        <w:rPr>
          <w:noProof/>
          <w:vertAlign w:val="superscript"/>
          <w:lang w:val="en-AU"/>
        </w:rPr>
        <w:t>168</w:t>
      </w:r>
      <w:r w:rsidR="008E4A1B">
        <w:rPr>
          <w:lang w:val="en-AU"/>
        </w:rPr>
        <w:fldChar w:fldCharType="end"/>
      </w:r>
      <w:r w:rsidR="00181A10">
        <w:rPr>
          <w:lang w:val="en-AU"/>
        </w:rPr>
        <w:t xml:space="preserve"> </w:t>
      </w:r>
      <w:r>
        <w:rPr>
          <w:lang w:val="en-AU"/>
        </w:rPr>
        <w:t xml:space="preserve">Community concern about the supply of liquor to under-aged people was a significant factor in the introduction of secondary supply laws. </w:t>
      </w:r>
      <w:r>
        <w:rPr>
          <w:rFonts w:cstheme="minorHAnsi"/>
          <w:bCs/>
        </w:rPr>
        <w:t>In November 2015, l</w:t>
      </w:r>
      <w:r w:rsidRPr="006C315E">
        <w:rPr>
          <w:rFonts w:cstheme="minorHAnsi"/>
          <w:bCs/>
        </w:rPr>
        <w:t xml:space="preserve">egislation </w:t>
      </w:r>
      <w:r>
        <w:rPr>
          <w:rFonts w:cstheme="minorHAnsi"/>
          <w:bCs/>
        </w:rPr>
        <w:t xml:space="preserve">came into effect in WA that makes </w:t>
      </w:r>
      <w:r w:rsidRPr="006C315E">
        <w:rPr>
          <w:rFonts w:cstheme="minorHAnsi"/>
          <w:bCs/>
        </w:rPr>
        <w:t>it an offence to supply liquor to anyone under the age of 18</w:t>
      </w:r>
      <w:r>
        <w:rPr>
          <w:rFonts w:cstheme="minorHAnsi"/>
          <w:bCs/>
        </w:rPr>
        <w:t xml:space="preserve"> years</w:t>
      </w:r>
      <w:r w:rsidRPr="006C315E">
        <w:rPr>
          <w:rFonts w:cstheme="minorHAnsi"/>
          <w:bCs/>
        </w:rPr>
        <w:t xml:space="preserve"> without their parent</w:t>
      </w:r>
      <w:r w:rsidR="009F246C">
        <w:rPr>
          <w:rFonts w:cstheme="minorHAnsi"/>
          <w:bCs/>
        </w:rPr>
        <w:t>’s</w:t>
      </w:r>
      <w:r w:rsidRPr="006C315E">
        <w:rPr>
          <w:rFonts w:cstheme="minorHAnsi"/>
          <w:bCs/>
        </w:rPr>
        <w:t xml:space="preserve"> or guardian's permission.</w:t>
      </w:r>
      <w:r w:rsidR="008E4A1B">
        <w:rPr>
          <w:rFonts w:cstheme="minorHAnsi"/>
          <w:bCs/>
        </w:rPr>
        <w:fldChar w:fldCharType="begin"/>
      </w:r>
      <w:r w:rsidR="005B3C51">
        <w:rPr>
          <w:rFonts w:cstheme="minorHAnsi"/>
          <w:bCs/>
        </w:rPr>
        <w:instrText xml:space="preserve"> ADDIN EN.CITE &lt;EndNote&gt;&lt;Cite&gt;&lt;Author&gt;Department of Racing&lt;/Author&gt;&lt;Year&gt;2016&lt;/Year&gt;&lt;RecNum&gt;1068&lt;/RecNum&gt;&lt;DisplayText&gt;&lt;style face="superscript"&gt;179&lt;/style&gt;&lt;/DisplayText&gt;&lt;record&gt;&lt;rec-number&gt;1068&lt;/rec-number&gt;&lt;foreign-keys&gt;&lt;key app="EN" db-id="zxa00wf2opvf9oeeset50xz7ezpfwre2v20z"&gt;1068&lt;/key&gt;&lt;/foreign-keys&gt;&lt;ref-type name="Report"&gt;27&lt;/ref-type&gt;&lt;contributors&gt;&lt;authors&gt;&lt;author&gt;Department of Racing, Gaming and Liquor,&lt;/author&gt;&lt;/authors&gt;&lt;/contributors&gt;&lt;titles&gt;&lt;title&gt;Liquor Legislation Amendment Act 2015&lt;/title&gt;&lt;/titles&gt;&lt;dates&gt;&lt;year&gt;2016&lt;/year&gt;&lt;/dates&gt;&lt;pub-location&gt;Perth&lt;/pub-location&gt;&lt;publisher&gt;Department of Racing, Gaming and Liquor, Western Australia&lt;/publisher&gt;&lt;urls&gt;&lt;related-urls&gt;&lt;url&gt;http://www.rgl.wa.gov.au/liquor/liquor-legislation-amendment-act&lt;/url&gt;&lt;/related-urls&gt;&lt;/urls&gt;&lt;/record&gt;&lt;/Cite&gt;&lt;/EndNote&gt;</w:instrText>
      </w:r>
      <w:r w:rsidR="008E4A1B">
        <w:rPr>
          <w:rFonts w:cstheme="minorHAnsi"/>
          <w:bCs/>
        </w:rPr>
        <w:fldChar w:fldCharType="separate"/>
      </w:r>
      <w:r w:rsidR="005B3C51" w:rsidRPr="005B3C51">
        <w:rPr>
          <w:rFonts w:cstheme="minorHAnsi"/>
          <w:bCs/>
          <w:noProof/>
          <w:vertAlign w:val="superscript"/>
        </w:rPr>
        <w:t>179</w:t>
      </w:r>
      <w:r w:rsidR="008E4A1B">
        <w:rPr>
          <w:rFonts w:cstheme="minorHAnsi"/>
          <w:bCs/>
        </w:rPr>
        <w:fldChar w:fldCharType="end"/>
      </w:r>
    </w:p>
    <w:p w:rsidR="001F0C9B" w:rsidRDefault="001F0C9B" w:rsidP="001F0C9B">
      <w:pPr>
        <w:rPr>
          <w:lang w:val="en-AU"/>
        </w:rPr>
      </w:pPr>
    </w:p>
    <w:p w:rsidR="001F0C9B" w:rsidRPr="00C26AAD" w:rsidRDefault="001F0C9B" w:rsidP="001F0C9B">
      <w:pPr>
        <w:rPr>
          <w:lang w:val="en-AU"/>
        </w:rPr>
      </w:pPr>
      <w:r w:rsidRPr="00C26AAD">
        <w:rPr>
          <w:lang w:val="en-AU"/>
        </w:rPr>
        <w:t>There is a need for</w:t>
      </w:r>
      <w:r w:rsidRPr="00C26AAD">
        <w:rPr>
          <w:spacing w:val="-3"/>
          <w:lang w:val="en-AU"/>
        </w:rPr>
        <w:t xml:space="preserve"> </w:t>
      </w:r>
      <w:r w:rsidR="00C60D54">
        <w:rPr>
          <w:spacing w:val="-3"/>
          <w:lang w:val="en-AU"/>
        </w:rPr>
        <w:t xml:space="preserve">ongoing </w:t>
      </w:r>
      <w:r w:rsidRPr="00C26AAD">
        <w:rPr>
          <w:lang w:val="en-AU"/>
        </w:rPr>
        <w:t>public education about the harms of</w:t>
      </w:r>
      <w:r w:rsidRPr="00C26AAD">
        <w:rPr>
          <w:spacing w:val="-2"/>
          <w:lang w:val="en-AU"/>
        </w:rPr>
        <w:t xml:space="preserve"> </w:t>
      </w:r>
      <w:r w:rsidRPr="00C26AAD">
        <w:rPr>
          <w:lang w:val="en-AU"/>
        </w:rPr>
        <w:t>underage drin</w:t>
      </w:r>
      <w:r w:rsidRPr="00C26AAD">
        <w:rPr>
          <w:spacing w:val="1"/>
          <w:lang w:val="en-AU"/>
        </w:rPr>
        <w:t>k</w:t>
      </w:r>
      <w:r w:rsidRPr="00C26AAD">
        <w:rPr>
          <w:spacing w:val="-1"/>
          <w:lang w:val="en-AU"/>
        </w:rPr>
        <w:t>i</w:t>
      </w:r>
      <w:r w:rsidRPr="00C26AAD">
        <w:rPr>
          <w:lang w:val="en-AU"/>
        </w:rPr>
        <w:t>ng</w:t>
      </w:r>
      <w:r>
        <w:rPr>
          <w:lang w:val="en-AU"/>
        </w:rPr>
        <w:t>, the dangers and penalties of supplying alcohol to young people</w:t>
      </w:r>
      <w:r w:rsidRPr="00C26AAD">
        <w:rPr>
          <w:lang w:val="en-AU"/>
        </w:rPr>
        <w:t xml:space="preserve"> and the importance of</w:t>
      </w:r>
      <w:r w:rsidRPr="00C26AAD">
        <w:rPr>
          <w:spacing w:val="-1"/>
          <w:lang w:val="en-AU"/>
        </w:rPr>
        <w:t xml:space="preserve"> </w:t>
      </w:r>
      <w:r w:rsidRPr="00C26AAD">
        <w:rPr>
          <w:lang w:val="en-AU"/>
        </w:rPr>
        <w:t>delaying initiation to</w:t>
      </w:r>
      <w:r w:rsidRPr="00C26AAD">
        <w:rPr>
          <w:spacing w:val="-1"/>
          <w:lang w:val="en-AU"/>
        </w:rPr>
        <w:t xml:space="preserve"> </w:t>
      </w:r>
      <w:r w:rsidRPr="00C26AAD">
        <w:rPr>
          <w:lang w:val="en-AU"/>
        </w:rPr>
        <w:t>alcohol use, as</w:t>
      </w:r>
      <w:r w:rsidRPr="00C26AAD">
        <w:rPr>
          <w:spacing w:val="1"/>
          <w:lang w:val="en-AU"/>
        </w:rPr>
        <w:t xml:space="preserve"> </w:t>
      </w:r>
      <w:r w:rsidRPr="00C26AAD">
        <w:rPr>
          <w:lang w:val="en-AU"/>
        </w:rPr>
        <w:t>well as</w:t>
      </w:r>
      <w:r w:rsidRPr="00C26AAD">
        <w:rPr>
          <w:spacing w:val="1"/>
          <w:lang w:val="en-AU"/>
        </w:rPr>
        <w:t xml:space="preserve"> </w:t>
      </w:r>
      <w:r w:rsidRPr="00C26AAD">
        <w:rPr>
          <w:lang w:val="en-AU"/>
        </w:rPr>
        <w:t>increasing awareness about adult responsibilities and obligations to</w:t>
      </w:r>
      <w:r w:rsidRPr="00C26AAD">
        <w:rPr>
          <w:spacing w:val="-2"/>
          <w:lang w:val="en-AU"/>
        </w:rPr>
        <w:t xml:space="preserve"> </w:t>
      </w:r>
      <w:r w:rsidRPr="00C26AAD">
        <w:rPr>
          <w:lang w:val="en-AU"/>
        </w:rPr>
        <w:t>protect children and adolescents from alcohol use.</w:t>
      </w:r>
    </w:p>
    <w:p w:rsidR="001F0C9B" w:rsidRPr="001D71BB" w:rsidRDefault="001F0C9B" w:rsidP="001F0C9B">
      <w:pPr>
        <w:rPr>
          <w:lang w:val="en-AU"/>
        </w:rPr>
      </w:pPr>
    </w:p>
    <w:p w:rsidR="001F0C9B" w:rsidRPr="00B5784F" w:rsidRDefault="001F0C9B" w:rsidP="001F0C9B">
      <w:pPr>
        <w:rPr>
          <w:rFonts w:eastAsia="Arial"/>
          <w:color w:val="808080" w:themeColor="background1" w:themeShade="80"/>
          <w:sz w:val="28"/>
          <w:szCs w:val="28"/>
        </w:rPr>
      </w:pPr>
      <w:r w:rsidRPr="00B5784F">
        <w:rPr>
          <w:rFonts w:eastAsia="Arial"/>
          <w:color w:val="808080" w:themeColor="background1" w:themeShade="80"/>
          <w:sz w:val="28"/>
          <w:szCs w:val="28"/>
        </w:rPr>
        <w:t>Reduce demand for alcohol</w:t>
      </w:r>
    </w:p>
    <w:p w:rsidR="001F0C9B" w:rsidRPr="001D71BB" w:rsidRDefault="001F0C9B" w:rsidP="001F0C9B">
      <w:pPr>
        <w:rPr>
          <w:lang w:val="en-AU"/>
        </w:rPr>
      </w:pPr>
    </w:p>
    <w:p w:rsidR="001F0C9B" w:rsidRPr="00C26AAD" w:rsidRDefault="001F0C9B" w:rsidP="001F0C9B">
      <w:pPr>
        <w:rPr>
          <w:lang w:val="en-AU"/>
        </w:rPr>
      </w:pPr>
      <w:r w:rsidRPr="00C26AAD">
        <w:rPr>
          <w:lang w:val="en-AU"/>
        </w:rPr>
        <w:t>A</w:t>
      </w:r>
      <w:r w:rsidRPr="00C26AAD">
        <w:rPr>
          <w:spacing w:val="-2"/>
          <w:lang w:val="en-AU"/>
        </w:rPr>
        <w:t xml:space="preserve"> </w:t>
      </w:r>
      <w:r w:rsidRPr="00C26AAD">
        <w:rPr>
          <w:lang w:val="en-AU"/>
        </w:rPr>
        <w:t>range of</w:t>
      </w:r>
      <w:r w:rsidRPr="00C26AAD">
        <w:rPr>
          <w:spacing w:val="-2"/>
          <w:lang w:val="en-AU"/>
        </w:rPr>
        <w:t xml:space="preserve"> </w:t>
      </w:r>
      <w:r w:rsidRPr="00C26AAD">
        <w:rPr>
          <w:lang w:val="en-AU"/>
        </w:rPr>
        <w:t>options ha</w:t>
      </w:r>
      <w:r>
        <w:rPr>
          <w:lang w:val="en-AU"/>
        </w:rPr>
        <w:t>ve been d</w:t>
      </w:r>
      <w:r w:rsidRPr="00C26AAD">
        <w:rPr>
          <w:lang w:val="en-AU"/>
        </w:rPr>
        <w:t>emonstrated to</w:t>
      </w:r>
      <w:r w:rsidRPr="00C26AAD">
        <w:rPr>
          <w:spacing w:val="-2"/>
          <w:lang w:val="en-AU"/>
        </w:rPr>
        <w:t xml:space="preserve"> </w:t>
      </w:r>
      <w:r w:rsidRPr="00C26AAD">
        <w:rPr>
          <w:lang w:val="en-AU"/>
        </w:rPr>
        <w:t>influence demand for</w:t>
      </w:r>
      <w:r w:rsidRPr="00C26AAD">
        <w:rPr>
          <w:spacing w:val="-3"/>
          <w:lang w:val="en-AU"/>
        </w:rPr>
        <w:t xml:space="preserve"> </w:t>
      </w:r>
      <w:r w:rsidRPr="00C26AAD">
        <w:rPr>
          <w:lang w:val="en-AU"/>
        </w:rPr>
        <w:t>alcohol p</w:t>
      </w:r>
      <w:r w:rsidRPr="00C26AAD">
        <w:rPr>
          <w:spacing w:val="2"/>
          <w:lang w:val="en-AU"/>
        </w:rPr>
        <w:t>r</w:t>
      </w:r>
      <w:r w:rsidRPr="00C26AAD">
        <w:rPr>
          <w:lang w:val="en-AU"/>
        </w:rPr>
        <w:t>oducts and can be employed to</w:t>
      </w:r>
      <w:r w:rsidRPr="00C26AAD">
        <w:rPr>
          <w:spacing w:val="-2"/>
          <w:lang w:val="en-AU"/>
        </w:rPr>
        <w:t xml:space="preserve"> </w:t>
      </w:r>
      <w:r w:rsidRPr="00C26AAD">
        <w:rPr>
          <w:lang w:val="en-AU"/>
        </w:rPr>
        <w:t>help shape lower-risk patterns</w:t>
      </w:r>
      <w:r w:rsidRPr="00C26AAD">
        <w:rPr>
          <w:spacing w:val="-1"/>
          <w:lang w:val="en-AU"/>
        </w:rPr>
        <w:t xml:space="preserve"> </w:t>
      </w:r>
      <w:r w:rsidRPr="00C26AAD">
        <w:rPr>
          <w:lang w:val="en-AU"/>
        </w:rPr>
        <w:t>of</w:t>
      </w:r>
      <w:r w:rsidRPr="00C26AAD">
        <w:rPr>
          <w:spacing w:val="-2"/>
          <w:lang w:val="en-AU"/>
        </w:rPr>
        <w:t xml:space="preserve"> </w:t>
      </w:r>
      <w:r w:rsidRPr="00C26AAD">
        <w:rPr>
          <w:lang w:val="en-AU"/>
        </w:rPr>
        <w:t>drinking behaviour or abstention for population groups for whom this is considered to be the safest option.</w:t>
      </w:r>
      <w:r w:rsidRPr="00C26AAD">
        <w:rPr>
          <w:spacing w:val="2"/>
          <w:lang w:val="en-AU"/>
        </w:rPr>
        <w:t xml:space="preserve"> </w:t>
      </w:r>
      <w:r w:rsidRPr="00C26AAD">
        <w:rPr>
          <w:lang w:val="en-AU"/>
        </w:rPr>
        <w:t>These include changes to</w:t>
      </w:r>
      <w:r w:rsidRPr="00C26AAD">
        <w:rPr>
          <w:spacing w:val="-2"/>
          <w:lang w:val="en-AU"/>
        </w:rPr>
        <w:t xml:space="preserve"> </w:t>
      </w:r>
      <w:r w:rsidRPr="00C26AAD">
        <w:rPr>
          <w:lang w:val="en-AU"/>
        </w:rPr>
        <w:t xml:space="preserve">taxation and pricing; </w:t>
      </w:r>
      <w:r w:rsidRPr="00C26AAD">
        <w:rPr>
          <w:spacing w:val="-1"/>
          <w:lang w:val="en-AU"/>
        </w:rPr>
        <w:t>r</w:t>
      </w:r>
      <w:r w:rsidRPr="00C26AAD">
        <w:rPr>
          <w:lang w:val="en-AU"/>
        </w:rPr>
        <w:t>egulation of</w:t>
      </w:r>
      <w:r w:rsidRPr="00C26AAD">
        <w:rPr>
          <w:spacing w:val="-2"/>
          <w:lang w:val="en-AU"/>
        </w:rPr>
        <w:t xml:space="preserve"> </w:t>
      </w:r>
      <w:r w:rsidRPr="00C26AAD">
        <w:rPr>
          <w:lang w:val="en-AU"/>
        </w:rPr>
        <w:t>access and availability; drink-driving countermeasures; regulation of</w:t>
      </w:r>
      <w:r w:rsidRPr="00C26AAD">
        <w:rPr>
          <w:spacing w:val="-2"/>
          <w:lang w:val="en-AU"/>
        </w:rPr>
        <w:t xml:space="preserve"> </w:t>
      </w:r>
      <w:r w:rsidRPr="00C26AAD">
        <w:rPr>
          <w:lang w:val="en-AU"/>
        </w:rPr>
        <w:t>a</w:t>
      </w:r>
      <w:r w:rsidRPr="00C26AAD">
        <w:rPr>
          <w:spacing w:val="1"/>
          <w:lang w:val="en-AU"/>
        </w:rPr>
        <w:t>l</w:t>
      </w:r>
      <w:r w:rsidRPr="00C26AAD">
        <w:rPr>
          <w:lang w:val="en-AU"/>
        </w:rPr>
        <w:t>cohol advertising and promotion; public education; and p</w:t>
      </w:r>
      <w:r w:rsidRPr="00C26AAD">
        <w:rPr>
          <w:spacing w:val="1"/>
          <w:lang w:val="en-AU"/>
        </w:rPr>
        <w:t>r</w:t>
      </w:r>
      <w:r w:rsidRPr="00C26AAD">
        <w:rPr>
          <w:lang w:val="en-AU"/>
        </w:rPr>
        <w:t>ovision of appropriate treatment and rehabilitation options</w:t>
      </w:r>
      <w:r w:rsidRPr="00C26AAD">
        <w:rPr>
          <w:spacing w:val="1"/>
          <w:lang w:val="en-AU"/>
        </w:rPr>
        <w:t>.</w:t>
      </w:r>
      <w:r w:rsidR="008E4A1B">
        <w:rPr>
          <w:spacing w:val="1"/>
          <w:lang w:val="en-AU"/>
        </w:rPr>
        <w:fldChar w:fldCharType="begin"/>
      </w:r>
      <w:r w:rsidR="005B3C51">
        <w:rPr>
          <w:spacing w:val="1"/>
          <w:lang w:val="en-AU"/>
        </w:rPr>
        <w:instrText xml:space="preserve"> ADDIN EN.CITE &lt;EndNote&gt;&lt;Cite&gt;&lt;Author&gt;Alcohol Working Group&lt;/Author&gt;&lt;Year&gt;2009&lt;/Year&gt;&lt;RecNum&gt;123&lt;/RecNum&gt;&lt;DisplayText&gt;&lt;style face="superscript"&gt;175&lt;/style&gt;&lt;/DisplayText&gt;&lt;record&gt;&lt;rec-number&gt;123&lt;/rec-number&gt;&lt;foreign-keys&gt;&lt;key app="EN" db-id="zxa00wf2opvf9oeeset50xz7ezpfwre2v20z"&gt;123&lt;/key&gt;&lt;/foreign-keys&gt;&lt;ref-type name="Report"&gt;27&lt;/ref-type&gt;&lt;contributors&gt;&lt;authors&gt;&lt;author&gt;Alcohol Working Group,&lt;/author&gt;&lt;/authors&gt;&lt;/contributors&gt;&lt;titles&gt;&lt;title&gt;Australia: the healthiest country by 2020. Technical report no. 3. Preventing alcohol-related harm in Australia: a window of opportunity. Including addendum for October 2008 to June 2009.  Prepared for the National Preventative Health Taskforce by the Alcohol Working Group&lt;/title&gt;&lt;/titles&gt;&lt;dates&gt;&lt;year&gt;2009&lt;/year&gt;&lt;/dates&gt;&lt;pub-location&gt;Canberra&lt;/pub-location&gt;&lt;publisher&gt;Commonwealth of Australia&lt;/publisher&gt;&lt;urls&gt;&lt;related-urls&gt;&lt;url&gt;http://www.health.gov.au/internet/preventativehealth/publishing.nsf/Content/09C94C0F1B9799F5CA2574DD0081E770/$File/alcohol-jul09.pdf&lt;/url&gt;&lt;/related-urls&gt;&lt;/urls&gt;&lt;/record&gt;&lt;/Cite&gt;&lt;/EndNote&gt;</w:instrText>
      </w:r>
      <w:r w:rsidR="008E4A1B">
        <w:rPr>
          <w:spacing w:val="1"/>
          <w:lang w:val="en-AU"/>
        </w:rPr>
        <w:fldChar w:fldCharType="separate"/>
      </w:r>
      <w:r w:rsidR="005B3C51" w:rsidRPr="005B3C51">
        <w:rPr>
          <w:noProof/>
          <w:spacing w:val="1"/>
          <w:vertAlign w:val="superscript"/>
          <w:lang w:val="en-AU"/>
        </w:rPr>
        <w:t>175</w:t>
      </w:r>
      <w:r w:rsidR="008E4A1B">
        <w:rPr>
          <w:spacing w:val="1"/>
          <w:lang w:val="en-AU"/>
        </w:rPr>
        <w:fldChar w:fldCharType="end"/>
      </w:r>
    </w:p>
    <w:p w:rsidR="001F0C9B" w:rsidRPr="001D71BB" w:rsidRDefault="001F0C9B" w:rsidP="001F0C9B">
      <w:pPr>
        <w:rPr>
          <w:lang w:val="en-AU"/>
        </w:rPr>
      </w:pPr>
    </w:p>
    <w:p w:rsidR="00E50CBD" w:rsidRDefault="001F0C9B" w:rsidP="00E50CBD">
      <w:r w:rsidRPr="001D71BB">
        <w:t xml:space="preserve">Alcohol is closely associated with injury. It is a contributing factor to almost one in five (19%) injury deaths and more than one in ten (12%) hospitalisations </w:t>
      </w:r>
      <w:r>
        <w:t>due to injury in the community.</w:t>
      </w:r>
      <w:r w:rsidR="008E4A1B">
        <w:fldChar w:fldCharType="begin"/>
      </w:r>
      <w:r w:rsidR="005B3C51">
        <w:instrText xml:space="preserve"> ADDIN EN.CITE &lt;EndNote&gt;&lt;Cite&gt;&lt;Author&gt;Ballestas&lt;/Author&gt;&lt;Year&gt;2011&lt;/Year&gt;&lt;RecNum&gt;228&lt;/RecNum&gt;&lt;DisplayText&gt;&lt;style face="superscript"&gt;180&lt;/style&gt;&lt;/DisplayText&gt;&lt;record&gt;&lt;rec-number&gt;228&lt;/rec-number&gt;&lt;foreign-keys&gt;&lt;key app="EN" db-id="zxa00wf2opvf9oeeset50xz7ezpfwre2v20z"&gt;228&lt;/key&gt;&lt;/foreign-keys&gt;&lt;ref-type name="Report"&gt;27&lt;/ref-type&gt;&lt;contributors&gt;&lt;authors&gt;&lt;author&gt;Ballestas, T&lt;/author&gt;&lt;author&gt;Xiao, J&lt;/author&gt;&lt;author&gt;McEvoy, S&lt;/author&gt;&lt;author&gt;Somerford, P&lt;/author&gt;&lt;/authors&gt;&lt;/contributors&gt;&lt;titles&gt;&lt;title&gt;The epidemiology of injury in Western Australia, 2000-2008&lt;/title&gt;&lt;/titles&gt;&lt;dates&gt;&lt;year&gt;2011&lt;/year&gt;&lt;/dates&gt;&lt;pub-location&gt;Perth&lt;/pub-location&gt;&lt;publisher&gt;Department of Health, Western Australia&lt;/publisher&gt;&lt;urls&gt;&lt;related-urls&gt;&lt;url&gt;http://www.public.health.wa.gov.au/cproot/4228/2/injury_report_2011.pdf&lt;/url&gt;&lt;/related-urls&gt;&lt;/urls&gt;&lt;/record&gt;&lt;/Cite&gt;&lt;/EndNote&gt;</w:instrText>
      </w:r>
      <w:r w:rsidR="008E4A1B">
        <w:fldChar w:fldCharType="separate"/>
      </w:r>
      <w:r w:rsidR="005B3C51" w:rsidRPr="005B3C51">
        <w:rPr>
          <w:noProof/>
          <w:vertAlign w:val="superscript"/>
        </w:rPr>
        <w:t>180</w:t>
      </w:r>
      <w:r w:rsidR="008E4A1B">
        <w:fldChar w:fldCharType="end"/>
      </w:r>
      <w:r>
        <w:t xml:space="preserve"> </w:t>
      </w:r>
      <w:r w:rsidRPr="001D71BB">
        <w:t xml:space="preserve">Introducing effective strategies to reduce harmful drinking in the community will also </w:t>
      </w:r>
      <w:r>
        <w:t xml:space="preserve">reduce </w:t>
      </w:r>
      <w:r w:rsidRPr="001D71BB">
        <w:t>injur</w:t>
      </w:r>
      <w:r>
        <w:t>ies</w:t>
      </w:r>
      <w:r w:rsidRPr="001D71BB">
        <w:t xml:space="preserve"> caused by alcohol use.</w:t>
      </w:r>
      <w:r w:rsidR="00E50CBD">
        <w:br w:type="page"/>
      </w:r>
    </w:p>
    <w:p w:rsidR="001F0C9B" w:rsidRPr="00AF7C8B" w:rsidRDefault="001F0C9B" w:rsidP="001F0C9B">
      <w:pPr>
        <w:pStyle w:val="Heading2"/>
      </w:pPr>
      <w:bookmarkStart w:id="49" w:name="_Toc462049337"/>
      <w:r w:rsidRPr="00AF7C8B">
        <w:lastRenderedPageBreak/>
        <w:t>Strategic directions for reducing harmful alcohol use in WA</w:t>
      </w:r>
      <w:bookmarkEnd w:id="49"/>
      <w:r w:rsidRPr="00AF7C8B">
        <w:t xml:space="preserve"> </w:t>
      </w:r>
    </w:p>
    <w:p w:rsidR="001F0C9B" w:rsidRDefault="001F0C9B" w:rsidP="001F0C9B"/>
    <w:tbl>
      <w:tblPr>
        <w:tblStyle w:val="TableGrid"/>
        <w:tblW w:w="0" w:type="auto"/>
        <w:tblLook w:val="04A0" w:firstRow="1" w:lastRow="0" w:firstColumn="1" w:lastColumn="0" w:noHBand="0" w:noVBand="1"/>
      </w:tblPr>
      <w:tblGrid>
        <w:gridCol w:w="9242"/>
      </w:tblGrid>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t>Healthy policies</w:t>
            </w:r>
          </w:p>
          <w:p w:rsidR="001F0C9B" w:rsidRDefault="001F0C9B" w:rsidP="00687E6A">
            <w:pPr>
              <w:pStyle w:val="ListParagraph"/>
              <w:ind w:left="714"/>
            </w:pPr>
          </w:p>
        </w:tc>
      </w:tr>
      <w:tr w:rsidR="001F0C9B" w:rsidTr="00632324">
        <w:trPr>
          <w:trHeight w:val="864"/>
        </w:trPr>
        <w:tc>
          <w:tcPr>
            <w:tcW w:w="9242" w:type="dxa"/>
          </w:tcPr>
          <w:p w:rsidR="001F0C9B" w:rsidRDefault="00632324" w:rsidP="008C52D3">
            <w:pPr>
              <w:pStyle w:val="ListParagraph"/>
              <w:numPr>
                <w:ilvl w:val="0"/>
                <w:numId w:val="8"/>
              </w:numPr>
              <w:ind w:left="284" w:hanging="357"/>
            </w:pPr>
            <w:r>
              <w:rPr>
                <w:lang w:val="en-AU"/>
              </w:rPr>
              <w:t xml:space="preserve">Support the development and </w:t>
            </w:r>
            <w:r w:rsidR="001F0C9B" w:rsidRPr="00594407">
              <w:rPr>
                <w:lang w:val="en-AU"/>
              </w:rPr>
              <w:t>i</w:t>
            </w:r>
            <w:r w:rsidR="001F0C9B" w:rsidRPr="00594407">
              <w:rPr>
                <w:spacing w:val="1"/>
                <w:lang w:val="en-AU"/>
              </w:rPr>
              <w:t>m</w:t>
            </w:r>
            <w:r w:rsidR="001F0C9B" w:rsidRPr="00594407">
              <w:rPr>
                <w:lang w:val="en-AU"/>
              </w:rPr>
              <w:t>plementation of</w:t>
            </w:r>
            <w:r w:rsidR="001F0C9B" w:rsidRPr="00594407">
              <w:rPr>
                <w:spacing w:val="-2"/>
                <w:lang w:val="en-AU"/>
              </w:rPr>
              <w:t xml:space="preserve"> </w:t>
            </w:r>
            <w:r w:rsidR="001F0C9B" w:rsidRPr="00594407">
              <w:rPr>
                <w:lang w:val="en-AU"/>
              </w:rPr>
              <w:t>poli</w:t>
            </w:r>
            <w:r w:rsidR="001F0C9B" w:rsidRPr="00594407">
              <w:rPr>
                <w:spacing w:val="1"/>
                <w:lang w:val="en-AU"/>
              </w:rPr>
              <w:t>c</w:t>
            </w:r>
            <w:r w:rsidR="001F0C9B" w:rsidRPr="00594407">
              <w:rPr>
                <w:lang w:val="en-AU"/>
              </w:rPr>
              <w:t>ies</w:t>
            </w:r>
            <w:r w:rsidR="001F0C9B" w:rsidRPr="00594407">
              <w:rPr>
                <w:spacing w:val="1"/>
                <w:lang w:val="en-AU"/>
              </w:rPr>
              <w:t xml:space="preserve"> </w:t>
            </w:r>
            <w:r>
              <w:rPr>
                <w:spacing w:val="1"/>
                <w:lang w:val="en-AU"/>
              </w:rPr>
              <w:t>that reduce or</w:t>
            </w:r>
            <w:r w:rsidR="001F0C9B" w:rsidRPr="00594407">
              <w:rPr>
                <w:spacing w:val="1"/>
                <w:lang w:val="en-AU"/>
              </w:rPr>
              <w:t xml:space="preserve"> prevent alcohol-related harm</w:t>
            </w:r>
            <w:r w:rsidR="001F0C9B">
              <w:rPr>
                <w:spacing w:val="1"/>
                <w:lang w:val="en-AU"/>
              </w:rPr>
              <w:t>, and encourage, create and support low-risk drinking settings</w:t>
            </w:r>
            <w:r w:rsidR="002B1DDE">
              <w:rPr>
                <w:spacing w:val="1"/>
                <w:lang w:val="en-AU"/>
              </w:rPr>
              <w:t>,</w:t>
            </w:r>
            <w:r w:rsidR="001F0C9B" w:rsidRPr="00594407">
              <w:rPr>
                <w:lang w:val="en-AU"/>
              </w:rPr>
              <w:t xml:space="preserve"> particularly </w:t>
            </w:r>
            <w:r w:rsidR="00F84185">
              <w:rPr>
                <w:lang w:val="en-AU"/>
              </w:rPr>
              <w:t>where children and young people are present</w:t>
            </w:r>
          </w:p>
        </w:tc>
      </w:tr>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t xml:space="preserve">Legislation and regulation </w:t>
            </w:r>
          </w:p>
          <w:p w:rsidR="001F0C9B" w:rsidRDefault="001F0C9B" w:rsidP="00687E6A">
            <w:pPr>
              <w:pStyle w:val="ListParagraph"/>
            </w:pPr>
          </w:p>
        </w:tc>
      </w:tr>
      <w:tr w:rsidR="001F0C9B" w:rsidTr="00687E6A">
        <w:tc>
          <w:tcPr>
            <w:tcW w:w="9242" w:type="dxa"/>
          </w:tcPr>
          <w:p w:rsidR="001F0C9B" w:rsidRPr="00594407" w:rsidRDefault="008C52D3" w:rsidP="00CE2FEF">
            <w:pPr>
              <w:pStyle w:val="ListParagraph"/>
              <w:numPr>
                <w:ilvl w:val="0"/>
                <w:numId w:val="8"/>
              </w:numPr>
              <w:ind w:left="284" w:hanging="357"/>
              <w:rPr>
                <w:lang w:val="en-AU"/>
              </w:rPr>
            </w:pPr>
            <w:r>
              <w:rPr>
                <w:lang w:val="en-AU"/>
              </w:rPr>
              <w:t>Support the development and implementation of</w:t>
            </w:r>
            <w:r w:rsidR="001F0C9B" w:rsidRPr="00594407">
              <w:rPr>
                <w:lang w:val="en-AU"/>
              </w:rPr>
              <w:t xml:space="preserve"> legislative controls on the sale, supply and use of alcohol</w:t>
            </w:r>
          </w:p>
          <w:p w:rsidR="001F0C9B" w:rsidRPr="00B87038" w:rsidRDefault="000D1890" w:rsidP="00CE2FEF">
            <w:pPr>
              <w:pStyle w:val="ListParagraph"/>
              <w:numPr>
                <w:ilvl w:val="0"/>
                <w:numId w:val="8"/>
              </w:numPr>
              <w:ind w:left="284" w:hanging="357"/>
            </w:pPr>
            <w:r>
              <w:rPr>
                <w:lang w:val="en-AU"/>
              </w:rPr>
              <w:t xml:space="preserve">Support effective controls at all levels </w:t>
            </w:r>
            <w:r w:rsidR="00613C62">
              <w:rPr>
                <w:lang w:val="en-AU"/>
              </w:rPr>
              <w:t>of</w:t>
            </w:r>
            <w:r>
              <w:rPr>
                <w:lang w:val="en-AU"/>
              </w:rPr>
              <w:t xml:space="preserve"> government to </w:t>
            </w:r>
            <w:r w:rsidR="001F0C9B" w:rsidRPr="00594407">
              <w:rPr>
                <w:lang w:val="en-AU"/>
              </w:rPr>
              <w:t>reducing the exposure of children and adolescents to alcohol consumption and the promotion of</w:t>
            </w:r>
            <w:r w:rsidR="001F0C9B" w:rsidRPr="00BA7B3C">
              <w:rPr>
                <w:lang w:val="en-AU"/>
              </w:rPr>
              <w:t xml:space="preserve"> </w:t>
            </w:r>
            <w:r w:rsidR="001F0C9B" w:rsidRPr="00594407">
              <w:rPr>
                <w:lang w:val="en-AU"/>
              </w:rPr>
              <w:t>alcohol</w:t>
            </w:r>
          </w:p>
          <w:p w:rsidR="00B87038" w:rsidRPr="00B87038" w:rsidRDefault="00B87038" w:rsidP="00B87038">
            <w:pPr>
              <w:pStyle w:val="ListParagraph"/>
              <w:numPr>
                <w:ilvl w:val="0"/>
                <w:numId w:val="8"/>
              </w:numPr>
              <w:ind w:left="284" w:hanging="357"/>
              <w:rPr>
                <w:lang w:val="en-AU"/>
              </w:rPr>
            </w:pPr>
            <w:r w:rsidRPr="00594407">
              <w:rPr>
                <w:lang w:val="en-AU"/>
              </w:rPr>
              <w:t>Encourage partnerships with State and Commonwealth agencies to support a comprehensive approach to preventing and reducing harmful alcohol consumption</w:t>
            </w:r>
            <w:r>
              <w:rPr>
                <w:lang w:val="en-AU"/>
              </w:rPr>
              <w:t xml:space="preserve"> </w:t>
            </w:r>
          </w:p>
        </w:tc>
      </w:tr>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t xml:space="preserve">Economic interventions </w:t>
            </w:r>
          </w:p>
          <w:p w:rsidR="001F0C9B" w:rsidRDefault="001F0C9B" w:rsidP="00687E6A">
            <w:pPr>
              <w:pStyle w:val="ListParagraph"/>
              <w:ind w:left="714"/>
            </w:pPr>
          </w:p>
        </w:tc>
      </w:tr>
      <w:tr w:rsidR="001F0C9B" w:rsidTr="00687E6A">
        <w:tc>
          <w:tcPr>
            <w:tcW w:w="9242" w:type="dxa"/>
          </w:tcPr>
          <w:p w:rsidR="001F0C9B" w:rsidRDefault="00613C62" w:rsidP="00A67E94">
            <w:pPr>
              <w:pStyle w:val="ListParagraph"/>
              <w:numPr>
                <w:ilvl w:val="0"/>
                <w:numId w:val="8"/>
              </w:numPr>
              <w:ind w:left="284" w:hanging="357"/>
            </w:pPr>
            <w:r>
              <w:rPr>
                <w:lang w:val="en-AU"/>
              </w:rPr>
              <w:t>Support</w:t>
            </w:r>
            <w:r w:rsidR="001F0C9B" w:rsidRPr="00594407">
              <w:rPr>
                <w:lang w:val="en-AU"/>
              </w:rPr>
              <w:t xml:space="preserve"> reform</w:t>
            </w:r>
            <w:r w:rsidR="00A67E94">
              <w:rPr>
                <w:lang w:val="en-AU"/>
              </w:rPr>
              <w:t>s</w:t>
            </w:r>
            <w:r w:rsidR="001F0C9B" w:rsidRPr="00594407">
              <w:rPr>
                <w:lang w:val="en-AU"/>
              </w:rPr>
              <w:t xml:space="preserve"> </w:t>
            </w:r>
            <w:r>
              <w:rPr>
                <w:lang w:val="en-AU"/>
              </w:rPr>
              <w:t>of</w:t>
            </w:r>
            <w:r w:rsidR="001F0C9B" w:rsidRPr="00594407">
              <w:rPr>
                <w:lang w:val="en-AU"/>
              </w:rPr>
              <w:t xml:space="preserve"> alcohol taxation and pricing </w:t>
            </w:r>
            <w:r w:rsidR="00A67E94">
              <w:rPr>
                <w:lang w:val="en-AU"/>
              </w:rPr>
              <w:t xml:space="preserve">that will discourage </w:t>
            </w:r>
            <w:r w:rsidR="001F0C9B" w:rsidRPr="00594407">
              <w:rPr>
                <w:lang w:val="en-AU"/>
              </w:rPr>
              <w:t>harmful alcohol consumption</w:t>
            </w:r>
          </w:p>
        </w:tc>
      </w:tr>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t>Supportive environments</w:t>
            </w:r>
          </w:p>
          <w:p w:rsidR="001F0C9B" w:rsidRDefault="001F0C9B" w:rsidP="00687E6A">
            <w:pPr>
              <w:pStyle w:val="ListParagraph"/>
              <w:ind w:left="714"/>
            </w:pPr>
          </w:p>
        </w:tc>
      </w:tr>
      <w:tr w:rsidR="001F0C9B" w:rsidTr="00687E6A">
        <w:tc>
          <w:tcPr>
            <w:tcW w:w="9242" w:type="dxa"/>
          </w:tcPr>
          <w:p w:rsidR="001F0C9B" w:rsidRDefault="001F0C9B" w:rsidP="00CE2FEF">
            <w:pPr>
              <w:pStyle w:val="ListParagraph"/>
              <w:numPr>
                <w:ilvl w:val="0"/>
                <w:numId w:val="8"/>
              </w:numPr>
              <w:ind w:left="284" w:hanging="357"/>
              <w:rPr>
                <w:lang w:val="en-AU"/>
              </w:rPr>
            </w:pPr>
            <w:r w:rsidRPr="00594407">
              <w:rPr>
                <w:lang w:val="en-AU"/>
              </w:rPr>
              <w:t>Support the development of settings that discourage harmful alcohol use and promote a lower risk drinking culture</w:t>
            </w:r>
          </w:p>
          <w:p w:rsidR="001F0C9B" w:rsidRPr="00BA7B3C" w:rsidRDefault="00A67E94" w:rsidP="00B045D4">
            <w:pPr>
              <w:pStyle w:val="ListParagraph"/>
              <w:numPr>
                <w:ilvl w:val="0"/>
                <w:numId w:val="8"/>
              </w:numPr>
              <w:ind w:left="284" w:hanging="357"/>
              <w:rPr>
                <w:lang w:val="en-AU"/>
              </w:rPr>
            </w:pPr>
            <w:r>
              <w:rPr>
                <w:lang w:val="en-AU"/>
              </w:rPr>
              <w:t>Support</w:t>
            </w:r>
            <w:r w:rsidR="001F0C9B" w:rsidRPr="00594407">
              <w:rPr>
                <w:lang w:val="en-AU"/>
              </w:rPr>
              <w:t xml:space="preserve"> strategies that reduce exposure of children to alcohol consumption</w:t>
            </w:r>
            <w:r w:rsidR="00B045D4">
              <w:rPr>
                <w:lang w:val="en-AU"/>
              </w:rPr>
              <w:t>, marketing and promotion</w:t>
            </w:r>
            <w:r w:rsidR="00B045D4" w:rsidRPr="00BA7B3C">
              <w:rPr>
                <w:lang w:val="en-AU"/>
              </w:rPr>
              <w:t xml:space="preserve"> </w:t>
            </w:r>
          </w:p>
        </w:tc>
      </w:tr>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t xml:space="preserve">Public awareness and engagement </w:t>
            </w:r>
          </w:p>
          <w:p w:rsidR="001F0C9B" w:rsidRPr="00BA7B3C" w:rsidRDefault="001F0C9B" w:rsidP="00687E6A">
            <w:pPr>
              <w:pStyle w:val="ListParagraph"/>
              <w:ind w:left="284"/>
              <w:rPr>
                <w:lang w:val="en-AU"/>
              </w:rPr>
            </w:pPr>
          </w:p>
        </w:tc>
      </w:tr>
      <w:tr w:rsidR="001F0C9B" w:rsidTr="00687E6A">
        <w:tc>
          <w:tcPr>
            <w:tcW w:w="9242" w:type="dxa"/>
          </w:tcPr>
          <w:p w:rsidR="001F0C9B" w:rsidRDefault="00B045D4" w:rsidP="00CE2FEF">
            <w:pPr>
              <w:pStyle w:val="ListParagraph"/>
              <w:numPr>
                <w:ilvl w:val="0"/>
                <w:numId w:val="8"/>
              </w:numPr>
              <w:ind w:left="284" w:hanging="357"/>
              <w:rPr>
                <w:lang w:val="en-AU"/>
              </w:rPr>
            </w:pPr>
            <w:r>
              <w:rPr>
                <w:lang w:val="en-AU"/>
              </w:rPr>
              <w:t>Invest in sustained, high-quality statewide public education campaigns</w:t>
            </w:r>
            <w:r w:rsidR="001F0C9B" w:rsidRPr="00594407">
              <w:rPr>
                <w:lang w:val="en-AU"/>
              </w:rPr>
              <w:t xml:space="preserve"> to reduce short-term and long-term harmful alcohol use</w:t>
            </w:r>
            <w:r w:rsidR="001F0C9B">
              <w:rPr>
                <w:lang w:val="en-AU"/>
              </w:rPr>
              <w:t xml:space="preserve">, </w:t>
            </w:r>
            <w:r w:rsidR="001F0C9B" w:rsidRPr="00594407">
              <w:rPr>
                <w:lang w:val="en-AU"/>
              </w:rPr>
              <w:t>influence cultural and social attitudes to alcohol</w:t>
            </w:r>
            <w:r w:rsidR="001F0C9B">
              <w:rPr>
                <w:lang w:val="en-AU"/>
              </w:rPr>
              <w:t xml:space="preserve"> and support the development of a safer, lower risk drinking culture</w:t>
            </w:r>
          </w:p>
          <w:p w:rsidR="001F0C9B" w:rsidRPr="00257FB6" w:rsidRDefault="001F0C9B" w:rsidP="00CE2FEF">
            <w:pPr>
              <w:pStyle w:val="ListParagraph"/>
              <w:numPr>
                <w:ilvl w:val="0"/>
                <w:numId w:val="8"/>
              </w:numPr>
              <w:ind w:left="284" w:hanging="357"/>
              <w:rPr>
                <w:lang w:val="en-AU"/>
              </w:rPr>
            </w:pPr>
            <w:r w:rsidRPr="00BA7B3C">
              <w:rPr>
                <w:lang w:val="en-AU"/>
              </w:rPr>
              <w:t xml:space="preserve">Adopt and evaluate new technologies </w:t>
            </w:r>
            <w:r w:rsidR="009601E8">
              <w:rPr>
                <w:lang w:val="en-AU"/>
              </w:rPr>
              <w:t xml:space="preserve">to enhance and extend </w:t>
            </w:r>
            <w:r w:rsidRPr="00BA7B3C">
              <w:rPr>
                <w:lang w:val="en-AU"/>
              </w:rPr>
              <w:t>public education activities</w:t>
            </w:r>
          </w:p>
          <w:p w:rsidR="001F0C9B" w:rsidRPr="00594407" w:rsidRDefault="001F0C9B" w:rsidP="00CE2FEF">
            <w:pPr>
              <w:pStyle w:val="ListParagraph"/>
              <w:numPr>
                <w:ilvl w:val="0"/>
                <w:numId w:val="8"/>
              </w:numPr>
              <w:ind w:left="284" w:hanging="357"/>
              <w:rPr>
                <w:lang w:val="en-AU"/>
              </w:rPr>
            </w:pPr>
            <w:r w:rsidRPr="00594407">
              <w:rPr>
                <w:lang w:val="en-AU"/>
              </w:rPr>
              <w:t xml:space="preserve">Provide ongoing education regarding patrons’ and licensees’ responsibility to act in accordance with current legislation, including the responsible </w:t>
            </w:r>
            <w:r>
              <w:rPr>
                <w:lang w:val="en-AU"/>
              </w:rPr>
              <w:t xml:space="preserve">supply and </w:t>
            </w:r>
            <w:r w:rsidRPr="00594407">
              <w:rPr>
                <w:lang w:val="en-AU"/>
              </w:rPr>
              <w:t>service of alcohol</w:t>
            </w:r>
          </w:p>
          <w:p w:rsidR="001F0C9B" w:rsidRPr="00C605B9" w:rsidRDefault="001F0C9B" w:rsidP="00C605B9">
            <w:pPr>
              <w:pStyle w:val="ListParagraph"/>
              <w:numPr>
                <w:ilvl w:val="0"/>
                <w:numId w:val="8"/>
              </w:numPr>
              <w:ind w:left="284" w:hanging="357"/>
              <w:rPr>
                <w:lang w:val="en-AU"/>
              </w:rPr>
            </w:pPr>
            <w:r w:rsidRPr="00594407">
              <w:rPr>
                <w:lang w:val="en-AU"/>
              </w:rPr>
              <w:t>Increase access to reliable, practical, culturally-appropriate information about reducing harmful drinking</w:t>
            </w:r>
          </w:p>
        </w:tc>
      </w:tr>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t xml:space="preserve">Community development </w:t>
            </w:r>
          </w:p>
          <w:p w:rsidR="001F0C9B" w:rsidRDefault="001F0C9B" w:rsidP="00687E6A">
            <w:pPr>
              <w:pStyle w:val="ListParagraph"/>
              <w:ind w:left="714"/>
            </w:pPr>
          </w:p>
        </w:tc>
      </w:tr>
      <w:tr w:rsidR="001F0C9B" w:rsidTr="00687E6A">
        <w:tc>
          <w:tcPr>
            <w:tcW w:w="9242" w:type="dxa"/>
          </w:tcPr>
          <w:p w:rsidR="002559F1" w:rsidRPr="002559F1" w:rsidRDefault="00702394" w:rsidP="002559F1">
            <w:pPr>
              <w:pStyle w:val="ListParagraph"/>
              <w:numPr>
                <w:ilvl w:val="0"/>
                <w:numId w:val="8"/>
              </w:numPr>
              <w:ind w:left="284" w:hanging="357"/>
            </w:pPr>
            <w:r>
              <w:rPr>
                <w:lang w:val="en-AU"/>
              </w:rPr>
              <w:t>Engage with the community and ke</w:t>
            </w:r>
            <w:r w:rsidR="002559F1">
              <w:rPr>
                <w:lang w:val="en-AU"/>
              </w:rPr>
              <w:t>y</w:t>
            </w:r>
            <w:r>
              <w:rPr>
                <w:lang w:val="en-AU"/>
              </w:rPr>
              <w:t xml:space="preserve"> stakeholders, including Local Governments, to identify and implement priority actions to </w:t>
            </w:r>
            <w:r w:rsidR="00DE20AB">
              <w:rPr>
                <w:lang w:val="en-AU"/>
              </w:rPr>
              <w:t>prevent alcohol-related harm</w:t>
            </w:r>
          </w:p>
          <w:p w:rsidR="001F0C9B" w:rsidRDefault="002559F1" w:rsidP="002559F1">
            <w:pPr>
              <w:pStyle w:val="ListParagraph"/>
              <w:numPr>
                <w:ilvl w:val="0"/>
                <w:numId w:val="8"/>
              </w:numPr>
              <w:ind w:left="284" w:hanging="357"/>
            </w:pPr>
            <w:r>
              <w:rPr>
                <w:lang w:val="en-AU"/>
              </w:rPr>
              <w:t xml:space="preserve">Work with Local Governments to develop Local Public Health plans which include </w:t>
            </w:r>
            <w:r w:rsidR="001F0C9B" w:rsidRPr="00F6692B">
              <w:rPr>
                <w:lang w:val="en-AU"/>
              </w:rPr>
              <w:t>strategies to prevent alcohol-related harm</w:t>
            </w:r>
          </w:p>
        </w:tc>
      </w:tr>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t xml:space="preserve">Targeted interventions </w:t>
            </w:r>
          </w:p>
          <w:p w:rsidR="001F0C9B" w:rsidRDefault="001F0C9B" w:rsidP="00687E6A">
            <w:pPr>
              <w:pStyle w:val="ListParagraph"/>
              <w:ind w:left="714"/>
            </w:pPr>
          </w:p>
        </w:tc>
      </w:tr>
      <w:tr w:rsidR="001F0C9B" w:rsidTr="00687E6A">
        <w:tc>
          <w:tcPr>
            <w:tcW w:w="9242" w:type="dxa"/>
          </w:tcPr>
          <w:p w:rsidR="001F0C9B" w:rsidRPr="00701795" w:rsidRDefault="001F0C9B" w:rsidP="00E70DF5">
            <w:pPr>
              <w:pStyle w:val="ListParagraph"/>
              <w:numPr>
                <w:ilvl w:val="0"/>
                <w:numId w:val="8"/>
              </w:numPr>
              <w:ind w:left="284" w:hanging="357"/>
              <w:rPr>
                <w:lang w:val="en-AU"/>
              </w:rPr>
            </w:pPr>
            <w:r>
              <w:rPr>
                <w:lang w:val="en-AU"/>
              </w:rPr>
              <w:t>Promote</w:t>
            </w:r>
            <w:r w:rsidRPr="00701795">
              <w:rPr>
                <w:lang w:val="en-AU"/>
              </w:rPr>
              <w:t xml:space="preserve"> the compulsory delivery of appropriate</w:t>
            </w:r>
            <w:r>
              <w:rPr>
                <w:lang w:val="en-AU"/>
              </w:rPr>
              <w:t>, evidence-based</w:t>
            </w:r>
            <w:r w:rsidRPr="00701795">
              <w:rPr>
                <w:lang w:val="en-AU"/>
              </w:rPr>
              <w:t xml:space="preserve"> alcohol </w:t>
            </w:r>
            <w:r w:rsidRPr="00701795">
              <w:rPr>
                <w:lang w:val="en-AU"/>
              </w:rPr>
              <w:lastRenderedPageBreak/>
              <w:t>education in schools</w:t>
            </w:r>
            <w:r>
              <w:rPr>
                <w:lang w:val="en-AU"/>
              </w:rPr>
              <w:t xml:space="preserve"> and associated workforce development for teachers </w:t>
            </w:r>
          </w:p>
          <w:p w:rsidR="00CF16B4" w:rsidRPr="00E70DF5" w:rsidRDefault="00CF16B4" w:rsidP="00E70DF5">
            <w:pPr>
              <w:pStyle w:val="ListParagraph"/>
              <w:numPr>
                <w:ilvl w:val="0"/>
                <w:numId w:val="8"/>
              </w:numPr>
              <w:ind w:left="284" w:hanging="357"/>
              <w:rPr>
                <w:lang w:val="en-AU"/>
              </w:rPr>
            </w:pPr>
            <w:r w:rsidRPr="00E70DF5">
              <w:rPr>
                <w:lang w:val="en-AU"/>
              </w:rPr>
              <w:t xml:space="preserve">Complement population approaches with targeted programs that are culturally-secure and/or meet the needs of people </w:t>
            </w:r>
            <w:r w:rsidR="00B301FD" w:rsidRPr="00E70DF5">
              <w:rPr>
                <w:lang w:val="en-AU"/>
              </w:rPr>
              <w:t>at greater risk of experienc</w:t>
            </w:r>
            <w:r w:rsidR="00EA4460" w:rsidRPr="00E70DF5">
              <w:rPr>
                <w:lang w:val="en-AU"/>
              </w:rPr>
              <w:t>ing</w:t>
            </w:r>
            <w:r w:rsidR="00B301FD" w:rsidRPr="00E70DF5">
              <w:rPr>
                <w:lang w:val="en-AU"/>
              </w:rPr>
              <w:t xml:space="preserve"> alcohol-related harm</w:t>
            </w:r>
            <w:r w:rsidRPr="00E70DF5">
              <w:rPr>
                <w:lang w:val="en-AU"/>
              </w:rPr>
              <w:t xml:space="preserve"> (including Aboriginal people</w:t>
            </w:r>
            <w:r w:rsidR="00897904" w:rsidRPr="00E70DF5">
              <w:rPr>
                <w:lang w:val="en-AU"/>
              </w:rPr>
              <w:t xml:space="preserve"> and people who live outside the metropolitan areas</w:t>
            </w:r>
            <w:r w:rsidR="00EA4460" w:rsidRPr="00E70DF5">
              <w:rPr>
                <w:lang w:val="en-AU"/>
              </w:rPr>
              <w:t>)</w:t>
            </w:r>
            <w:r w:rsidRPr="00E70DF5">
              <w:rPr>
                <w:lang w:val="en-AU"/>
              </w:rPr>
              <w:t xml:space="preserve"> or who are particularly vulnerable to the harmful effects of </w:t>
            </w:r>
            <w:r w:rsidR="00EA4460" w:rsidRPr="00E70DF5">
              <w:rPr>
                <w:lang w:val="en-AU"/>
              </w:rPr>
              <w:t>alcohol use</w:t>
            </w:r>
            <w:r w:rsidRPr="00E70DF5">
              <w:rPr>
                <w:lang w:val="en-AU"/>
              </w:rPr>
              <w:t xml:space="preserve"> (such </w:t>
            </w:r>
            <w:r w:rsidR="00E70DF5">
              <w:rPr>
                <w:lang w:val="en-AU"/>
              </w:rPr>
              <w:t>as children</w:t>
            </w:r>
            <w:r w:rsidR="007748B7">
              <w:rPr>
                <w:lang w:val="en-AU"/>
              </w:rPr>
              <w:t xml:space="preserve">, </w:t>
            </w:r>
            <w:r w:rsidRPr="00E70DF5">
              <w:rPr>
                <w:lang w:val="en-AU"/>
              </w:rPr>
              <w:t>pregnant women</w:t>
            </w:r>
            <w:r w:rsidR="007748B7">
              <w:rPr>
                <w:lang w:val="en-AU"/>
              </w:rPr>
              <w:t>, and woman who are breastfeeding</w:t>
            </w:r>
            <w:r w:rsidR="00E70DF5">
              <w:rPr>
                <w:lang w:val="en-AU"/>
              </w:rPr>
              <w:t>)</w:t>
            </w:r>
          </w:p>
          <w:p w:rsidR="001F0C9B" w:rsidRDefault="00CF16B4" w:rsidP="00CE6934">
            <w:pPr>
              <w:pStyle w:val="ListParagraph"/>
              <w:numPr>
                <w:ilvl w:val="0"/>
                <w:numId w:val="8"/>
              </w:numPr>
              <w:ind w:left="284" w:hanging="357"/>
            </w:pPr>
            <w:r w:rsidRPr="00E70DF5">
              <w:rPr>
                <w:lang w:val="en-AU"/>
              </w:rPr>
              <w:t xml:space="preserve">Integrate </w:t>
            </w:r>
            <w:r w:rsidR="00E70DF5">
              <w:rPr>
                <w:lang w:val="en-AU"/>
              </w:rPr>
              <w:t>messages about reducing harmful alcohol use</w:t>
            </w:r>
            <w:r w:rsidRPr="00E70DF5">
              <w:rPr>
                <w:lang w:val="en-AU"/>
              </w:rPr>
              <w:t xml:space="preserve"> with other healthy lifestyle initiatives, and develop links between programs and services which are targeted at specific populations with </w:t>
            </w:r>
            <w:r w:rsidR="00CE6934">
              <w:rPr>
                <w:lang w:val="en-AU"/>
              </w:rPr>
              <w:t>levels of risky drinking</w:t>
            </w:r>
            <w:r w:rsidRPr="00E70DF5">
              <w:rPr>
                <w:lang w:val="en-AU"/>
              </w:rPr>
              <w:t xml:space="preserve">, or </w:t>
            </w:r>
            <w:r w:rsidR="00CE6934">
              <w:rPr>
                <w:lang w:val="en-AU"/>
              </w:rPr>
              <w:t xml:space="preserve">who are </w:t>
            </w:r>
            <w:r w:rsidRPr="00E70DF5">
              <w:rPr>
                <w:lang w:val="en-AU"/>
              </w:rPr>
              <w:t>more vulnerable to its effects</w:t>
            </w:r>
          </w:p>
        </w:tc>
      </w:tr>
      <w:tr w:rsidR="001F0C9B" w:rsidTr="00AF7C8B">
        <w:tc>
          <w:tcPr>
            <w:tcW w:w="9242" w:type="dxa"/>
            <w:shd w:val="clear" w:color="auto" w:fill="808080" w:themeFill="background1" w:themeFillShade="80"/>
          </w:tcPr>
          <w:p w:rsidR="001F0C9B" w:rsidRPr="0008526F" w:rsidRDefault="001F0C9B" w:rsidP="00687E6A">
            <w:pPr>
              <w:rPr>
                <w:b/>
                <w:color w:val="FFFFFF" w:themeColor="background1"/>
              </w:rPr>
            </w:pPr>
            <w:r w:rsidRPr="0008526F">
              <w:rPr>
                <w:b/>
                <w:color w:val="FFFFFF" w:themeColor="background1"/>
              </w:rPr>
              <w:lastRenderedPageBreak/>
              <w:t xml:space="preserve">Strategic co-ordination, building partnerships and </w:t>
            </w:r>
            <w:r w:rsidR="009B6592">
              <w:rPr>
                <w:b/>
                <w:color w:val="FFFFFF" w:themeColor="background1"/>
              </w:rPr>
              <w:t>workforce development</w:t>
            </w:r>
            <w:r w:rsidRPr="0008526F">
              <w:rPr>
                <w:b/>
                <w:color w:val="FFFFFF" w:themeColor="background1"/>
              </w:rPr>
              <w:t xml:space="preserve"> </w:t>
            </w:r>
          </w:p>
          <w:p w:rsidR="001F0C9B" w:rsidRDefault="001F0C9B" w:rsidP="00687E6A">
            <w:pPr>
              <w:pStyle w:val="ListParagraph"/>
            </w:pPr>
          </w:p>
        </w:tc>
      </w:tr>
      <w:tr w:rsidR="001F0C9B" w:rsidTr="00687E6A">
        <w:tc>
          <w:tcPr>
            <w:tcW w:w="9242" w:type="dxa"/>
          </w:tcPr>
          <w:p w:rsidR="00114692" w:rsidRPr="00A005EF" w:rsidRDefault="00114692" w:rsidP="00A005EF">
            <w:pPr>
              <w:pStyle w:val="ListParagraph"/>
              <w:numPr>
                <w:ilvl w:val="0"/>
                <w:numId w:val="8"/>
              </w:numPr>
              <w:ind w:left="284" w:hanging="357"/>
              <w:rPr>
                <w:lang w:val="en-AU"/>
              </w:rPr>
            </w:pPr>
            <w:r w:rsidRPr="00A005EF">
              <w:rPr>
                <w:lang w:val="en-AU"/>
              </w:rPr>
              <w:t>Strengthen existing and develop new partnerships across all sectors to ensure a comprehensive, consistent and effective approach to reducing alcohol-related harm</w:t>
            </w:r>
          </w:p>
          <w:p w:rsidR="00114692" w:rsidRPr="00A005EF" w:rsidRDefault="00114692" w:rsidP="00A005EF">
            <w:pPr>
              <w:pStyle w:val="ListParagraph"/>
              <w:numPr>
                <w:ilvl w:val="0"/>
                <w:numId w:val="8"/>
              </w:numPr>
              <w:ind w:left="284" w:hanging="357"/>
              <w:rPr>
                <w:lang w:val="en-AU"/>
              </w:rPr>
            </w:pPr>
            <w:r w:rsidRPr="00A005EF">
              <w:rPr>
                <w:lang w:val="en-AU"/>
              </w:rPr>
              <w:t xml:space="preserve">Strengthen, upskill and support relevant parts of the workforce (public health, broader health and non-health sectors) to address </w:t>
            </w:r>
            <w:r w:rsidR="00F25ED6" w:rsidRPr="00A005EF">
              <w:rPr>
                <w:lang w:val="en-AU"/>
              </w:rPr>
              <w:t>harmful alcohol use</w:t>
            </w:r>
            <w:r w:rsidRPr="00A005EF">
              <w:rPr>
                <w:lang w:val="en-AU"/>
              </w:rPr>
              <w:t xml:space="preserve"> in their programs, policies and plans</w:t>
            </w:r>
          </w:p>
          <w:p w:rsidR="00114692" w:rsidRPr="00A005EF" w:rsidRDefault="00114692" w:rsidP="00A005EF">
            <w:pPr>
              <w:pStyle w:val="ListParagraph"/>
              <w:numPr>
                <w:ilvl w:val="0"/>
                <w:numId w:val="8"/>
              </w:numPr>
              <w:ind w:left="284" w:hanging="357"/>
              <w:rPr>
                <w:lang w:val="en-AU"/>
              </w:rPr>
            </w:pPr>
            <w:r w:rsidRPr="00A005EF">
              <w:rPr>
                <w:lang w:val="en-AU"/>
              </w:rPr>
              <w:t xml:space="preserve">Improve and maintain the capacity of the wider health and allied workforce to </w:t>
            </w:r>
            <w:r w:rsidR="00F25ED6" w:rsidRPr="00A005EF">
              <w:rPr>
                <w:lang w:val="en-AU"/>
              </w:rPr>
              <w:t>address harmful alcohol consumption in their clients and patients</w:t>
            </w:r>
          </w:p>
          <w:p w:rsidR="00114692" w:rsidRPr="00A005EF" w:rsidRDefault="00114692" w:rsidP="00A005EF">
            <w:pPr>
              <w:pStyle w:val="ListParagraph"/>
              <w:numPr>
                <w:ilvl w:val="0"/>
                <w:numId w:val="8"/>
              </w:numPr>
              <w:ind w:left="284" w:hanging="357"/>
              <w:rPr>
                <w:lang w:val="en-AU"/>
              </w:rPr>
            </w:pPr>
            <w:r w:rsidRPr="00A005EF">
              <w:rPr>
                <w:lang w:val="en-AU"/>
              </w:rPr>
              <w:t xml:space="preserve">Support and undertake research in line with the </w:t>
            </w:r>
            <w:r w:rsidRPr="00A005EF">
              <w:rPr>
                <w:i/>
                <w:lang w:val="en-AU"/>
              </w:rPr>
              <w:t xml:space="preserve">National Preventive Health Research Strategy 2013–2018 Priority-driven </w:t>
            </w:r>
            <w:r w:rsidR="00A005EF">
              <w:rPr>
                <w:i/>
                <w:lang w:val="en-AU"/>
              </w:rPr>
              <w:t>r</w:t>
            </w:r>
            <w:r w:rsidRPr="00A005EF">
              <w:rPr>
                <w:i/>
                <w:lang w:val="en-AU"/>
              </w:rPr>
              <w:t xml:space="preserve">esearch </w:t>
            </w:r>
            <w:r w:rsidR="00A005EF">
              <w:rPr>
                <w:i/>
                <w:lang w:val="en-AU"/>
              </w:rPr>
              <w:t>a</w:t>
            </w:r>
            <w:r w:rsidRPr="00A005EF">
              <w:rPr>
                <w:i/>
                <w:lang w:val="en-AU"/>
              </w:rPr>
              <w:t xml:space="preserve">genda for </w:t>
            </w:r>
            <w:r w:rsidR="005F7E91" w:rsidRPr="00A005EF">
              <w:rPr>
                <w:i/>
                <w:lang w:val="en-AU"/>
              </w:rPr>
              <w:t>prevention of alcohol related harm in Australia</w:t>
            </w:r>
            <w:r w:rsidRPr="00A005EF">
              <w:rPr>
                <w:lang w:val="en-AU"/>
              </w:rPr>
              <w:t xml:space="preserve"> and ensure that policies and programs are based on best information available</w:t>
            </w:r>
          </w:p>
          <w:p w:rsidR="001F0C9B" w:rsidRDefault="000343EB" w:rsidP="000343EB">
            <w:pPr>
              <w:pStyle w:val="ListParagraph"/>
              <w:numPr>
                <w:ilvl w:val="0"/>
                <w:numId w:val="8"/>
              </w:numPr>
              <w:ind w:left="284" w:hanging="357"/>
            </w:pPr>
            <w:r w:rsidRPr="000049AC">
              <w:t xml:space="preserve">Support continued population monitoring of </w:t>
            </w:r>
            <w:r>
              <w:t>alcohol consumption</w:t>
            </w:r>
            <w:r w:rsidRPr="000049AC">
              <w:t xml:space="preserve"> as well as individual and key environmental facto</w:t>
            </w:r>
            <w:r>
              <w:t>rs that impact on drinking behaviour</w:t>
            </w:r>
          </w:p>
        </w:tc>
      </w:tr>
    </w:tbl>
    <w:p w:rsidR="001F0C9B" w:rsidRDefault="001F0C9B" w:rsidP="001F0C9B">
      <w:pPr>
        <w:widowControl/>
        <w:spacing w:after="200" w:line="276" w:lineRule="auto"/>
        <w:rPr>
          <w:rFonts w:asciiTheme="majorHAnsi" w:eastAsiaTheme="majorEastAsia" w:hAnsiTheme="majorHAnsi" w:cstheme="majorBidi"/>
          <w:color w:val="0F243E" w:themeColor="text2" w:themeShade="80"/>
          <w:sz w:val="52"/>
          <w:szCs w:val="52"/>
        </w:rPr>
      </w:pPr>
      <w:r>
        <w:br w:type="page"/>
      </w:r>
    </w:p>
    <w:p w:rsidR="002F54AA" w:rsidRPr="00AF7C8B" w:rsidRDefault="00853679" w:rsidP="002F54AA">
      <w:pPr>
        <w:pStyle w:val="Heading1"/>
      </w:pPr>
      <w:bookmarkStart w:id="50" w:name="_Toc456354362"/>
      <w:bookmarkStart w:id="51" w:name="_Toc462049338"/>
      <w:r w:rsidRPr="00AF7C8B">
        <w:lastRenderedPageBreak/>
        <w:t>P</w:t>
      </w:r>
      <w:r w:rsidR="002F54AA" w:rsidRPr="00AF7C8B">
        <w:t>reventi</w:t>
      </w:r>
      <w:r w:rsidRPr="00AF7C8B">
        <w:t>ng injury</w:t>
      </w:r>
      <w:r w:rsidR="002F54AA" w:rsidRPr="00AF7C8B">
        <w:t xml:space="preserve"> and promoting safer communities</w:t>
      </w:r>
      <w:bookmarkEnd w:id="50"/>
      <w:bookmarkEnd w:id="51"/>
    </w:p>
    <w:p w:rsidR="002F54AA" w:rsidRDefault="002F54AA" w:rsidP="002F54AA">
      <w:pPr>
        <w:rPr>
          <w:i/>
          <w:shd w:val="clear" w:color="auto" w:fill="FFFFFF"/>
        </w:rPr>
      </w:pPr>
    </w:p>
    <w:p w:rsidR="007720C5" w:rsidRPr="00AF7C8B" w:rsidRDefault="00AD5343" w:rsidP="00AF7C8B">
      <w:pPr>
        <w:shd w:val="clear" w:color="auto" w:fill="F2F2F2" w:themeFill="background1" w:themeFillShade="F2"/>
        <w:rPr>
          <w:i/>
          <w:color w:val="808080" w:themeColor="background1" w:themeShade="80"/>
          <w:shd w:val="clear" w:color="auto" w:fill="FFFFFF"/>
        </w:rPr>
      </w:pPr>
      <w:r w:rsidRPr="00AF7C8B">
        <w:rPr>
          <w:i/>
          <w:color w:val="808080" w:themeColor="background1" w:themeShade="80"/>
        </w:rPr>
        <w:t>“</w:t>
      </w:r>
      <w:r w:rsidR="007720C5" w:rsidRPr="00AF7C8B">
        <w:rPr>
          <w:i/>
          <w:color w:val="808080" w:themeColor="background1" w:themeShade="80"/>
        </w:rPr>
        <w:t>Whether intended or accidental, most physical injuries can be prevented by identifying their causes and removing these, or reducing people’s exposure to them.</w:t>
      </w:r>
      <w:r w:rsidRPr="00AF7C8B">
        <w:rPr>
          <w:i/>
          <w:color w:val="808080" w:themeColor="background1" w:themeShade="80"/>
        </w:rPr>
        <w:t>”</w:t>
      </w:r>
      <w:r w:rsidR="00C05FFB" w:rsidRPr="00AF7C8B">
        <w:rPr>
          <w:i/>
          <w:color w:val="808080" w:themeColor="background1" w:themeShade="80"/>
        </w:rPr>
        <w:t>—</w:t>
      </w:r>
      <w:r w:rsidRPr="00AF7C8B">
        <w:rPr>
          <w:noProof/>
          <w:color w:val="808080" w:themeColor="background1" w:themeShade="80"/>
        </w:rPr>
        <w:t>National Injury Prevention and Saf</w:t>
      </w:r>
      <w:r w:rsidR="00C05FFB" w:rsidRPr="00AF7C8B">
        <w:rPr>
          <w:noProof/>
          <w:color w:val="808080" w:themeColor="background1" w:themeShade="80"/>
        </w:rPr>
        <w:t>ety Promotion Plan 2004–2014</w:t>
      </w:r>
      <w:r w:rsidR="00D47E27" w:rsidRPr="00AF7C8B">
        <w:rPr>
          <w:color w:val="808080" w:themeColor="background1" w:themeShade="80"/>
        </w:rPr>
        <w:fldChar w:fldCharType="begin"/>
      </w:r>
      <w:r w:rsidR="005B3C51">
        <w:rPr>
          <w:color w:val="808080" w:themeColor="background1" w:themeShade="80"/>
        </w:rPr>
        <w:instrText xml:space="preserve"> ADDIN EN.CITE &lt;EndNote&gt;&lt;Cite&gt;&lt;Author&gt;National Public Health Partnership&lt;/Author&gt;&lt;Year&gt;2005&lt;/Year&gt;&lt;RecNum&gt;683&lt;/RecNum&gt;&lt;DisplayText&gt;&lt;style face="superscript"&gt;181&lt;/style&gt;&lt;/DisplayText&gt;&lt;record&gt;&lt;rec-number&gt;683&lt;/rec-number&gt;&lt;foreign-keys&gt;&lt;key app="EN" db-id="zxa00wf2opvf9oeeset50xz7ezpfwre2v20z"&gt;683&lt;/key&gt;&lt;/foreign-keys&gt;&lt;ref-type name="Report"&gt;27&lt;/ref-type&gt;&lt;contributors&gt;&lt;authors&gt;&lt;author&gt;National Public Health Partnership,&lt;/author&gt;&lt;/authors&gt;&lt;/contributors&gt;&lt;titles&gt;&lt;title&gt;The National Injury Prevention and Safety Promotion Plan:  2004-2014&lt;/title&gt;&lt;/titles&gt;&lt;dates&gt;&lt;year&gt;2005&lt;/year&gt;&lt;/dates&gt;&lt;pub-location&gt;Canberra&lt;/pub-location&gt;&lt;publisher&gt;National Public Health Partnership&lt;/publisher&gt;&lt;urls&gt;&lt;related-urls&gt;&lt;url&gt;http://www.nphp.gov.au/publications/sipp/nipspp.pdf&lt;/url&gt;&lt;/related-urls&gt;&lt;/urls&gt;&lt;/record&gt;&lt;/Cite&gt;&lt;/EndNote&gt;</w:instrText>
      </w:r>
      <w:r w:rsidR="00D47E27" w:rsidRPr="00AF7C8B">
        <w:rPr>
          <w:color w:val="808080" w:themeColor="background1" w:themeShade="80"/>
        </w:rPr>
        <w:fldChar w:fldCharType="separate"/>
      </w:r>
      <w:r w:rsidR="005B3C51" w:rsidRPr="005B3C51">
        <w:rPr>
          <w:noProof/>
          <w:color w:val="808080" w:themeColor="background1" w:themeShade="80"/>
          <w:vertAlign w:val="superscript"/>
        </w:rPr>
        <w:t>181</w:t>
      </w:r>
      <w:r w:rsidR="00D47E27" w:rsidRPr="00AF7C8B">
        <w:rPr>
          <w:color w:val="808080" w:themeColor="background1" w:themeShade="80"/>
        </w:rPr>
        <w:fldChar w:fldCharType="end"/>
      </w:r>
    </w:p>
    <w:p w:rsidR="007720C5" w:rsidRDefault="007720C5" w:rsidP="002F54AA">
      <w:pPr>
        <w:rPr>
          <w:i/>
          <w:shd w:val="clear" w:color="auto" w:fill="FFFFFF"/>
        </w:rPr>
      </w:pPr>
    </w:p>
    <w:p w:rsidR="002F54AA" w:rsidRPr="00AF7C8B" w:rsidRDefault="002F54AA" w:rsidP="002F54AA">
      <w:pPr>
        <w:pStyle w:val="Heading2"/>
        <w:rPr>
          <w:rFonts w:eastAsia="Times New Roman"/>
        </w:rPr>
      </w:pPr>
      <w:bookmarkStart w:id="52" w:name="_Toc454291349"/>
      <w:bookmarkStart w:id="53" w:name="_Toc456354363"/>
      <w:bookmarkStart w:id="54" w:name="_Toc462049339"/>
      <w:r w:rsidRPr="00AF7C8B">
        <w:rPr>
          <w:rFonts w:eastAsia="Times New Roman"/>
        </w:rPr>
        <w:t xml:space="preserve">A snapshot of injuries in </w:t>
      </w:r>
      <w:bookmarkEnd w:id="52"/>
      <w:r w:rsidRPr="00AF7C8B">
        <w:rPr>
          <w:rFonts w:eastAsia="Times New Roman"/>
        </w:rPr>
        <w:t>WA</w:t>
      </w:r>
      <w:bookmarkEnd w:id="53"/>
      <w:bookmarkEnd w:id="54"/>
    </w:p>
    <w:p w:rsidR="002F54AA" w:rsidRDefault="002F54AA" w:rsidP="002F54AA">
      <w:pPr>
        <w:ind w:left="720"/>
        <w:contextualSpacing/>
      </w:pPr>
    </w:p>
    <w:p w:rsidR="00B73F95" w:rsidRPr="00AF7C8B" w:rsidRDefault="00B73F95" w:rsidP="00AF7C8B">
      <w:pPr>
        <w:shd w:val="clear" w:color="auto" w:fill="F2F2F2" w:themeFill="background1" w:themeFillShade="F2"/>
        <w:contextualSpacing/>
        <w:rPr>
          <w:color w:val="808080" w:themeColor="background1" w:themeShade="80"/>
          <w:lang w:eastAsia="en-AU"/>
        </w:rPr>
      </w:pPr>
      <w:r w:rsidRPr="00AF7C8B">
        <w:rPr>
          <w:color w:val="808080" w:themeColor="background1" w:themeShade="80"/>
          <w:lang w:eastAsia="en-AU"/>
        </w:rPr>
        <w:t xml:space="preserve">The most significant risk factor for injuries </w:t>
      </w:r>
      <w:r w:rsidR="00D85D7B" w:rsidRPr="00AF7C8B">
        <w:rPr>
          <w:color w:val="808080" w:themeColor="background1" w:themeShade="80"/>
          <w:lang w:eastAsia="en-AU"/>
        </w:rPr>
        <w:t>is</w:t>
      </w:r>
      <w:r w:rsidRPr="00AF7C8B">
        <w:rPr>
          <w:color w:val="808080" w:themeColor="background1" w:themeShade="80"/>
          <w:lang w:eastAsia="en-AU"/>
        </w:rPr>
        <w:t xml:space="preserve"> alcohol use, which was a factor in 21% of</w:t>
      </w:r>
      <w:r w:rsidR="00E35E56" w:rsidRPr="00AF7C8B">
        <w:rPr>
          <w:color w:val="808080" w:themeColor="background1" w:themeShade="80"/>
          <w:lang w:eastAsia="en-AU"/>
        </w:rPr>
        <w:t xml:space="preserve"> all</w:t>
      </w:r>
      <w:r w:rsidRPr="00AF7C8B">
        <w:rPr>
          <w:color w:val="808080" w:themeColor="background1" w:themeShade="80"/>
          <w:lang w:eastAsia="en-AU"/>
        </w:rPr>
        <w:t xml:space="preserve"> injuries</w:t>
      </w:r>
      <w:r w:rsidR="00D85D7B" w:rsidRPr="00AF7C8B">
        <w:rPr>
          <w:color w:val="808080" w:themeColor="background1" w:themeShade="80"/>
          <w:lang w:eastAsia="en-AU"/>
        </w:rPr>
        <w:t xml:space="preserve"> which occurred in Australia in 2011.</w:t>
      </w:r>
      <w:r w:rsidR="00C640D5" w:rsidRPr="00AF7C8B">
        <w:rPr>
          <w:color w:val="808080" w:themeColor="background1" w:themeShade="80"/>
          <w:lang w:eastAsia="en-AU"/>
        </w:rPr>
        <w:t xml:space="preserve"> </w:t>
      </w:r>
      <w:r w:rsidR="00D215FC" w:rsidRPr="00AF7C8B">
        <w:rPr>
          <w:color w:val="808080" w:themeColor="background1" w:themeShade="80"/>
          <w:lang w:eastAsia="en-AU"/>
        </w:rPr>
        <w:t>Alcohol was responsible for 28% of the burden of injury due to road traffic crashes, and 23% of the burden of injury due to suicide and self-inflicted injuries.</w:t>
      </w:r>
      <w:r w:rsidR="00061556" w:rsidRPr="00AF7C8B">
        <w:rPr>
          <w:color w:val="808080" w:themeColor="background1" w:themeShade="80"/>
          <w:lang w:eastAsia="en-AU"/>
        </w:rPr>
        <w:t xml:space="preserve"> </w:t>
      </w:r>
      <w:r w:rsidR="003D2181" w:rsidRPr="00AF7C8B">
        <w:rPr>
          <w:color w:val="808080" w:themeColor="background1" w:themeShade="80"/>
          <w:lang w:eastAsia="en-AU"/>
        </w:rPr>
        <w:t>M</w:t>
      </w:r>
      <w:r w:rsidR="00061556" w:rsidRPr="00AF7C8B">
        <w:rPr>
          <w:color w:val="808080" w:themeColor="background1" w:themeShade="80"/>
          <w:lang w:eastAsia="en-AU"/>
        </w:rPr>
        <w:t xml:space="preserve">ales are far more likely to </w:t>
      </w:r>
      <w:r w:rsidR="00E35E56" w:rsidRPr="00AF7C8B">
        <w:rPr>
          <w:color w:val="808080" w:themeColor="background1" w:themeShade="80"/>
          <w:lang w:eastAsia="en-AU"/>
        </w:rPr>
        <w:t>experience</w:t>
      </w:r>
      <w:r w:rsidR="00061556" w:rsidRPr="00AF7C8B">
        <w:rPr>
          <w:color w:val="808080" w:themeColor="background1" w:themeShade="80"/>
          <w:lang w:eastAsia="en-AU"/>
        </w:rPr>
        <w:t xml:space="preserve"> injury due to alcohol use</w:t>
      </w:r>
      <w:r w:rsidR="00E35E56" w:rsidRPr="00AF7C8B">
        <w:rPr>
          <w:color w:val="808080" w:themeColor="background1" w:themeShade="80"/>
          <w:lang w:eastAsia="en-AU"/>
        </w:rPr>
        <w:t>.</w:t>
      </w:r>
      <w:r w:rsidR="00C640D5" w:rsidRPr="00AF7C8B">
        <w:rPr>
          <w:color w:val="808080" w:themeColor="background1" w:themeShade="80"/>
          <w:lang w:eastAsia="en-AU"/>
        </w:rPr>
        <w:fldChar w:fldCharType="begin"/>
      </w:r>
      <w:r w:rsidR="00C640D5" w:rsidRPr="00AF7C8B">
        <w:rPr>
          <w:color w:val="808080" w:themeColor="background1" w:themeShade="80"/>
          <w:lang w:eastAsia="en-AU"/>
        </w:rPr>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sidR="00C640D5" w:rsidRPr="00AF7C8B">
        <w:rPr>
          <w:color w:val="808080" w:themeColor="background1" w:themeShade="80"/>
          <w:lang w:eastAsia="en-AU"/>
        </w:rPr>
        <w:fldChar w:fldCharType="separate"/>
      </w:r>
      <w:r w:rsidR="00C640D5" w:rsidRPr="00AF7C8B">
        <w:rPr>
          <w:noProof/>
          <w:color w:val="808080" w:themeColor="background1" w:themeShade="80"/>
          <w:vertAlign w:val="superscript"/>
          <w:lang w:eastAsia="en-AU"/>
        </w:rPr>
        <w:t>2</w:t>
      </w:r>
      <w:r w:rsidR="00C640D5" w:rsidRPr="00AF7C8B">
        <w:rPr>
          <w:color w:val="808080" w:themeColor="background1" w:themeShade="80"/>
          <w:lang w:eastAsia="en-AU"/>
        </w:rPr>
        <w:fldChar w:fldCharType="end"/>
      </w:r>
    </w:p>
    <w:p w:rsidR="00D85D7B" w:rsidRPr="00AF7C8B" w:rsidRDefault="00D85D7B" w:rsidP="00AF7C8B">
      <w:pPr>
        <w:shd w:val="clear" w:color="auto" w:fill="F2F2F2" w:themeFill="background1" w:themeFillShade="F2"/>
        <w:contextualSpacing/>
        <w:rPr>
          <w:color w:val="808080" w:themeColor="background1" w:themeShade="80"/>
          <w:lang w:eastAsia="en-AU"/>
        </w:rPr>
      </w:pPr>
    </w:p>
    <w:p w:rsidR="00D85D7B" w:rsidRPr="00AF7C8B" w:rsidRDefault="00D85D7B" w:rsidP="00AF7C8B">
      <w:pPr>
        <w:shd w:val="clear" w:color="auto" w:fill="F2F2F2" w:themeFill="background1" w:themeFillShade="F2"/>
        <w:contextualSpacing/>
        <w:rPr>
          <w:color w:val="808080" w:themeColor="background1" w:themeShade="80"/>
        </w:rPr>
      </w:pPr>
      <w:r w:rsidRPr="00AF7C8B">
        <w:rPr>
          <w:color w:val="808080" w:themeColor="background1" w:themeShade="80"/>
          <w:lang w:eastAsia="en-AU"/>
        </w:rPr>
        <w:t>Introducing effective strategies to reduce harmful drinking in the community will have a positive impact on the amount of injury caused by alcohol use. Priorities for addressing harmful use of alcohol are discussed in the previous section.</w:t>
      </w:r>
    </w:p>
    <w:p w:rsidR="00626C3F" w:rsidRPr="00E41DF3" w:rsidRDefault="00626C3F" w:rsidP="002F54AA">
      <w:pPr>
        <w:ind w:left="720"/>
        <w:contextualSpacing/>
      </w:pPr>
    </w:p>
    <w:p w:rsidR="00B73F95" w:rsidRDefault="00B73F95" w:rsidP="00CE2FEF">
      <w:pPr>
        <w:numPr>
          <w:ilvl w:val="0"/>
          <w:numId w:val="18"/>
        </w:numPr>
        <w:ind w:left="426" w:hanging="426"/>
        <w:contextualSpacing/>
      </w:pPr>
      <w:r w:rsidRPr="00E41DF3">
        <w:rPr>
          <w:lang w:eastAsia="en-AU"/>
        </w:rPr>
        <w:t>Injur</w:t>
      </w:r>
      <w:r>
        <w:rPr>
          <w:lang w:eastAsia="en-AU"/>
        </w:rPr>
        <w:t>ies were</w:t>
      </w:r>
      <w:r w:rsidRPr="00E41DF3">
        <w:rPr>
          <w:lang w:eastAsia="en-AU"/>
        </w:rPr>
        <w:t xml:space="preserve"> responsible for 9% of the burden </w:t>
      </w:r>
      <w:r>
        <w:rPr>
          <w:lang w:eastAsia="en-AU"/>
        </w:rPr>
        <w:t>of disease in Australia in 2011</w:t>
      </w:r>
      <w:r>
        <w:rPr>
          <w:lang w:eastAsia="en-AU"/>
        </w:rPr>
        <w:fldChar w:fldCharType="begin"/>
      </w:r>
      <w:r>
        <w:rPr>
          <w:lang w:eastAsia="en-AU"/>
        </w:rPr>
        <w:instrText xml:space="preserve"> ADDIN EN.CITE &lt;EndNote&gt;&lt;Cite&gt;&lt;Author&gt;Australian Institute of Health and Welfare&lt;/Author&gt;&lt;Year&gt;2016&lt;/Year&gt;&lt;RecNum&gt;121&lt;/RecNum&gt;&lt;DisplayText&gt;&lt;style face="superscript"&gt;2&lt;/style&gt;&lt;/DisplayText&gt;&lt;record&gt;&lt;rec-number&gt;121&lt;/rec-number&gt;&lt;foreign-keys&gt;&lt;key app="EN" db-id="zxa00wf2opvf9oeeset50xz7ezpfwre2v20z"&gt;121&lt;/key&gt;&lt;/foreign-keys&gt;&lt;ref-type name="Report"&gt;27&lt;/ref-type&gt;&lt;contributors&gt;&lt;authors&gt;&lt;author&gt;Australian Institute of Health and Welfare,&lt;/author&gt;&lt;/authors&gt;&lt;/contributors&gt;&lt;titles&gt;&lt;title&gt;Australian Burden of Disease Study: impact and causes of illness and death in Australia 2011. Series no. 3. Cat. no. BOD 4&lt;/title&gt;&lt;/titles&gt;&lt;dates&gt;&lt;year&gt;2016&lt;/year&gt;&lt;/dates&gt;&lt;pub-location&gt;Canberra&lt;/pub-location&gt;&lt;publisher&gt;Australian Institute of Health and Welfare&lt;/publisher&gt;&lt;urls&gt;&lt;related-urls&gt;&lt;url&gt;http://www.aihw.gov.au/publication-detail/?id=60129555173&lt;/url&gt;&lt;/related-urls&gt;&lt;/urls&gt;&lt;/record&gt;&lt;/Cite&gt;&lt;/EndNote&gt;</w:instrText>
      </w:r>
      <w:r>
        <w:rPr>
          <w:lang w:eastAsia="en-AU"/>
        </w:rPr>
        <w:fldChar w:fldCharType="separate"/>
      </w:r>
      <w:r w:rsidRPr="008E4A1B">
        <w:rPr>
          <w:noProof/>
          <w:vertAlign w:val="superscript"/>
          <w:lang w:eastAsia="en-AU"/>
        </w:rPr>
        <w:t>2</w:t>
      </w:r>
      <w:r>
        <w:rPr>
          <w:lang w:eastAsia="en-AU"/>
        </w:rPr>
        <w:fldChar w:fldCharType="end"/>
      </w:r>
    </w:p>
    <w:p w:rsidR="00B73F95" w:rsidRDefault="00B73F95" w:rsidP="00B73F95">
      <w:pPr>
        <w:ind w:left="426"/>
        <w:contextualSpacing/>
      </w:pPr>
    </w:p>
    <w:p w:rsidR="002F54AA" w:rsidRDefault="002F54AA" w:rsidP="00CE2FEF">
      <w:pPr>
        <w:numPr>
          <w:ilvl w:val="0"/>
          <w:numId w:val="18"/>
        </w:numPr>
        <w:ind w:left="426" w:hanging="426"/>
        <w:contextualSpacing/>
      </w:pPr>
      <w:r w:rsidRPr="00E41DF3">
        <w:t xml:space="preserve">Injuries were the fourth leading cause of death amongst Western Australians </w:t>
      </w:r>
      <w:r>
        <w:t xml:space="preserve">between </w:t>
      </w:r>
      <w:r w:rsidRPr="00E41DF3">
        <w:t xml:space="preserve">2009–2013, and the second most common cause of hospitalisation </w:t>
      </w:r>
      <w:r>
        <w:t xml:space="preserve">between </w:t>
      </w:r>
      <w:r w:rsidRPr="00E41DF3">
        <w:t>2010–2014</w:t>
      </w:r>
      <w:r w:rsidR="008E4A1B">
        <w:fldChar w:fldCharType="begin"/>
      </w:r>
      <w:r w:rsidR="005B3C51">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sidR="008E4A1B">
        <w:fldChar w:fldCharType="separate"/>
      </w:r>
      <w:r w:rsidR="005B3C51" w:rsidRPr="005B3C51">
        <w:rPr>
          <w:noProof/>
          <w:vertAlign w:val="superscript"/>
        </w:rPr>
        <w:t>182</w:t>
      </w:r>
      <w:r w:rsidR="008E4A1B">
        <w:fldChar w:fldCharType="end"/>
      </w:r>
      <w:r w:rsidR="00C90C37">
        <w:t xml:space="preserve"> </w:t>
      </w:r>
    </w:p>
    <w:p w:rsidR="002F54AA" w:rsidRPr="00E41DF3" w:rsidRDefault="002F54AA" w:rsidP="00B73F95">
      <w:pPr>
        <w:contextualSpacing/>
        <w:rPr>
          <w:lang w:eastAsia="en-AU"/>
        </w:rPr>
      </w:pPr>
    </w:p>
    <w:p w:rsidR="002F54AA" w:rsidRPr="00E41DF3" w:rsidRDefault="002F54AA" w:rsidP="00CE2FEF">
      <w:pPr>
        <w:numPr>
          <w:ilvl w:val="0"/>
          <w:numId w:val="18"/>
        </w:numPr>
        <w:ind w:left="426" w:hanging="426"/>
        <w:contextualSpacing/>
        <w:rPr>
          <w:lang w:eastAsia="en-AU"/>
        </w:rPr>
      </w:pPr>
      <w:r w:rsidRPr="00E41DF3">
        <w:rPr>
          <w:lang w:eastAsia="en-AU"/>
        </w:rPr>
        <w:t>The top five causes of community</w:t>
      </w:r>
      <w:r>
        <w:rPr>
          <w:rStyle w:val="FootnoteReference"/>
          <w:lang w:eastAsia="en-AU"/>
        </w:rPr>
        <w:footnoteReference w:id="7"/>
      </w:r>
      <w:r w:rsidRPr="00E41DF3">
        <w:rPr>
          <w:lang w:eastAsia="en-AU"/>
        </w:rPr>
        <w:t xml:space="preserve"> injury death in WA </w:t>
      </w:r>
      <w:r>
        <w:rPr>
          <w:lang w:eastAsia="en-AU"/>
        </w:rPr>
        <w:t>between</w:t>
      </w:r>
      <w:r w:rsidRPr="00E41DF3">
        <w:rPr>
          <w:lang w:eastAsia="en-AU"/>
        </w:rPr>
        <w:t xml:space="preserve"> 2009</w:t>
      </w:r>
      <w:r w:rsidRPr="00E41DF3">
        <w:t>–</w:t>
      </w:r>
      <w:r w:rsidRPr="00E41DF3">
        <w:rPr>
          <w:lang w:eastAsia="en-AU"/>
        </w:rPr>
        <w:t>2013 w</w:t>
      </w:r>
      <w:r>
        <w:rPr>
          <w:lang w:eastAsia="en-AU"/>
        </w:rPr>
        <w:t>ere</w:t>
      </w:r>
      <w:r w:rsidRPr="00E41DF3">
        <w:rPr>
          <w:lang w:eastAsia="en-AU"/>
        </w:rPr>
        <w:t xml:space="preserve"> self-harm, falls, transportation, poisoning and other unintentional injuries</w:t>
      </w:r>
      <w:r w:rsidR="008E4A1B">
        <w:rPr>
          <w:lang w:eastAsia="en-AU"/>
        </w:rPr>
        <w:fldChar w:fldCharType="begin"/>
      </w:r>
      <w:r w:rsidR="005B3C51">
        <w:rPr>
          <w:lang w:eastAsia="en-AU"/>
        </w:rPr>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sidR="008E4A1B">
        <w:rPr>
          <w:lang w:eastAsia="en-AU"/>
        </w:rPr>
        <w:fldChar w:fldCharType="separate"/>
      </w:r>
      <w:r w:rsidR="005B3C51" w:rsidRPr="005B3C51">
        <w:rPr>
          <w:noProof/>
          <w:vertAlign w:val="superscript"/>
          <w:lang w:eastAsia="en-AU"/>
        </w:rPr>
        <w:t>182</w:t>
      </w:r>
      <w:r w:rsidR="008E4A1B">
        <w:rPr>
          <w:lang w:eastAsia="en-AU"/>
        </w:rPr>
        <w:fldChar w:fldCharType="end"/>
      </w:r>
      <w:r w:rsidR="00DE46EC" w:rsidRPr="00E41DF3">
        <w:rPr>
          <w:lang w:eastAsia="en-AU"/>
        </w:rPr>
        <w:t xml:space="preserve"> </w:t>
      </w:r>
    </w:p>
    <w:p w:rsidR="002F54AA" w:rsidRPr="00E41DF3" w:rsidRDefault="002F54AA" w:rsidP="002F54AA">
      <w:pPr>
        <w:ind w:left="426" w:hanging="426"/>
        <w:contextualSpacing/>
      </w:pPr>
    </w:p>
    <w:p w:rsidR="002F54AA" w:rsidRDefault="002F54AA" w:rsidP="00CE2FEF">
      <w:pPr>
        <w:pStyle w:val="ListParagraph"/>
        <w:numPr>
          <w:ilvl w:val="0"/>
          <w:numId w:val="18"/>
        </w:numPr>
        <w:ind w:left="426" w:hanging="426"/>
        <w:rPr>
          <w:lang w:eastAsia="en-AU"/>
        </w:rPr>
      </w:pPr>
      <w:r w:rsidRPr="00E41DF3">
        <w:t xml:space="preserve">The </w:t>
      </w:r>
      <w:r>
        <w:t>leading</w:t>
      </w:r>
      <w:r w:rsidRPr="00E41DF3">
        <w:t xml:space="preserve"> causes of hospitalisation for community injury in WA residents </w:t>
      </w:r>
      <w:r>
        <w:t xml:space="preserve">between </w:t>
      </w:r>
      <w:r w:rsidRPr="00E41DF3">
        <w:t xml:space="preserve">2010–2014 </w:t>
      </w:r>
      <w:r>
        <w:t>were</w:t>
      </w:r>
      <w:r w:rsidRPr="00E41DF3">
        <w:t xml:space="preserve"> falls, unintentional injuries, transportation, interpersonal violence and self-harm</w:t>
      </w:r>
      <w:r w:rsidR="008E4A1B">
        <w:fldChar w:fldCharType="begin"/>
      </w:r>
      <w:r w:rsidR="005B3C51">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sidR="008E4A1B">
        <w:fldChar w:fldCharType="separate"/>
      </w:r>
      <w:r w:rsidR="005B3C51" w:rsidRPr="005B3C51">
        <w:rPr>
          <w:noProof/>
          <w:vertAlign w:val="superscript"/>
        </w:rPr>
        <w:t>182</w:t>
      </w:r>
      <w:r w:rsidR="008E4A1B">
        <w:fldChar w:fldCharType="end"/>
      </w:r>
    </w:p>
    <w:p w:rsidR="00C11C57" w:rsidRDefault="00C11C57" w:rsidP="00C11C57">
      <w:pPr>
        <w:pStyle w:val="ListParagraph"/>
        <w:rPr>
          <w:lang w:eastAsia="en-AU"/>
        </w:rPr>
      </w:pPr>
    </w:p>
    <w:p w:rsidR="00C11C57" w:rsidRDefault="002F54AA" w:rsidP="00CE2FEF">
      <w:pPr>
        <w:numPr>
          <w:ilvl w:val="0"/>
          <w:numId w:val="18"/>
        </w:numPr>
        <w:ind w:left="426" w:hanging="426"/>
        <w:contextualSpacing/>
        <w:rPr>
          <w:lang w:eastAsia="en-AU"/>
        </w:rPr>
      </w:pPr>
      <w:r w:rsidRPr="00E41DF3">
        <w:rPr>
          <w:lang w:eastAsia="en-AU"/>
        </w:rPr>
        <w:t xml:space="preserve">Overall, </w:t>
      </w:r>
      <w:r>
        <w:rPr>
          <w:lang w:eastAsia="en-AU"/>
        </w:rPr>
        <w:t>between</w:t>
      </w:r>
      <w:r w:rsidRPr="00E41DF3">
        <w:rPr>
          <w:lang w:eastAsia="en-AU"/>
        </w:rPr>
        <w:t xml:space="preserve"> 2009</w:t>
      </w:r>
      <w:r w:rsidRPr="00E41DF3">
        <w:t>–</w:t>
      </w:r>
      <w:r w:rsidRPr="00E41DF3">
        <w:rPr>
          <w:lang w:eastAsia="en-AU"/>
        </w:rPr>
        <w:t>2013</w:t>
      </w:r>
      <w:r>
        <w:rPr>
          <w:lang w:eastAsia="en-AU"/>
        </w:rPr>
        <w:t xml:space="preserve"> </w:t>
      </w:r>
      <w:r w:rsidRPr="00E41DF3">
        <w:rPr>
          <w:lang w:eastAsia="en-AU"/>
        </w:rPr>
        <w:t xml:space="preserve">males </w:t>
      </w:r>
      <w:r>
        <w:rPr>
          <w:lang w:eastAsia="en-AU"/>
        </w:rPr>
        <w:t>were</w:t>
      </w:r>
      <w:r w:rsidRPr="00E41DF3">
        <w:rPr>
          <w:lang w:eastAsia="en-AU"/>
        </w:rPr>
        <w:t xml:space="preserve"> more likely to die or be hospitalised fr</w:t>
      </w:r>
      <w:r>
        <w:rPr>
          <w:lang w:eastAsia="en-AU"/>
        </w:rPr>
        <w:t>om</w:t>
      </w:r>
      <w:r w:rsidRPr="00E41DF3">
        <w:rPr>
          <w:lang w:eastAsia="en-AU"/>
        </w:rPr>
        <w:t xml:space="preserve"> injury than females. Fall</w:t>
      </w:r>
      <w:r>
        <w:rPr>
          <w:lang w:eastAsia="en-AU"/>
        </w:rPr>
        <w:t>s-</w:t>
      </w:r>
      <w:r w:rsidRPr="00E41DF3">
        <w:rPr>
          <w:lang w:eastAsia="en-AU"/>
        </w:rPr>
        <w:t xml:space="preserve">related injuries </w:t>
      </w:r>
      <w:r>
        <w:rPr>
          <w:lang w:eastAsia="en-AU"/>
        </w:rPr>
        <w:t>were</w:t>
      </w:r>
      <w:r w:rsidRPr="00E41DF3">
        <w:rPr>
          <w:lang w:eastAsia="en-AU"/>
        </w:rPr>
        <w:t xml:space="preserve"> the only injury type where female</w:t>
      </w:r>
      <w:r>
        <w:rPr>
          <w:lang w:eastAsia="en-AU"/>
        </w:rPr>
        <w:t>s were</w:t>
      </w:r>
      <w:r w:rsidRPr="00E41DF3">
        <w:rPr>
          <w:lang w:eastAsia="en-AU"/>
        </w:rPr>
        <w:t xml:space="preserve"> </w:t>
      </w:r>
      <w:r w:rsidRPr="00BC5482">
        <w:rPr>
          <w:lang w:eastAsia="en-AU"/>
        </w:rPr>
        <w:t>at greater risk of dying or being hospitalised than males</w:t>
      </w:r>
      <w:r w:rsidR="008E4A1B">
        <w:rPr>
          <w:lang w:eastAsia="en-AU"/>
        </w:rPr>
        <w:fldChar w:fldCharType="begin"/>
      </w:r>
      <w:r w:rsidR="005B3C51">
        <w:rPr>
          <w:lang w:eastAsia="en-AU"/>
        </w:rPr>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sidR="008E4A1B">
        <w:rPr>
          <w:lang w:eastAsia="en-AU"/>
        </w:rPr>
        <w:fldChar w:fldCharType="separate"/>
      </w:r>
      <w:r w:rsidR="005B3C51" w:rsidRPr="005B3C51">
        <w:rPr>
          <w:noProof/>
          <w:vertAlign w:val="superscript"/>
          <w:lang w:eastAsia="en-AU"/>
        </w:rPr>
        <w:t>182</w:t>
      </w:r>
      <w:r w:rsidR="008E4A1B">
        <w:rPr>
          <w:lang w:eastAsia="en-AU"/>
        </w:rPr>
        <w:fldChar w:fldCharType="end"/>
      </w:r>
    </w:p>
    <w:p w:rsidR="002F54AA" w:rsidRPr="00BC5482" w:rsidRDefault="002F54AA" w:rsidP="009817CA">
      <w:pPr>
        <w:ind w:left="426"/>
        <w:contextualSpacing/>
        <w:rPr>
          <w:lang w:eastAsia="en-AU"/>
        </w:rPr>
      </w:pPr>
    </w:p>
    <w:p w:rsidR="002F54AA" w:rsidRDefault="002F54AA" w:rsidP="00CE2FEF">
      <w:pPr>
        <w:numPr>
          <w:ilvl w:val="0"/>
          <w:numId w:val="18"/>
        </w:numPr>
        <w:ind w:left="426" w:hanging="426"/>
        <w:contextualSpacing/>
      </w:pPr>
      <w:r w:rsidRPr="00BC5482">
        <w:t>Transport, drowning, suicide, poisoning and interpersonal violence were the</w:t>
      </w:r>
      <w:r w:rsidR="00181A10">
        <w:t xml:space="preserve"> </w:t>
      </w:r>
      <w:r w:rsidRPr="00BC5482">
        <w:t>leading causes of death in WA for young people aged 1–24 years (2009–2013). Falls were the most common cause of hospitalisation due to injury among child</w:t>
      </w:r>
      <w:r w:rsidR="00010649">
        <w:t>ren aged 1–14 years (2010–2014)</w:t>
      </w:r>
      <w:r w:rsidR="008E4A1B">
        <w:fldChar w:fldCharType="begin"/>
      </w:r>
      <w:r w:rsidR="005B3C51">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sidR="008E4A1B">
        <w:fldChar w:fldCharType="separate"/>
      </w:r>
      <w:r w:rsidR="005B3C51" w:rsidRPr="005B3C51">
        <w:rPr>
          <w:noProof/>
          <w:vertAlign w:val="superscript"/>
        </w:rPr>
        <w:t>182</w:t>
      </w:r>
      <w:r w:rsidR="008E4A1B">
        <w:fldChar w:fldCharType="end"/>
      </w:r>
      <w:r w:rsidRPr="00BC5482">
        <w:t xml:space="preserve"> </w:t>
      </w:r>
    </w:p>
    <w:p w:rsidR="005A58F7" w:rsidRDefault="005A58F7" w:rsidP="005A58F7">
      <w:pPr>
        <w:contextualSpacing/>
      </w:pPr>
    </w:p>
    <w:p w:rsidR="002F54AA" w:rsidRPr="00BC5482" w:rsidRDefault="002F54AA" w:rsidP="00CE2FEF">
      <w:pPr>
        <w:numPr>
          <w:ilvl w:val="0"/>
          <w:numId w:val="18"/>
        </w:numPr>
        <w:ind w:left="426" w:hanging="426"/>
        <w:contextualSpacing/>
      </w:pPr>
      <w:r w:rsidRPr="00BC5482">
        <w:t>In each year between 2001–2011, nearly 80 children aged 1–19 years died from preventable injuries in WA, 10,580 injured children were hospitalised</w:t>
      </w:r>
      <w:r w:rsidR="00181A10">
        <w:t xml:space="preserve"> </w:t>
      </w:r>
      <w:r w:rsidRPr="00BC5482">
        <w:t>and hospital emergency departments</w:t>
      </w:r>
      <w:r w:rsidR="00181A10">
        <w:t xml:space="preserve"> </w:t>
      </w:r>
      <w:r w:rsidRPr="00BC5482">
        <w:t xml:space="preserve">treated more </w:t>
      </w:r>
      <w:r>
        <w:t xml:space="preserve">than </w:t>
      </w:r>
      <w:r w:rsidRPr="00BC5482">
        <w:t xml:space="preserve">50,000 children due to </w:t>
      </w:r>
      <w:r w:rsidRPr="00BC5482">
        <w:lastRenderedPageBreak/>
        <w:t>injury.</w:t>
      </w:r>
      <w:r w:rsidR="008E4A1B">
        <w:fldChar w:fldCharType="begin"/>
      </w:r>
      <w:r w:rsidR="005B3C51">
        <w:instrText xml:space="preserve"> ADDIN EN.CITE &lt;EndNote&gt;&lt;Cite&gt;&lt;Author&gt;Leeds&lt;/Author&gt;&lt;Year&gt;2015&lt;/Year&gt;&lt;RecNum&gt;588&lt;/RecNum&gt;&lt;DisplayText&gt;&lt;style face="superscript"&gt;183&lt;/style&gt;&lt;/DisplayText&gt;&lt;record&gt;&lt;rec-number&gt;588&lt;/rec-number&gt;&lt;foreign-keys&gt;&lt;key app="EN" db-id="zxa00wf2opvf9oeeset50xz7ezpfwre2v20z"&gt;588&lt;/key&gt;&lt;/foreign-keys&gt;&lt;ref-type name="Report"&gt;27&lt;/ref-type&gt;&lt;contributors&gt;&lt;authors&gt;&lt;author&gt;Leeds, M&lt;/author&gt;&lt;author&gt;Richards, J&lt;/author&gt;&lt;author&gt;Stepan, A&lt;/author&gt;&lt;author&gt;Xiao, A&lt;/author&gt;&lt;author&gt;Skarin, S&lt;/author&gt;&lt;/authors&gt;&lt;/contributors&gt;&lt;titles&gt;&lt;title&gt;WA childhood injury report: patterns of injuries among 0-19 year olds in Western Australia, 2001-2011&lt;/title&gt;&lt;/titles&gt;&lt;dates&gt;&lt;year&gt;2015&lt;/year&gt;&lt;/dates&gt;&lt;pub-location&gt;Perth&lt;/pub-location&gt;&lt;publisher&gt;Kidsafe WA&lt;/publisher&gt;&lt;urls&gt;&lt;related-urls&gt;&lt;url&gt;http://www.kidsafewa.com.au/_assets/files/KidsafeWAChildhoodInjuryReport.pdf&lt;/url&gt;&lt;/related-urls&gt;&lt;/urls&gt;&lt;/record&gt;&lt;/Cite&gt;&lt;/EndNote&gt;</w:instrText>
      </w:r>
      <w:r w:rsidR="008E4A1B">
        <w:fldChar w:fldCharType="separate"/>
      </w:r>
      <w:r w:rsidR="005B3C51" w:rsidRPr="005B3C51">
        <w:rPr>
          <w:noProof/>
          <w:vertAlign w:val="superscript"/>
        </w:rPr>
        <w:t>183</w:t>
      </w:r>
      <w:r w:rsidR="008E4A1B">
        <w:fldChar w:fldCharType="end"/>
      </w:r>
    </w:p>
    <w:p w:rsidR="002F54AA" w:rsidRPr="00BC5482" w:rsidRDefault="002F54AA" w:rsidP="002F54AA">
      <w:pPr>
        <w:ind w:left="426" w:hanging="426"/>
        <w:contextualSpacing/>
      </w:pPr>
    </w:p>
    <w:p w:rsidR="002F54AA" w:rsidRPr="00BC5482" w:rsidRDefault="002F54AA" w:rsidP="00CE2FEF">
      <w:pPr>
        <w:numPr>
          <w:ilvl w:val="0"/>
          <w:numId w:val="18"/>
        </w:numPr>
        <w:ind w:left="426" w:hanging="426"/>
        <w:contextualSpacing/>
      </w:pPr>
      <w:r w:rsidRPr="00BC5482">
        <w:t>Children aged four and under had the highest death rates du</w:t>
      </w:r>
      <w:r w:rsidR="00010649">
        <w:t>e to drowning between 2009–2013</w:t>
      </w:r>
      <w:r w:rsidR="008E4A1B">
        <w:fldChar w:fldCharType="begin"/>
      </w:r>
      <w:r w:rsidR="005B3C51">
        <w:instrText xml:space="preserve"> ADDIN EN.CITE &lt;EndNote&gt;&lt;Cite&gt;&lt;Author&gt;Leeds&lt;/Author&gt;&lt;Year&gt;2015&lt;/Year&gt;&lt;RecNum&gt;588&lt;/RecNum&gt;&lt;DisplayText&gt;&lt;style face="superscript"&gt;183&lt;/style&gt;&lt;/DisplayText&gt;&lt;record&gt;&lt;rec-number&gt;588&lt;/rec-number&gt;&lt;foreign-keys&gt;&lt;key app="EN" db-id="zxa00wf2opvf9oeeset50xz7ezpfwre2v20z"&gt;588&lt;/key&gt;&lt;/foreign-keys&gt;&lt;ref-type name="Report"&gt;27&lt;/ref-type&gt;&lt;contributors&gt;&lt;authors&gt;&lt;author&gt;Leeds, M&lt;/author&gt;&lt;author&gt;Richards, J&lt;/author&gt;&lt;author&gt;Stepan, A&lt;/author&gt;&lt;author&gt;Xiao, A&lt;/author&gt;&lt;author&gt;Skarin, S&lt;/author&gt;&lt;/authors&gt;&lt;/contributors&gt;&lt;titles&gt;&lt;title&gt;WA childhood injury report: patterns of injuries among 0-19 year olds in Western Australia, 2001-2011&lt;/title&gt;&lt;/titles&gt;&lt;dates&gt;&lt;year&gt;2015&lt;/year&gt;&lt;/dates&gt;&lt;pub-location&gt;Perth&lt;/pub-location&gt;&lt;publisher&gt;Kidsafe WA&lt;/publisher&gt;&lt;urls&gt;&lt;related-urls&gt;&lt;url&gt;http://www.kidsafewa.com.au/_assets/files/KidsafeWAChildhoodInjuryReport.pdf&lt;/url&gt;&lt;/related-urls&gt;&lt;/urls&gt;&lt;/record&gt;&lt;/Cite&gt;&lt;/EndNote&gt;</w:instrText>
      </w:r>
      <w:r w:rsidR="008E4A1B">
        <w:fldChar w:fldCharType="separate"/>
      </w:r>
      <w:r w:rsidR="005B3C51" w:rsidRPr="005B3C51">
        <w:rPr>
          <w:noProof/>
          <w:vertAlign w:val="superscript"/>
        </w:rPr>
        <w:t>183</w:t>
      </w:r>
      <w:r w:rsidR="008E4A1B">
        <w:fldChar w:fldCharType="end"/>
      </w:r>
    </w:p>
    <w:p w:rsidR="002F54AA" w:rsidRPr="00BC5482" w:rsidRDefault="002F54AA" w:rsidP="002F54AA">
      <w:pPr>
        <w:ind w:left="426" w:hanging="426"/>
        <w:contextualSpacing/>
      </w:pPr>
    </w:p>
    <w:p w:rsidR="002F54AA" w:rsidRPr="00BC5482" w:rsidRDefault="002F54AA" w:rsidP="00CE2FEF">
      <w:pPr>
        <w:numPr>
          <w:ilvl w:val="0"/>
          <w:numId w:val="18"/>
        </w:numPr>
        <w:ind w:left="426" w:hanging="426"/>
        <w:contextualSpacing/>
      </w:pPr>
      <w:r w:rsidRPr="00BC5482">
        <w:t>Aboriginal people were three times more likely to be hospitalised for a community injury</w:t>
      </w:r>
      <w:r>
        <w:t xml:space="preserve"> between 2010</w:t>
      </w:r>
      <w:r w:rsidR="00796AA3">
        <w:t>–</w:t>
      </w:r>
      <w:r>
        <w:t>2014</w:t>
      </w:r>
      <w:r w:rsidRPr="00BC5482">
        <w:t>, and over three times more likely to die from community injury than non-Aboriginal populations in WA between 2009–2013</w:t>
      </w:r>
      <w:r w:rsidR="008E4A1B">
        <w:fldChar w:fldCharType="begin"/>
      </w:r>
      <w:r w:rsidR="005B3C51">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sidR="008E4A1B">
        <w:fldChar w:fldCharType="separate"/>
      </w:r>
      <w:r w:rsidR="005B3C51" w:rsidRPr="005B3C51">
        <w:rPr>
          <w:noProof/>
          <w:vertAlign w:val="superscript"/>
        </w:rPr>
        <w:t>182</w:t>
      </w:r>
      <w:r w:rsidR="008E4A1B">
        <w:fldChar w:fldCharType="end"/>
      </w:r>
    </w:p>
    <w:p w:rsidR="002F54AA" w:rsidRPr="00BC5482" w:rsidRDefault="002F54AA" w:rsidP="002F54AA">
      <w:pPr>
        <w:ind w:left="426" w:hanging="426"/>
        <w:contextualSpacing/>
      </w:pPr>
    </w:p>
    <w:p w:rsidR="002F54AA" w:rsidRPr="00BC5482" w:rsidRDefault="002F54AA" w:rsidP="00CE2FEF">
      <w:pPr>
        <w:numPr>
          <w:ilvl w:val="0"/>
          <w:numId w:val="18"/>
        </w:numPr>
        <w:ind w:left="426" w:hanging="426"/>
        <w:contextualSpacing/>
      </w:pPr>
      <w:r w:rsidRPr="00BC5482">
        <w:t>Between 2000–2008, people living in the most disadvantaged areas had a</w:t>
      </w:r>
      <w:r>
        <w:t>pproximately</w:t>
      </w:r>
      <w:r w:rsidRPr="00BC5482">
        <w:t xml:space="preserve"> twice the risk of dying from injury compared with people living with greater advantage. Those living in regional or remote areas were also at higher risk</w:t>
      </w:r>
      <w:r w:rsidR="008E4A1B">
        <w:fldChar w:fldCharType="begin"/>
      </w:r>
      <w:r w:rsidR="005B3C51">
        <w:instrText xml:space="preserve"> ADDIN EN.CITE &lt;EndNote&gt;&lt;Cite&gt;&lt;Author&gt;Ballestas&lt;/Author&gt;&lt;Year&gt;2011&lt;/Year&gt;&lt;RecNum&gt;228&lt;/RecNum&gt;&lt;DisplayText&gt;&lt;style face="superscript"&gt;180&lt;/style&gt;&lt;/DisplayText&gt;&lt;record&gt;&lt;rec-number&gt;228&lt;/rec-number&gt;&lt;foreign-keys&gt;&lt;key app="EN" db-id="zxa00wf2opvf9oeeset50xz7ezpfwre2v20z"&gt;228&lt;/key&gt;&lt;/foreign-keys&gt;&lt;ref-type name="Report"&gt;27&lt;/ref-type&gt;&lt;contributors&gt;&lt;authors&gt;&lt;author&gt;Ballestas, T&lt;/author&gt;&lt;author&gt;Xiao, J&lt;/author&gt;&lt;author&gt;McEvoy, S&lt;/author&gt;&lt;author&gt;Somerford, P&lt;/author&gt;&lt;/authors&gt;&lt;/contributors&gt;&lt;titles&gt;&lt;title&gt;The epidemiology of injury in Western Australia, 2000-2008&lt;/title&gt;&lt;/titles&gt;&lt;dates&gt;&lt;year&gt;2011&lt;/year&gt;&lt;/dates&gt;&lt;pub-location&gt;Perth&lt;/pub-location&gt;&lt;publisher&gt;Department of Health, Western Australia&lt;/publisher&gt;&lt;urls&gt;&lt;related-urls&gt;&lt;url&gt;http://www.public.health.wa.gov.au/cproot/4228/2/injury_report_2011.pdf&lt;/url&gt;&lt;/related-urls&gt;&lt;/urls&gt;&lt;/record&gt;&lt;/Cite&gt;&lt;/EndNote&gt;</w:instrText>
      </w:r>
      <w:r w:rsidR="008E4A1B">
        <w:fldChar w:fldCharType="separate"/>
      </w:r>
      <w:r w:rsidR="005B3C51" w:rsidRPr="005B3C51">
        <w:rPr>
          <w:noProof/>
          <w:vertAlign w:val="superscript"/>
        </w:rPr>
        <w:t>180</w:t>
      </w:r>
      <w:r w:rsidR="008E4A1B">
        <w:fldChar w:fldCharType="end"/>
      </w:r>
    </w:p>
    <w:p w:rsidR="002F54AA" w:rsidRDefault="002F54AA" w:rsidP="002F54AA">
      <w:pPr>
        <w:contextualSpacing/>
      </w:pPr>
    </w:p>
    <w:p w:rsidR="000E2B79" w:rsidRPr="00E41DF3" w:rsidRDefault="000E2B79" w:rsidP="002F54AA">
      <w:pPr>
        <w:contextualSpacing/>
      </w:pPr>
    </w:p>
    <w:p w:rsidR="002F54AA" w:rsidRPr="008552C1" w:rsidRDefault="002F54AA" w:rsidP="002F54AA">
      <w:pPr>
        <w:pStyle w:val="Heading2"/>
        <w:rPr>
          <w:rFonts w:eastAsia="Times New Roman"/>
        </w:rPr>
      </w:pPr>
      <w:bookmarkStart w:id="55" w:name="_Toc454291350"/>
      <w:bookmarkStart w:id="56" w:name="_Toc456354364"/>
      <w:bookmarkStart w:id="57" w:name="_Toc462049340"/>
      <w:r w:rsidRPr="008552C1">
        <w:rPr>
          <w:rFonts w:eastAsia="Times New Roman"/>
        </w:rPr>
        <w:t xml:space="preserve">Priorities </w:t>
      </w:r>
      <w:r w:rsidR="009F3E79" w:rsidRPr="008552C1">
        <w:rPr>
          <w:rFonts w:eastAsia="Times New Roman"/>
        </w:rPr>
        <w:t>for preventing</w:t>
      </w:r>
      <w:r w:rsidRPr="008552C1">
        <w:rPr>
          <w:rFonts w:eastAsia="Times New Roman"/>
        </w:rPr>
        <w:t xml:space="preserve"> injury </w:t>
      </w:r>
      <w:r w:rsidR="009F3E79" w:rsidRPr="008552C1">
        <w:rPr>
          <w:rFonts w:eastAsia="Times New Roman"/>
        </w:rPr>
        <w:t>a</w:t>
      </w:r>
      <w:r w:rsidRPr="008552C1">
        <w:rPr>
          <w:rFonts w:eastAsia="Times New Roman"/>
        </w:rPr>
        <w:t xml:space="preserve">nd </w:t>
      </w:r>
      <w:r w:rsidR="009F3E79" w:rsidRPr="008552C1">
        <w:rPr>
          <w:rFonts w:eastAsia="Times New Roman"/>
        </w:rPr>
        <w:t xml:space="preserve">promoting </w:t>
      </w:r>
      <w:r w:rsidRPr="008552C1">
        <w:rPr>
          <w:rFonts w:eastAsia="Times New Roman"/>
        </w:rPr>
        <w:t xml:space="preserve">safer communities in </w:t>
      </w:r>
      <w:bookmarkEnd w:id="55"/>
      <w:r w:rsidRPr="008552C1">
        <w:rPr>
          <w:rFonts w:eastAsia="Times New Roman"/>
        </w:rPr>
        <w:t>WA</w:t>
      </w:r>
      <w:bookmarkEnd w:id="56"/>
      <w:bookmarkEnd w:id="57"/>
      <w:r w:rsidR="00181A10" w:rsidRPr="008552C1">
        <w:rPr>
          <w:rFonts w:eastAsia="Times New Roman"/>
        </w:rPr>
        <w:t xml:space="preserve"> </w:t>
      </w:r>
    </w:p>
    <w:p w:rsidR="002F54AA" w:rsidRDefault="002F54AA" w:rsidP="002F54AA">
      <w:pPr>
        <w:contextualSpacing/>
        <w:rPr>
          <w:lang w:eastAsia="en-AU"/>
        </w:rPr>
      </w:pPr>
    </w:p>
    <w:p w:rsidR="002F54AA" w:rsidRPr="008552C1" w:rsidRDefault="00F65347" w:rsidP="00BE7DFA">
      <w:pPr>
        <w:shd w:val="clear" w:color="auto" w:fill="F2F2F2" w:themeFill="background1" w:themeFillShade="F2"/>
        <w:rPr>
          <w:color w:val="808080" w:themeColor="background1" w:themeShade="80"/>
        </w:rPr>
      </w:pPr>
      <w:r>
        <w:rPr>
          <w:color w:val="808080" w:themeColor="background1" w:themeShade="80"/>
        </w:rPr>
        <w:t>The Department of Health</w:t>
      </w:r>
      <w:r w:rsidR="002F54AA" w:rsidRPr="008552C1">
        <w:rPr>
          <w:color w:val="808080" w:themeColor="background1" w:themeShade="80"/>
        </w:rPr>
        <w:t xml:space="preserve"> works with a range of external stakeholders, including other government departments and funded non-government agencies, to improve injury prevention and encourage safer communities in this State. In some areas </w:t>
      </w:r>
      <w:r>
        <w:rPr>
          <w:color w:val="808080" w:themeColor="background1" w:themeShade="80"/>
        </w:rPr>
        <w:t>the Department of Health</w:t>
      </w:r>
      <w:r w:rsidR="002F54AA" w:rsidRPr="008552C1">
        <w:rPr>
          <w:color w:val="808080" w:themeColor="background1" w:themeShade="80"/>
        </w:rPr>
        <w:t xml:space="preserve"> takes a lead role, but in areas led by other agencies—such as road safety, mental health, </w:t>
      </w:r>
      <w:r w:rsidR="00385C75" w:rsidRPr="008552C1">
        <w:rPr>
          <w:color w:val="808080" w:themeColor="background1" w:themeShade="80"/>
        </w:rPr>
        <w:t xml:space="preserve">suicide prevention, </w:t>
      </w:r>
      <w:r w:rsidR="002F54AA" w:rsidRPr="008552C1">
        <w:rPr>
          <w:color w:val="808080" w:themeColor="background1" w:themeShade="80"/>
        </w:rPr>
        <w:t>occupational health and safety, product safety and crime prevention—</w:t>
      </w:r>
      <w:r>
        <w:rPr>
          <w:color w:val="808080" w:themeColor="background1" w:themeShade="80"/>
        </w:rPr>
        <w:t>the Department</w:t>
      </w:r>
      <w:r w:rsidR="002F54AA" w:rsidRPr="008552C1">
        <w:rPr>
          <w:color w:val="808080" w:themeColor="background1" w:themeShade="80"/>
        </w:rPr>
        <w:t xml:space="preserve"> provides support by offering a skills base, models of practice, and data provision and analyses.</w:t>
      </w:r>
    </w:p>
    <w:p w:rsidR="002F54AA" w:rsidRDefault="002F54AA" w:rsidP="002F54AA">
      <w:pPr>
        <w:rPr>
          <w:rFonts w:eastAsia="Arial"/>
          <w:color w:val="1F497D"/>
          <w:sz w:val="28"/>
          <w:szCs w:val="28"/>
        </w:rPr>
      </w:pPr>
    </w:p>
    <w:p w:rsidR="00F81875" w:rsidRPr="008552C1" w:rsidRDefault="00F81875" w:rsidP="00F81875">
      <w:pPr>
        <w:rPr>
          <w:rFonts w:eastAsia="Arial"/>
          <w:color w:val="808080" w:themeColor="background1" w:themeShade="80"/>
          <w:sz w:val="28"/>
          <w:szCs w:val="28"/>
        </w:rPr>
      </w:pPr>
      <w:r w:rsidRPr="008552C1">
        <w:rPr>
          <w:rFonts w:eastAsia="Arial"/>
          <w:color w:val="808080" w:themeColor="background1" w:themeShade="80"/>
          <w:sz w:val="28"/>
          <w:szCs w:val="28"/>
        </w:rPr>
        <w:t>Protect children from injury</w:t>
      </w:r>
    </w:p>
    <w:p w:rsidR="00F81875" w:rsidRPr="00E41DF3" w:rsidRDefault="00F81875" w:rsidP="00F81875"/>
    <w:p w:rsidR="00F81875" w:rsidRDefault="00F81875" w:rsidP="00F81875">
      <w:pPr>
        <w:rPr>
          <w:rFonts w:eastAsiaTheme="minorHAnsi" w:cstheme="minorBidi"/>
          <w:szCs w:val="22"/>
          <w:lang w:val="en-AU"/>
        </w:rPr>
      </w:pPr>
      <w:r>
        <w:t>C</w:t>
      </w:r>
      <w:r w:rsidRPr="00E41DF3">
        <w:t>hildren’s developmental stage</w:t>
      </w:r>
      <w:r>
        <w:t>s</w:t>
      </w:r>
      <w:r w:rsidRPr="00E41DF3">
        <w:t xml:space="preserve"> influence</w:t>
      </w:r>
      <w:r>
        <w:t xml:space="preserve"> the kinds of injury which are more likely to occur, and the</w:t>
      </w:r>
      <w:r w:rsidRPr="00E41DF3">
        <w:t xml:space="preserve"> </w:t>
      </w:r>
      <w:r>
        <w:t xml:space="preserve">types of interventions needed to counter them. </w:t>
      </w:r>
      <w:r w:rsidRPr="003936D9">
        <w:rPr>
          <w:rFonts w:eastAsiaTheme="minorHAnsi" w:cstheme="minorBidi"/>
          <w:szCs w:val="22"/>
          <w:lang w:val="en-AU"/>
        </w:rPr>
        <w:t>Leading causes of child injury include motor vehicle crashes, drowning, self-harm, poisoning and falls</w:t>
      </w:r>
      <w:r>
        <w:rPr>
          <w:rFonts w:eastAsiaTheme="minorHAnsi" w:cstheme="minorBidi"/>
          <w:szCs w:val="22"/>
          <w:lang w:val="en-AU"/>
        </w:rPr>
        <w:t>.</w:t>
      </w:r>
      <w:r>
        <w:rPr>
          <w:rFonts w:eastAsiaTheme="minorHAnsi" w:cstheme="minorBidi"/>
          <w:szCs w:val="22"/>
          <w:lang w:val="en-AU"/>
        </w:rPr>
        <w:fldChar w:fldCharType="begin"/>
      </w:r>
      <w:r w:rsidR="005B3C51">
        <w:rPr>
          <w:rFonts w:eastAsiaTheme="minorHAnsi" w:cstheme="minorBidi"/>
          <w:szCs w:val="22"/>
          <w:lang w:val="en-AU"/>
        </w:rPr>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Pr>
          <w:rFonts w:eastAsiaTheme="minorHAnsi" w:cstheme="minorBidi"/>
          <w:szCs w:val="22"/>
          <w:lang w:val="en-AU"/>
        </w:rPr>
        <w:fldChar w:fldCharType="separate"/>
      </w:r>
      <w:r w:rsidR="005B3C51" w:rsidRPr="005B3C51">
        <w:rPr>
          <w:rFonts w:eastAsiaTheme="minorHAnsi" w:cstheme="minorBidi"/>
          <w:noProof/>
          <w:szCs w:val="22"/>
          <w:vertAlign w:val="superscript"/>
          <w:lang w:val="en-AU"/>
        </w:rPr>
        <w:t>182</w:t>
      </w:r>
      <w:r>
        <w:rPr>
          <w:rFonts w:eastAsiaTheme="minorHAnsi" w:cstheme="minorBidi"/>
          <w:szCs w:val="22"/>
          <w:lang w:val="en-AU"/>
        </w:rPr>
        <w:fldChar w:fldCharType="end"/>
      </w:r>
      <w:r>
        <w:rPr>
          <w:rFonts w:eastAsiaTheme="minorHAnsi" w:cstheme="minorBidi"/>
          <w:szCs w:val="22"/>
          <w:lang w:val="en-AU"/>
        </w:rPr>
        <w:t xml:space="preserve"> </w:t>
      </w:r>
    </w:p>
    <w:p w:rsidR="00F81875" w:rsidRDefault="00F81875" w:rsidP="00F81875">
      <w:pPr>
        <w:rPr>
          <w:rFonts w:eastAsiaTheme="minorHAnsi" w:cstheme="minorBidi"/>
          <w:szCs w:val="22"/>
          <w:lang w:val="en-AU"/>
        </w:rPr>
      </w:pPr>
    </w:p>
    <w:p w:rsidR="00F81875" w:rsidRDefault="00F81875" w:rsidP="00F81875">
      <w:r w:rsidRPr="00E41DF3">
        <w:t>Promoting home</w:t>
      </w:r>
      <w:r>
        <w:t>-</w:t>
      </w:r>
      <w:r w:rsidRPr="00E41DF3">
        <w:t>safety strategies</w:t>
      </w:r>
      <w:r>
        <w:t>, such as</w:t>
      </w:r>
      <w:r w:rsidRPr="00E41DF3">
        <w:t xml:space="preserve"> keeping medicines and household products out of reach</w:t>
      </w:r>
      <w:r>
        <w:t>;</w:t>
      </w:r>
      <w:r w:rsidRPr="00E41DF3">
        <w:t xml:space="preserve"> creating safer environments </w:t>
      </w:r>
      <w:r>
        <w:t>for</w:t>
      </w:r>
      <w:r w:rsidRPr="00E41DF3">
        <w:t xml:space="preserve"> </w:t>
      </w:r>
      <w:r>
        <w:t xml:space="preserve">backyard and </w:t>
      </w:r>
      <w:r w:rsidRPr="00E41DF3">
        <w:t>playground equipment</w:t>
      </w:r>
      <w:r>
        <w:t xml:space="preserve">; and </w:t>
      </w:r>
      <w:r w:rsidRPr="00E41DF3">
        <w:t>promoting good mental health and reducing risk</w:t>
      </w:r>
      <w:r>
        <w:t>-</w:t>
      </w:r>
      <w:r w:rsidRPr="00E41DF3">
        <w:t>taking behavio</w:t>
      </w:r>
      <w:r>
        <w:t>u</w:t>
      </w:r>
      <w:r w:rsidRPr="00E41DF3">
        <w:t>rs</w:t>
      </w:r>
      <w:r>
        <w:t xml:space="preserve"> </w:t>
      </w:r>
      <w:r w:rsidRPr="00E41DF3">
        <w:t>are key strategies</w:t>
      </w:r>
      <w:r>
        <w:t xml:space="preserve"> for protecting</w:t>
      </w:r>
      <w:r w:rsidR="00181A10">
        <w:t xml:space="preserve"> </w:t>
      </w:r>
      <w:r>
        <w:t>toddlers, children and teenagers from</w:t>
      </w:r>
      <w:r w:rsidR="00181A10">
        <w:t xml:space="preserve"> </w:t>
      </w:r>
      <w:r>
        <w:t>harm.</w:t>
      </w:r>
      <w:r>
        <w:fldChar w:fldCharType="begin"/>
      </w:r>
      <w:r w:rsidR="005B3C51">
        <w:instrText xml:space="preserve"> ADDIN EN.CITE &lt;EndNote&gt;&lt;Cite&gt;&lt;Author&gt;Leeds&lt;/Author&gt;&lt;Year&gt;2015&lt;/Year&gt;&lt;RecNum&gt;588&lt;/RecNum&gt;&lt;DisplayText&gt;&lt;style face="superscript"&gt;183&lt;/style&gt;&lt;/DisplayText&gt;&lt;record&gt;&lt;rec-number&gt;588&lt;/rec-number&gt;&lt;foreign-keys&gt;&lt;key app="EN" db-id="zxa00wf2opvf9oeeset50xz7ezpfwre2v20z"&gt;588&lt;/key&gt;&lt;/foreign-keys&gt;&lt;ref-type name="Report"&gt;27&lt;/ref-type&gt;&lt;contributors&gt;&lt;authors&gt;&lt;author&gt;Leeds, M&lt;/author&gt;&lt;author&gt;Richards, J&lt;/author&gt;&lt;author&gt;Stepan, A&lt;/author&gt;&lt;author&gt;Xiao, A&lt;/author&gt;&lt;author&gt;Skarin, S&lt;/author&gt;&lt;/authors&gt;&lt;/contributors&gt;&lt;titles&gt;&lt;title&gt;WA childhood injury report: patterns of injuries among 0-19 year olds in Western Australia, 2001-2011&lt;/title&gt;&lt;/titles&gt;&lt;dates&gt;&lt;year&gt;2015&lt;/year&gt;&lt;/dates&gt;&lt;pub-location&gt;Perth&lt;/pub-location&gt;&lt;publisher&gt;Kidsafe WA&lt;/publisher&gt;&lt;urls&gt;&lt;related-urls&gt;&lt;url&gt;http://www.kidsafewa.com.au/_assets/files/KidsafeWAChildhoodInjuryReport.pdf&lt;/url&gt;&lt;/related-urls&gt;&lt;/urls&gt;&lt;/record&gt;&lt;/Cite&gt;&lt;/EndNote&gt;</w:instrText>
      </w:r>
      <w:r>
        <w:fldChar w:fldCharType="separate"/>
      </w:r>
      <w:r w:rsidR="005B3C51" w:rsidRPr="005B3C51">
        <w:rPr>
          <w:noProof/>
          <w:vertAlign w:val="superscript"/>
        </w:rPr>
        <w:t>183</w:t>
      </w:r>
      <w:r>
        <w:fldChar w:fldCharType="end"/>
      </w:r>
    </w:p>
    <w:p w:rsidR="00F81875" w:rsidRPr="00E41DF3" w:rsidRDefault="00F81875" w:rsidP="00F81875"/>
    <w:p w:rsidR="00E71E50" w:rsidRDefault="00F81875" w:rsidP="00F81875">
      <w:pPr>
        <w:widowControl/>
        <w:spacing w:after="170"/>
        <w:rPr>
          <w:rFonts w:eastAsiaTheme="minorHAnsi" w:cstheme="minorBidi"/>
          <w:szCs w:val="22"/>
          <w:lang w:val="en-AU"/>
        </w:rPr>
      </w:pPr>
      <w:r w:rsidRPr="003936D9">
        <w:rPr>
          <w:rFonts w:eastAsiaTheme="minorHAnsi" w:cstheme="minorBidi"/>
          <w:szCs w:val="22"/>
          <w:lang w:val="en-AU"/>
        </w:rPr>
        <w:t xml:space="preserve">Childhood injury is predictable and preventable and can be reduced by raising awareness of childhood injuries, </w:t>
      </w:r>
      <w:r>
        <w:rPr>
          <w:rFonts w:eastAsiaTheme="minorHAnsi" w:cstheme="minorBidi"/>
          <w:szCs w:val="22"/>
          <w:lang w:val="en-AU"/>
        </w:rPr>
        <w:t>informing and educating parents about how they can protect their children from harm</w:t>
      </w:r>
      <w:r w:rsidRPr="003936D9">
        <w:rPr>
          <w:rFonts w:eastAsiaTheme="minorHAnsi" w:cstheme="minorBidi"/>
          <w:szCs w:val="22"/>
          <w:lang w:val="en-AU"/>
        </w:rPr>
        <w:t xml:space="preserve">, providing education and training </w:t>
      </w:r>
      <w:r>
        <w:rPr>
          <w:rFonts w:eastAsiaTheme="minorHAnsi" w:cstheme="minorBidi"/>
          <w:szCs w:val="22"/>
          <w:lang w:val="en-AU"/>
        </w:rPr>
        <w:t xml:space="preserve">to health professionals and community groups, </w:t>
      </w:r>
      <w:r w:rsidRPr="003936D9">
        <w:rPr>
          <w:rFonts w:eastAsiaTheme="minorHAnsi" w:cstheme="minorBidi"/>
          <w:szCs w:val="22"/>
          <w:lang w:val="en-AU"/>
        </w:rPr>
        <w:t xml:space="preserve">and advocating for improvements to the design of products which </w:t>
      </w:r>
      <w:r>
        <w:rPr>
          <w:rFonts w:eastAsiaTheme="minorHAnsi" w:cstheme="minorBidi"/>
          <w:szCs w:val="22"/>
          <w:lang w:val="en-AU"/>
        </w:rPr>
        <w:t>are intended for use by</w:t>
      </w:r>
      <w:r w:rsidRPr="003936D9">
        <w:rPr>
          <w:rFonts w:eastAsiaTheme="minorHAnsi" w:cstheme="minorBidi"/>
          <w:szCs w:val="22"/>
          <w:lang w:val="en-AU"/>
        </w:rPr>
        <w:t xml:space="preserve"> children.</w:t>
      </w:r>
    </w:p>
    <w:p w:rsidR="003D0CF4" w:rsidRDefault="003D0CF4">
      <w:pPr>
        <w:widowControl/>
        <w:spacing w:after="200" w:line="276" w:lineRule="auto"/>
        <w:rPr>
          <w:rFonts w:eastAsia="Arial"/>
          <w:color w:val="808080" w:themeColor="background1" w:themeShade="80"/>
          <w:sz w:val="28"/>
          <w:szCs w:val="28"/>
        </w:rPr>
      </w:pPr>
      <w:r>
        <w:rPr>
          <w:rFonts w:eastAsia="Arial"/>
          <w:color w:val="808080" w:themeColor="background1" w:themeShade="80"/>
          <w:sz w:val="28"/>
          <w:szCs w:val="28"/>
        </w:rPr>
        <w:br w:type="page"/>
      </w:r>
    </w:p>
    <w:p w:rsidR="002F54AA" w:rsidRPr="00E41DF3" w:rsidRDefault="002F54AA" w:rsidP="002F54AA">
      <w:pPr>
        <w:rPr>
          <w:rFonts w:eastAsia="Arial"/>
          <w:color w:val="1F497D"/>
          <w:sz w:val="28"/>
          <w:szCs w:val="28"/>
        </w:rPr>
      </w:pPr>
      <w:r w:rsidRPr="008552C1">
        <w:rPr>
          <w:rFonts w:eastAsia="Arial"/>
          <w:color w:val="808080" w:themeColor="background1" w:themeShade="80"/>
          <w:sz w:val="28"/>
          <w:szCs w:val="28"/>
        </w:rPr>
        <w:lastRenderedPageBreak/>
        <w:t>Prevent falls in older people</w:t>
      </w:r>
    </w:p>
    <w:p w:rsidR="002F54AA" w:rsidRPr="00E41DF3" w:rsidRDefault="002F54AA" w:rsidP="002F54AA"/>
    <w:p w:rsidR="00C62EAC" w:rsidRDefault="002F54AA" w:rsidP="002F54AA">
      <w:r w:rsidRPr="00E41DF3">
        <w:t xml:space="preserve">Falls are the leading cause of death and </w:t>
      </w:r>
      <w:r>
        <w:t xml:space="preserve">hospitalisation due to </w:t>
      </w:r>
      <w:r w:rsidRPr="00E41DF3">
        <w:t xml:space="preserve">injury in </w:t>
      </w:r>
      <w:r>
        <w:t>people</w:t>
      </w:r>
      <w:r w:rsidRPr="00E41DF3">
        <w:t xml:space="preserve"> aged over 65 years (Aboriginal people aged over 55 years)</w:t>
      </w:r>
      <w:r>
        <w:t xml:space="preserve"> in WA</w:t>
      </w:r>
      <w:r w:rsidRPr="00E41DF3">
        <w:t xml:space="preserve">. </w:t>
      </w:r>
      <w:r>
        <w:t>Falls</w:t>
      </w:r>
      <w:r w:rsidRPr="00E41DF3">
        <w:t xml:space="preserve"> injuries </w:t>
      </w:r>
      <w:r>
        <w:t>may</w:t>
      </w:r>
      <w:r w:rsidRPr="00E41DF3">
        <w:t xml:space="preserve"> lead to further problems such as a l</w:t>
      </w:r>
      <w:r w:rsidR="005A0DE3">
        <w:t>oss of confidence, independence and</w:t>
      </w:r>
      <w:r w:rsidRPr="00E41DF3">
        <w:t xml:space="preserve"> mobility, and the onset of depression.</w:t>
      </w:r>
      <w:r w:rsidR="008E4A1B">
        <w:fldChar w:fldCharType="begin"/>
      </w:r>
      <w:r w:rsidR="005B3C51">
        <w:instrText xml:space="preserve"> ADDIN EN.CITE &lt;EndNote&gt;&lt;Cite&gt;&lt;Author&gt;World Health Organization&lt;/Author&gt;&lt;Year&gt;2007&lt;/Year&gt;&lt;RecNum&gt;58&lt;/RecNum&gt;&lt;DisplayText&gt;&lt;style face="superscript"&gt;119&lt;/style&gt;&lt;/DisplayText&gt;&lt;record&gt;&lt;rec-number&gt;58&lt;/rec-number&gt;&lt;foreign-keys&gt;&lt;key app="EN" db-id="zxa00wf2opvf9oeeset50xz7ezpfwre2v20z"&gt;58&lt;/key&gt;&lt;/foreign-keys&gt;&lt;ref-type name="Report"&gt;27&lt;/ref-type&gt;&lt;contributors&gt;&lt;authors&gt;&lt;author&gt;World Health Organization,&lt;/author&gt;&lt;/authors&gt;&lt;/contributors&gt;&lt;titles&gt;&lt;title&gt;WHO global report on falls prevention in older age&lt;/title&gt;&lt;/titles&gt;&lt;dates&gt;&lt;year&gt;2007&lt;/year&gt;&lt;/dates&gt;&lt;pub-location&gt;Geneva&lt;/pub-location&gt;&lt;publisher&gt;World Health Organization&lt;/publisher&gt;&lt;urls&gt;&lt;related-urls&gt;&lt;url&gt;http://www.who.int/ageing/publications/Falls_prevention7March.pdf&lt;/url&gt;&lt;/related-urls&gt;&lt;/urls&gt;&lt;/record&gt;&lt;/Cite&gt;&lt;/EndNote&gt;</w:instrText>
      </w:r>
      <w:r w:rsidR="008E4A1B">
        <w:fldChar w:fldCharType="separate"/>
      </w:r>
      <w:r w:rsidR="005B3C51" w:rsidRPr="005B3C51">
        <w:rPr>
          <w:noProof/>
          <w:vertAlign w:val="superscript"/>
        </w:rPr>
        <w:t>119</w:t>
      </w:r>
      <w:r w:rsidR="008E4A1B">
        <w:fldChar w:fldCharType="end"/>
      </w:r>
      <w:r w:rsidRPr="00E41DF3">
        <w:t xml:space="preserve"> </w:t>
      </w:r>
      <w:r w:rsidR="00993BCE">
        <w:t>WA’s</w:t>
      </w:r>
      <w:r w:rsidRPr="00E41DF3">
        <w:t xml:space="preserve"> ageing population</w:t>
      </w:r>
      <w:r w:rsidR="00993BCE">
        <w:t xml:space="preserve"> makes</w:t>
      </w:r>
      <w:r w:rsidRPr="00E41DF3">
        <w:t xml:space="preserve"> falls prevention a priority. </w:t>
      </w:r>
    </w:p>
    <w:p w:rsidR="00C62EAC" w:rsidRDefault="00C62EAC" w:rsidP="002F54AA"/>
    <w:p w:rsidR="002F54AA" w:rsidRPr="00E41DF3" w:rsidRDefault="002F54AA" w:rsidP="002F54AA">
      <w:pPr>
        <w:rPr>
          <w:lang w:eastAsia="en-AU"/>
        </w:rPr>
      </w:pPr>
      <w:r w:rsidRPr="00E41DF3">
        <w:t xml:space="preserve">Interventions to prevent falls in WA target </w:t>
      </w:r>
      <w:r w:rsidR="005A0DE3">
        <w:t xml:space="preserve">older </w:t>
      </w:r>
      <w:r w:rsidRPr="00E41DF3">
        <w:t xml:space="preserve">people in the community who are </w:t>
      </w:r>
      <w:r w:rsidR="00F20176" w:rsidRPr="00E41DF3">
        <w:t>well</w:t>
      </w:r>
      <w:r w:rsidRPr="00E41DF3">
        <w:t xml:space="preserve"> and specific groups at increased risk of falls.</w:t>
      </w:r>
      <w:r w:rsidR="00C62EAC">
        <w:t xml:space="preserve"> </w:t>
      </w:r>
      <w:r>
        <w:rPr>
          <w:lang w:eastAsia="en-AU"/>
        </w:rPr>
        <w:t>T</w:t>
      </w:r>
      <w:r w:rsidRPr="00E41DF3">
        <w:rPr>
          <w:lang w:eastAsia="en-AU"/>
        </w:rPr>
        <w:t xml:space="preserve">he most effective type of exercise to prevent falls </w:t>
      </w:r>
      <w:r>
        <w:rPr>
          <w:lang w:eastAsia="en-AU"/>
        </w:rPr>
        <w:t xml:space="preserve">involves activities </w:t>
      </w:r>
      <w:r w:rsidR="00C62EAC">
        <w:rPr>
          <w:lang w:eastAsia="en-AU"/>
        </w:rPr>
        <w:t>that</w:t>
      </w:r>
      <w:r>
        <w:rPr>
          <w:lang w:eastAsia="en-AU"/>
        </w:rPr>
        <w:t xml:space="preserve"> include </w:t>
      </w:r>
      <w:r w:rsidRPr="00E41DF3">
        <w:rPr>
          <w:lang w:eastAsia="en-AU"/>
        </w:rPr>
        <w:t>a moderate or high challenge to balance</w:t>
      </w:r>
      <w:r w:rsidR="00C62EAC">
        <w:rPr>
          <w:lang w:eastAsia="en-AU"/>
        </w:rPr>
        <w:t xml:space="preserve"> </w:t>
      </w:r>
      <w:r>
        <w:rPr>
          <w:lang w:eastAsia="en-AU"/>
        </w:rPr>
        <w:t xml:space="preserve">(for example Tai Chi). Other interventions include </w:t>
      </w:r>
      <w:r w:rsidRPr="00E41DF3">
        <w:rPr>
          <w:lang w:eastAsia="en-AU"/>
        </w:rPr>
        <w:t xml:space="preserve">modifications to hazards in the home, </w:t>
      </w:r>
      <w:r>
        <w:rPr>
          <w:lang w:eastAsia="en-AU"/>
        </w:rPr>
        <w:t>and ensuring that poor vision and use of medications (and combinations of medications) which can impair balance are addressed to the extent possible.</w:t>
      </w:r>
      <w:r w:rsidR="008E4A1B">
        <w:rPr>
          <w:lang w:eastAsia="en-AU"/>
        </w:rPr>
        <w:fldChar w:fldCharType="begin"/>
      </w:r>
      <w:r w:rsidR="006209B7">
        <w:rPr>
          <w:lang w:eastAsia="en-AU"/>
        </w:rPr>
        <w:instrText xml:space="preserve"> ADDIN EN.CITE &lt;EndNote&gt;&lt;Cite&gt;&lt;Author&gt;Sherrington&lt;/Author&gt;&lt;Year&gt;2011&lt;/Year&gt;&lt;RecNum&gt;807&lt;/RecNum&gt;&lt;DisplayText&gt;&lt;style face="superscript"&gt;4&lt;/style&gt;&lt;/DisplayText&gt;&lt;record&gt;&lt;rec-number&gt;807&lt;/rec-number&gt;&lt;foreign-keys&gt;&lt;key app="EN" db-id="zxa00wf2opvf9oeeset50xz7ezpfwre2v20z"&gt;807&lt;/key&gt;&lt;/foreign-keys&gt;&lt;ref-type name="Journal Article"&gt;17&lt;/ref-type&gt;&lt;contributors&gt;&lt;authors&gt;&lt;author&gt;Sherrington, C.&lt;/author&gt;&lt;author&gt;Tiedemann, A.&lt;/author&gt;&lt;author&gt;Fairhall, N.&lt;/author&gt;&lt;author&gt;Close, J. C.&lt;/author&gt;&lt;author&gt;Lord, S. R.&lt;/author&gt;&lt;/authors&gt;&lt;/contributors&gt;&lt;auth-address&gt;Musculoskeletal Division, The George Institute for Global Health, The University of Sydney, Australia. csherrington@georgeinstitute.org.au&lt;/auth-address&gt;&lt;titles&gt;&lt;title&gt;Exercise to prevent falls in older adults: an updated meta-analysis and best practice recommendations&lt;/title&gt;&lt;secondary-title&gt;NSW Public Health Bull&lt;/secondary-title&gt;&lt;/titles&gt;&lt;periodical&gt;&lt;full-title&gt;NSW Public Health Bull&lt;/full-title&gt;&lt;/periodical&gt;&lt;pages&gt;78-83&lt;/pages&gt;&lt;volume&gt;22&lt;/volume&gt;&lt;number&gt;3-4&lt;/number&gt;&lt;keywords&gt;&lt;keyword&gt;Accidental Falls/*prevention &amp;amp; control&lt;/keyword&gt;&lt;keyword&gt;Aged&lt;/keyword&gt;&lt;keyword&gt;*Exercise&lt;/keyword&gt;&lt;keyword&gt;Humans&lt;/keyword&gt;&lt;keyword&gt;Randomized Controlled Trials as Topic&lt;/keyword&gt;&lt;keyword&gt;Resistance Training&lt;/keyword&gt;&lt;keyword&gt;Risk Factors&lt;/keyword&gt;&lt;keyword&gt;Walking&lt;/keyword&gt;&lt;/keywords&gt;&lt;dates&gt;&lt;year&gt;2011&lt;/year&gt;&lt;/dates&gt;&lt;urls&gt;&lt;related-urls&gt;&lt;url&gt;http://www.ncbi.nlm.nih.gov/pubmed/21632004&lt;/url&gt;&lt;/related-urls&gt;&lt;/urls&gt;&lt;/record&gt;&lt;/Cite&gt;&lt;/EndNote&gt;</w:instrText>
      </w:r>
      <w:r w:rsidR="008E4A1B">
        <w:rPr>
          <w:lang w:eastAsia="en-AU"/>
        </w:rPr>
        <w:fldChar w:fldCharType="separate"/>
      </w:r>
      <w:r w:rsidR="006209B7" w:rsidRPr="006209B7">
        <w:rPr>
          <w:noProof/>
          <w:vertAlign w:val="superscript"/>
          <w:lang w:eastAsia="en-AU"/>
        </w:rPr>
        <w:t>4</w:t>
      </w:r>
      <w:r w:rsidR="008E4A1B">
        <w:rPr>
          <w:lang w:eastAsia="en-AU"/>
        </w:rPr>
        <w:fldChar w:fldCharType="end"/>
      </w:r>
    </w:p>
    <w:p w:rsidR="002F54AA" w:rsidRPr="00E41DF3" w:rsidRDefault="002F54AA" w:rsidP="002F54AA"/>
    <w:p w:rsidR="002F54AA" w:rsidRDefault="002F54AA" w:rsidP="002F54AA">
      <w:r>
        <w:t>It is vital that i</w:t>
      </w:r>
      <w:r w:rsidRPr="00E41DF3">
        <w:t xml:space="preserve">nterventions developed for older people are based on collaborative health promotion </w:t>
      </w:r>
      <w:r>
        <w:t>partnerships</w:t>
      </w:r>
      <w:r w:rsidRPr="00E41DF3">
        <w:t>, and take account of the diversity of older people</w:t>
      </w:r>
      <w:r>
        <w:t>s’ activity levels and care needs.</w:t>
      </w:r>
      <w:r w:rsidRPr="00E41DF3">
        <w:t xml:space="preserve"> </w:t>
      </w:r>
    </w:p>
    <w:p w:rsidR="002F54AA" w:rsidRDefault="002F54AA" w:rsidP="002F54AA">
      <w:pPr>
        <w:rPr>
          <w:rFonts w:eastAsia="Arial"/>
          <w:color w:val="1F497D"/>
          <w:sz w:val="28"/>
          <w:szCs w:val="28"/>
        </w:rPr>
      </w:pPr>
    </w:p>
    <w:p w:rsidR="002F54AA" w:rsidRPr="008552C1" w:rsidRDefault="002F54AA" w:rsidP="002F54AA">
      <w:pPr>
        <w:rPr>
          <w:rFonts w:eastAsia="Arial"/>
          <w:color w:val="808080" w:themeColor="background1" w:themeShade="80"/>
          <w:sz w:val="28"/>
          <w:szCs w:val="28"/>
        </w:rPr>
      </w:pPr>
      <w:r w:rsidRPr="008552C1">
        <w:rPr>
          <w:rFonts w:eastAsia="Arial"/>
          <w:color w:val="808080" w:themeColor="background1" w:themeShade="80"/>
          <w:sz w:val="28"/>
          <w:szCs w:val="28"/>
        </w:rPr>
        <w:t>Reduce road crashes and road trauma</w:t>
      </w:r>
    </w:p>
    <w:p w:rsidR="002F54AA" w:rsidRDefault="002F54AA" w:rsidP="002F54AA">
      <w:pPr>
        <w:rPr>
          <w:rFonts w:eastAsia="Arial"/>
          <w:color w:val="1F497D"/>
          <w:sz w:val="28"/>
          <w:szCs w:val="28"/>
        </w:rPr>
      </w:pPr>
    </w:p>
    <w:p w:rsidR="002F54AA" w:rsidRPr="008552C1" w:rsidRDefault="00CB6C25" w:rsidP="000903A8">
      <w:pPr>
        <w:shd w:val="clear" w:color="auto" w:fill="F2F2F2" w:themeFill="background1" w:themeFillShade="F2"/>
        <w:rPr>
          <w:color w:val="808080" w:themeColor="background1" w:themeShade="80"/>
        </w:rPr>
      </w:pPr>
      <w:r>
        <w:rPr>
          <w:color w:val="808080" w:themeColor="background1" w:themeShade="80"/>
        </w:rPr>
        <w:t>The Department of Health</w:t>
      </w:r>
      <w:r w:rsidR="002F54AA" w:rsidRPr="008552C1">
        <w:rPr>
          <w:color w:val="808080" w:themeColor="background1" w:themeShade="80"/>
        </w:rPr>
        <w:t xml:space="preserve"> actively supports the</w:t>
      </w:r>
      <w:r w:rsidR="00181A10" w:rsidRPr="008552C1">
        <w:rPr>
          <w:color w:val="808080" w:themeColor="background1" w:themeShade="80"/>
        </w:rPr>
        <w:t xml:space="preserve"> </w:t>
      </w:r>
      <w:r w:rsidR="002F54AA" w:rsidRPr="008552C1">
        <w:rPr>
          <w:color w:val="808080" w:themeColor="background1" w:themeShade="80"/>
        </w:rPr>
        <w:t xml:space="preserve">Road Safety Commission’s </w:t>
      </w:r>
      <w:r w:rsidR="002F54AA" w:rsidRPr="008552C1">
        <w:rPr>
          <w:i/>
          <w:color w:val="808080" w:themeColor="background1" w:themeShade="80"/>
        </w:rPr>
        <w:t>Towards Zero, the State’s road safety strategy for 2008–2020</w:t>
      </w:r>
      <w:r w:rsidR="002F54AA" w:rsidRPr="008552C1">
        <w:rPr>
          <w:color w:val="808080" w:themeColor="background1" w:themeShade="80"/>
        </w:rPr>
        <w:t>.</w:t>
      </w:r>
      <w:r w:rsidR="008E4A1B" w:rsidRPr="008552C1">
        <w:rPr>
          <w:color w:val="808080" w:themeColor="background1" w:themeShade="80"/>
        </w:rPr>
        <w:fldChar w:fldCharType="begin"/>
      </w:r>
      <w:r w:rsidR="005B3C51">
        <w:rPr>
          <w:color w:val="808080" w:themeColor="background1" w:themeShade="80"/>
        </w:rPr>
        <w:instrText xml:space="preserve"> ADDIN EN.CITE &lt;EndNote&gt;&lt;Cite&gt;&lt;Author&gt;Office of Road Safety&lt;/Author&gt;&lt;Year&gt;2008&lt;/Year&gt;&lt;RecNum&gt;725&lt;/RecNum&gt;&lt;DisplayText&gt;&lt;style face="superscript"&gt;184&lt;/style&gt;&lt;/DisplayText&gt;&lt;record&gt;&lt;rec-number&gt;725&lt;/rec-number&gt;&lt;foreign-keys&gt;&lt;key app="EN" db-id="zxa00wf2opvf9oeeset50xz7ezpfwre2v20z"&gt;725&lt;/key&gt;&lt;/foreign-keys&gt;&lt;ref-type name="Report"&gt;27&lt;/ref-type&gt;&lt;contributors&gt;&lt;authors&gt;&lt;author&gt;Office of Road Safety,&lt;/author&gt;&lt;/authors&gt;&lt;/contributors&gt;&lt;titles&gt;&lt;title&gt;Towards Zero.  Road Safety Strategy to Reduce Road Trauma in Western Australia 2008-2020&lt;/title&gt;&lt;/titles&gt;&lt;dates&gt;&lt;year&gt;2008&lt;/year&gt;&lt;/dates&gt;&lt;pub-location&gt;Perth&lt;/pub-location&gt;&lt;publisher&gt;Government of Western Australia&lt;/publisher&gt;&lt;urls&gt;&lt;related-urls&gt;&lt;url&gt;https://rsc.wa.gov.au/towards-zero&lt;/url&gt;&lt;/related-urls&gt;&lt;/urls&gt;&lt;/record&gt;&lt;/Cite&gt;&lt;/EndNote&gt;</w:instrText>
      </w:r>
      <w:r w:rsidR="008E4A1B" w:rsidRPr="008552C1">
        <w:rPr>
          <w:color w:val="808080" w:themeColor="background1" w:themeShade="80"/>
        </w:rPr>
        <w:fldChar w:fldCharType="separate"/>
      </w:r>
      <w:r w:rsidR="005B3C51" w:rsidRPr="005B3C51">
        <w:rPr>
          <w:noProof/>
          <w:color w:val="808080" w:themeColor="background1" w:themeShade="80"/>
          <w:vertAlign w:val="superscript"/>
        </w:rPr>
        <w:t>184</w:t>
      </w:r>
      <w:r w:rsidR="008E4A1B" w:rsidRPr="008552C1">
        <w:rPr>
          <w:color w:val="808080" w:themeColor="background1" w:themeShade="80"/>
        </w:rPr>
        <w:fldChar w:fldCharType="end"/>
      </w:r>
      <w:r w:rsidR="002F54AA" w:rsidRPr="008552C1">
        <w:rPr>
          <w:color w:val="808080" w:themeColor="background1" w:themeShade="80"/>
        </w:rPr>
        <w:t xml:space="preserve"> </w:t>
      </w:r>
    </w:p>
    <w:p w:rsidR="002F54AA" w:rsidRPr="00E41DF3" w:rsidRDefault="002F54AA" w:rsidP="002F54AA">
      <w:pPr>
        <w:rPr>
          <w:rFonts w:eastAsia="Arial"/>
          <w:color w:val="1F497D"/>
          <w:sz w:val="28"/>
          <w:szCs w:val="28"/>
        </w:rPr>
      </w:pPr>
    </w:p>
    <w:p w:rsidR="002F54AA" w:rsidRDefault="002F54AA" w:rsidP="002F54AA">
      <w:r w:rsidRPr="00AE5D77">
        <w:t>Road crashes, including those involving on and off-road use of motor vehicles, motorcycles and bicycles as well as pedestrian activity, remain a leading cause of injury and hospitalisation in WA. Contributing factors include alcohol, speed and increased use of motorcycles</w:t>
      </w:r>
      <w:r w:rsidR="00995F1B">
        <w:t>.</w:t>
      </w:r>
      <w:r w:rsidR="008E4A1B">
        <w:fldChar w:fldCharType="begin"/>
      </w:r>
      <w:r w:rsidR="005B3C51">
        <w:instrText xml:space="preserve"> ADDIN EN.CITE &lt;EndNote&gt;&lt;Cite&gt;&lt;Author&gt;Road Safety Commission&lt;/Author&gt;&lt;Year&gt;2016&lt;/Year&gt;&lt;RecNum&gt;1058&lt;/RecNum&gt;&lt;DisplayText&gt;&lt;style face="superscript"&gt;185&lt;/style&gt;&lt;/DisplayText&gt;&lt;record&gt;&lt;rec-number&gt;1058&lt;/rec-number&gt;&lt;foreign-keys&gt;&lt;key app="EN" db-id="zxa00wf2opvf9oeeset50xz7ezpfwre2v20z"&gt;1058&lt;/key&gt;&lt;/foreign-keys&gt;&lt;ref-type name="Report"&gt;27&lt;/ref-type&gt;&lt;contributors&gt;&lt;authors&gt;&lt;author&gt;Road Safety Commission,&lt;/author&gt;&lt;author&gt;Western Australia,&lt;/author&gt;&lt;/authors&gt;&lt;/contributors&gt;&lt;titles&gt;&lt;title&gt;2015 summary. Preliminary fatal and critical injuries on Western Australian roads&lt;/title&gt;&lt;/titles&gt;&lt;dates&gt;&lt;year&gt;2016&lt;/year&gt;&lt;/dates&gt;&lt;pub-location&gt;Perth&lt;/pub-location&gt;&lt;publisher&gt;Road Safety Commission, Western Australia&lt;/publisher&gt;&lt;urls&gt;&lt;related-urls&gt;&lt;url&gt;http://rsc.wa.gov.au/Stats/Annual/annual-prelim-crash-statistics-2015.aspx&lt;/url&gt;&lt;/related-urls&gt;&lt;/urls&gt;&lt;/record&gt;&lt;/Cite&gt;&lt;/EndNote&gt;</w:instrText>
      </w:r>
      <w:r w:rsidR="008E4A1B">
        <w:fldChar w:fldCharType="separate"/>
      </w:r>
      <w:r w:rsidR="005B3C51" w:rsidRPr="005B3C51">
        <w:rPr>
          <w:noProof/>
          <w:vertAlign w:val="superscript"/>
        </w:rPr>
        <w:t>185</w:t>
      </w:r>
      <w:r w:rsidR="008E4A1B">
        <w:fldChar w:fldCharType="end"/>
      </w:r>
    </w:p>
    <w:p w:rsidR="00AA3084" w:rsidRDefault="00AA3084" w:rsidP="002F54AA"/>
    <w:p w:rsidR="00385C75" w:rsidRPr="00E41DF3" w:rsidRDefault="00AA3084" w:rsidP="005652E6">
      <w:r w:rsidRPr="00A51671">
        <w:rPr>
          <w:i/>
        </w:rPr>
        <w:t>Towards Zero</w:t>
      </w:r>
      <w:r w:rsidRPr="000B7593">
        <w:t xml:space="preserve"> focuses on safe road use</w:t>
      </w:r>
      <w:r w:rsidR="008D585F">
        <w:t>,</w:t>
      </w:r>
      <w:r w:rsidRPr="000B7593">
        <w:t xml:space="preserve"> safe roads and roadsides</w:t>
      </w:r>
      <w:r w:rsidR="008D585F">
        <w:t>,</w:t>
      </w:r>
      <w:r w:rsidRPr="000B7593">
        <w:t xml:space="preserve"> safe speeds</w:t>
      </w:r>
      <w:r w:rsidR="008D585F">
        <w:t>,</w:t>
      </w:r>
      <w:r w:rsidRPr="000B7593">
        <w:t xml:space="preserve"> and safe vehicles. </w:t>
      </w:r>
      <w:r w:rsidR="008D585F">
        <w:t xml:space="preserve">The strategy supports public education, enforcement of road rules, </w:t>
      </w:r>
      <w:r w:rsidR="002D73E1">
        <w:t xml:space="preserve">targeting of risk-taking behavior, and </w:t>
      </w:r>
      <w:r w:rsidR="00C6661A">
        <w:t xml:space="preserve">the development </w:t>
      </w:r>
      <w:r w:rsidR="00801AFC">
        <w:t xml:space="preserve">and implementation </w:t>
      </w:r>
      <w:r w:rsidR="00C6661A">
        <w:t xml:space="preserve">of a ‘safe system’ which </w:t>
      </w:r>
      <w:r w:rsidR="009B3D17">
        <w:t>to the extent possible, anticipates and reduces the risk of crashes.</w:t>
      </w:r>
      <w:r w:rsidR="00801AFC">
        <w:fldChar w:fldCharType="begin"/>
      </w:r>
      <w:r w:rsidR="005B3C51">
        <w:instrText xml:space="preserve"> ADDIN EN.CITE &lt;EndNote&gt;&lt;Cite&gt;&lt;Author&gt;Office of Road Safety&lt;/Author&gt;&lt;Year&gt;2008&lt;/Year&gt;&lt;RecNum&gt;725&lt;/RecNum&gt;&lt;DisplayText&gt;&lt;style face="superscript"&gt;184&lt;/style&gt;&lt;/DisplayText&gt;&lt;record&gt;&lt;rec-number&gt;725&lt;/rec-number&gt;&lt;foreign-keys&gt;&lt;key app="EN" db-id="zxa00wf2opvf9oeeset50xz7ezpfwre2v20z"&gt;725&lt;/key&gt;&lt;/foreign-keys&gt;&lt;ref-type name="Report"&gt;27&lt;/ref-type&gt;&lt;contributors&gt;&lt;authors&gt;&lt;author&gt;Office of Road Safety,&lt;/author&gt;&lt;/authors&gt;&lt;/contributors&gt;&lt;titles&gt;&lt;title&gt;Towards Zero.  Road Safety Strategy to Reduce Road Trauma in Western Australia 2008-2020&lt;/title&gt;&lt;/titles&gt;&lt;dates&gt;&lt;year&gt;2008&lt;/year&gt;&lt;/dates&gt;&lt;pub-location&gt;Perth&lt;/pub-location&gt;&lt;publisher&gt;Government of Western Australia&lt;/publisher&gt;&lt;urls&gt;&lt;related-urls&gt;&lt;url&gt;https://rsc.wa.gov.au/towards-zero&lt;/url&gt;&lt;/related-urls&gt;&lt;/urls&gt;&lt;/record&gt;&lt;/Cite&gt;&lt;/EndNote&gt;</w:instrText>
      </w:r>
      <w:r w:rsidR="00801AFC">
        <w:fldChar w:fldCharType="separate"/>
      </w:r>
      <w:r w:rsidR="005B3C51" w:rsidRPr="005B3C51">
        <w:rPr>
          <w:noProof/>
          <w:vertAlign w:val="superscript"/>
        </w:rPr>
        <w:t>184</w:t>
      </w:r>
      <w:r w:rsidR="00801AFC">
        <w:fldChar w:fldCharType="end"/>
      </w:r>
      <w:r w:rsidR="009B3D17">
        <w:t xml:space="preserve"> </w:t>
      </w:r>
      <w:r w:rsidRPr="000B7593">
        <w:t xml:space="preserve">Since the launch of </w:t>
      </w:r>
      <w:r w:rsidRPr="00A51671">
        <w:rPr>
          <w:i/>
        </w:rPr>
        <w:t>Towards Zero</w:t>
      </w:r>
      <w:r w:rsidRPr="000B7593">
        <w:t>, road fatalities have dropped by about one-third.</w:t>
      </w:r>
      <w:r>
        <w:fldChar w:fldCharType="begin"/>
      </w:r>
      <w:r w:rsidR="005B3C51">
        <w:instrText xml:space="preserve"> ADDIN EN.CITE &lt;EndNote&gt;&lt;Cite&gt;&lt;Author&gt;Road Safety Commission&lt;/Author&gt;&lt;Year&gt;2016&lt;/Year&gt;&lt;RecNum&gt;1058&lt;/RecNum&gt;&lt;DisplayText&gt;&lt;style face="superscript"&gt;185&lt;/style&gt;&lt;/DisplayText&gt;&lt;record&gt;&lt;rec-number&gt;1058&lt;/rec-number&gt;&lt;foreign-keys&gt;&lt;key app="EN" db-id="zxa00wf2opvf9oeeset50xz7ezpfwre2v20z"&gt;1058&lt;/key&gt;&lt;/foreign-keys&gt;&lt;ref-type name="Report"&gt;27&lt;/ref-type&gt;&lt;contributors&gt;&lt;authors&gt;&lt;author&gt;Road Safety Commission,&lt;/author&gt;&lt;author&gt;Western Australia,&lt;/author&gt;&lt;/authors&gt;&lt;/contributors&gt;&lt;titles&gt;&lt;title&gt;2015 summary. Preliminary fatal and critical injuries on Western Australian roads&lt;/title&gt;&lt;/titles&gt;&lt;dates&gt;&lt;year&gt;2016&lt;/year&gt;&lt;/dates&gt;&lt;pub-location&gt;Perth&lt;/pub-location&gt;&lt;publisher&gt;Road Safety Commission, Western Australia&lt;/publisher&gt;&lt;urls&gt;&lt;related-urls&gt;&lt;url&gt;http://rsc.wa.gov.au/Stats/Annual/annual-prelim-crash-statistics-2015.aspx&lt;/url&gt;&lt;/related-urls&gt;&lt;/urls&gt;&lt;/record&gt;&lt;/Cite&gt;&lt;/EndNote&gt;</w:instrText>
      </w:r>
      <w:r>
        <w:fldChar w:fldCharType="separate"/>
      </w:r>
      <w:r w:rsidR="005B3C51" w:rsidRPr="005B3C51">
        <w:rPr>
          <w:noProof/>
          <w:vertAlign w:val="superscript"/>
        </w:rPr>
        <w:t>185</w:t>
      </w:r>
      <w:r>
        <w:fldChar w:fldCharType="end"/>
      </w:r>
    </w:p>
    <w:p w:rsidR="00EC7B06" w:rsidRDefault="00EC7B06" w:rsidP="005652E6"/>
    <w:p w:rsidR="003549BE" w:rsidRPr="008552C1" w:rsidRDefault="00EC7B06" w:rsidP="003549BE">
      <w:pPr>
        <w:rPr>
          <w:rFonts w:eastAsia="Arial"/>
          <w:color w:val="808080" w:themeColor="background1" w:themeShade="80"/>
          <w:sz w:val="28"/>
          <w:szCs w:val="28"/>
        </w:rPr>
      </w:pPr>
      <w:r w:rsidRPr="008552C1">
        <w:rPr>
          <w:rFonts w:eastAsia="Arial"/>
          <w:color w:val="808080" w:themeColor="background1" w:themeShade="80"/>
          <w:sz w:val="28"/>
          <w:szCs w:val="28"/>
        </w:rPr>
        <w:t>Improve safety</w:t>
      </w:r>
      <w:r w:rsidR="00906DAA" w:rsidRPr="008552C1">
        <w:rPr>
          <w:rFonts w:eastAsia="Arial"/>
          <w:color w:val="808080" w:themeColor="background1" w:themeShade="80"/>
          <w:sz w:val="28"/>
          <w:szCs w:val="28"/>
        </w:rPr>
        <w:t xml:space="preserve"> in, on and around water</w:t>
      </w:r>
    </w:p>
    <w:p w:rsidR="00EC7B06" w:rsidRDefault="00EC7B06" w:rsidP="00EC7B06">
      <w:pPr>
        <w:shd w:val="clear" w:color="auto" w:fill="FFFFFF"/>
        <w:textAlignment w:val="baseline"/>
      </w:pPr>
    </w:p>
    <w:p w:rsidR="00EC7B06" w:rsidRPr="00E41DF3" w:rsidRDefault="00EC7B06" w:rsidP="00EC7B06">
      <w:pPr>
        <w:shd w:val="clear" w:color="auto" w:fill="FFFFFF"/>
        <w:textAlignment w:val="baseline"/>
        <w:rPr>
          <w:lang w:eastAsia="en-AU"/>
        </w:rPr>
      </w:pPr>
      <w:r>
        <w:t>WA</w:t>
      </w:r>
      <w:r w:rsidRPr="00E41DF3">
        <w:t xml:space="preserve">’s </w:t>
      </w:r>
      <w:r>
        <w:t>environment and culture</w:t>
      </w:r>
      <w:r w:rsidRPr="00E41DF3">
        <w:t xml:space="preserve"> </w:t>
      </w:r>
      <w:r>
        <w:t>promote</w:t>
      </w:r>
      <w:r w:rsidRPr="00E41DF3">
        <w:t xml:space="preserve"> </w:t>
      </w:r>
      <w:r w:rsidR="00906DAA">
        <w:t xml:space="preserve">water-based </w:t>
      </w:r>
      <w:r w:rsidRPr="00E41DF3">
        <w:t xml:space="preserve">recreational activities. Coastal locations, home swimming pools, rivers, lakes and dams are the most common sites for fatal and non-fatal drowning in WA. </w:t>
      </w:r>
      <w:r>
        <w:rPr>
          <w:bdr w:val="none" w:sz="0" w:space="0" w:color="auto" w:frame="1"/>
          <w:lang w:eastAsia="en-AU"/>
        </w:rPr>
        <w:t>Males, Aboriginal people and people of CaLD backgrounds are at greater risk of drowning.</w:t>
      </w:r>
      <w:r>
        <w:rPr>
          <w:bdr w:val="none" w:sz="0" w:space="0" w:color="auto" w:frame="1"/>
          <w:lang w:eastAsia="en-AU"/>
        </w:rPr>
        <w:fldChar w:fldCharType="begin"/>
      </w:r>
      <w:r w:rsidR="005B3C51">
        <w:rPr>
          <w:bdr w:val="none" w:sz="0" w:space="0" w:color="auto" w:frame="1"/>
          <w:lang w:eastAsia="en-AU"/>
        </w:rPr>
        <w:instrText xml:space="preserve"> ADDIN EN.CITE &lt;EndNote&gt;&lt;Cite&gt;&lt;Author&gt;Ballestas&lt;/Author&gt;&lt;Year&gt;2011&lt;/Year&gt;&lt;RecNum&gt;228&lt;/RecNum&gt;&lt;DisplayText&gt;&lt;style face="superscript"&gt;180&lt;/style&gt;&lt;/DisplayText&gt;&lt;record&gt;&lt;rec-number&gt;228&lt;/rec-number&gt;&lt;foreign-keys&gt;&lt;key app="EN" db-id="zxa00wf2opvf9oeeset50xz7ezpfwre2v20z"&gt;228&lt;/key&gt;&lt;/foreign-keys&gt;&lt;ref-type name="Report"&gt;27&lt;/ref-type&gt;&lt;contributors&gt;&lt;authors&gt;&lt;author&gt;Ballestas, T&lt;/author&gt;&lt;author&gt;Xiao, J&lt;/author&gt;&lt;author&gt;McEvoy, S&lt;/author&gt;&lt;author&gt;Somerford, P&lt;/author&gt;&lt;/authors&gt;&lt;/contributors&gt;&lt;titles&gt;&lt;title&gt;The epidemiology of injury in Western Australia, 2000-2008&lt;/title&gt;&lt;/titles&gt;&lt;dates&gt;&lt;year&gt;2011&lt;/year&gt;&lt;/dates&gt;&lt;pub-location&gt;Perth&lt;/pub-location&gt;&lt;publisher&gt;Department of Health, Western Australia&lt;/publisher&gt;&lt;urls&gt;&lt;related-urls&gt;&lt;url&gt;http://www.public.health.wa.gov.au/cproot/4228/2/injury_report_2011.pdf&lt;/url&gt;&lt;/related-urls&gt;&lt;/urls&gt;&lt;/record&gt;&lt;/Cite&gt;&lt;/EndNote&gt;</w:instrText>
      </w:r>
      <w:r>
        <w:rPr>
          <w:bdr w:val="none" w:sz="0" w:space="0" w:color="auto" w:frame="1"/>
          <w:lang w:eastAsia="en-AU"/>
        </w:rPr>
        <w:fldChar w:fldCharType="separate"/>
      </w:r>
      <w:r w:rsidR="005B3C51" w:rsidRPr="005B3C51">
        <w:rPr>
          <w:noProof/>
          <w:bdr w:val="none" w:sz="0" w:space="0" w:color="auto" w:frame="1"/>
          <w:vertAlign w:val="superscript"/>
          <w:lang w:eastAsia="en-AU"/>
        </w:rPr>
        <w:t>180</w:t>
      </w:r>
      <w:r>
        <w:rPr>
          <w:bdr w:val="none" w:sz="0" w:space="0" w:color="auto" w:frame="1"/>
          <w:lang w:eastAsia="en-AU"/>
        </w:rPr>
        <w:fldChar w:fldCharType="end"/>
      </w:r>
    </w:p>
    <w:p w:rsidR="00EC7B06" w:rsidRDefault="00EC7B06" w:rsidP="00EC7B06"/>
    <w:p w:rsidR="00EC7B06" w:rsidRPr="00B55C67" w:rsidRDefault="00EC7B06" w:rsidP="00EC7B06">
      <w:pPr>
        <w:widowControl/>
        <w:spacing w:after="170"/>
        <w:rPr>
          <w:rFonts w:eastAsiaTheme="minorHAnsi" w:cstheme="minorBidi"/>
          <w:szCs w:val="22"/>
          <w:lang w:val="en-AU"/>
        </w:rPr>
      </w:pPr>
      <w:r>
        <w:rPr>
          <w:rFonts w:eastAsiaTheme="minorHAnsi" w:cstheme="minorBidi"/>
          <w:szCs w:val="22"/>
          <w:lang w:val="en-AU"/>
        </w:rPr>
        <w:t>Evidence for measures for d</w:t>
      </w:r>
      <w:r w:rsidRPr="00B55C67">
        <w:rPr>
          <w:rFonts w:eastAsiaTheme="minorHAnsi" w:cstheme="minorBidi"/>
          <w:szCs w:val="22"/>
          <w:lang w:val="en-AU"/>
        </w:rPr>
        <w:t>rowning prevention in Australia focuses on three key drivers to prevent drowning</w:t>
      </w:r>
      <w:r>
        <w:rPr>
          <w:rFonts w:eastAsiaTheme="minorHAnsi" w:cstheme="minorBidi"/>
          <w:szCs w:val="22"/>
          <w:lang w:val="en-AU"/>
        </w:rPr>
        <w:t>:</w:t>
      </w:r>
      <w:r w:rsidR="00181A10">
        <w:rPr>
          <w:rFonts w:eastAsiaTheme="minorHAnsi" w:cstheme="minorBidi"/>
          <w:szCs w:val="22"/>
          <w:lang w:val="en-AU"/>
        </w:rPr>
        <w:t xml:space="preserve"> </w:t>
      </w:r>
      <w:r w:rsidRPr="00B55C67">
        <w:rPr>
          <w:rFonts w:eastAsiaTheme="minorHAnsi" w:cstheme="minorBidi"/>
          <w:szCs w:val="22"/>
          <w:lang w:val="en-AU"/>
        </w:rPr>
        <w:t xml:space="preserve">taking a life stages approach, targeting high-risk locations, and focusing on key drowning challenges. Strategies include child drowning prevention programs, </w:t>
      </w:r>
      <w:r>
        <w:rPr>
          <w:rFonts w:eastAsiaTheme="minorHAnsi" w:cstheme="minorBidi"/>
          <w:szCs w:val="22"/>
          <w:lang w:val="en-AU"/>
        </w:rPr>
        <w:t xml:space="preserve">teaching </w:t>
      </w:r>
      <w:r w:rsidRPr="00B55C67">
        <w:rPr>
          <w:rFonts w:eastAsiaTheme="minorHAnsi" w:cstheme="minorBidi"/>
          <w:szCs w:val="22"/>
          <w:lang w:val="en-AU"/>
        </w:rPr>
        <w:t>rescue and resuscitation skills, learning to swim, preventing drinking and drowning, wearing a lifejacket when on water, raising awareness of the role pre-existing medical conditions take</w:t>
      </w:r>
      <w:r>
        <w:rPr>
          <w:rFonts w:eastAsiaTheme="minorHAnsi" w:cstheme="minorBidi"/>
          <w:szCs w:val="22"/>
          <w:lang w:val="en-AU"/>
        </w:rPr>
        <w:t>,</w:t>
      </w:r>
      <w:r w:rsidRPr="00B55C67">
        <w:rPr>
          <w:rFonts w:eastAsiaTheme="minorHAnsi" w:cstheme="minorBidi"/>
          <w:szCs w:val="22"/>
          <w:lang w:val="en-AU"/>
        </w:rPr>
        <w:t xml:space="preserve"> and partnering with relevant groups.</w:t>
      </w:r>
      <w:r>
        <w:rPr>
          <w:rFonts w:eastAsiaTheme="minorHAnsi" w:cstheme="minorBidi"/>
          <w:szCs w:val="22"/>
          <w:lang w:val="en-AU"/>
        </w:rPr>
        <w:fldChar w:fldCharType="begin"/>
      </w:r>
      <w:r w:rsidR="005B3C51">
        <w:rPr>
          <w:rFonts w:eastAsiaTheme="minorHAnsi" w:cstheme="minorBidi"/>
          <w:szCs w:val="22"/>
          <w:lang w:val="en-AU"/>
        </w:rPr>
        <w:instrText xml:space="preserve"> ADDIN EN.CITE &lt;EndNote&gt;&lt;Cite&gt;&lt;Author&gt;Australian Water Safety Council&lt;/Author&gt;&lt;Year&gt;2016&lt;/Year&gt;&lt;RecNum&gt;220&lt;/RecNum&gt;&lt;DisplayText&gt;&lt;style face="superscript"&gt;186&lt;/style&gt;&lt;/DisplayText&gt;&lt;record&gt;&lt;rec-number&gt;220&lt;/rec-number&gt;&lt;foreign-keys&gt;&lt;key app="EN" db-id="zxa00wf2opvf9oeeset50xz7ezpfwre2v20z"&gt;220&lt;/key&gt;&lt;/foreign-keys&gt;&lt;ref-type name="Report"&gt;27&lt;/ref-type&gt;&lt;contributors&gt;&lt;authors&gt;&lt;author&gt;Australian Water Safety Council,&lt;/author&gt;&lt;/authors&gt;&lt;/contributors&gt;&lt;titles&gt;&lt;title&gt;Australian Water Safety Strategy 2016-2020&lt;/title&gt;&lt;/titles&gt;&lt;dates&gt;&lt;year&gt;2016&lt;/year&gt;&lt;/dates&gt;&lt;pub-location&gt;Sydney&lt;/pub-location&gt;&lt;publisher&gt;Australian Water Safety Council&lt;/publisher&gt;&lt;urls&gt;&lt;related-urls&gt;&lt;url&gt;http://www.watersafety.com.au/Portals/0/AWSC%20Strategy%202016-20/RLS_AWSS2016_Report_2016LR.pdf&lt;/url&gt;&lt;/related-urls&gt;&lt;/urls&gt;&lt;/record&gt;&lt;/Cite&gt;&lt;/EndNote&gt;</w:instrText>
      </w:r>
      <w:r>
        <w:rPr>
          <w:rFonts w:eastAsiaTheme="minorHAnsi" w:cstheme="minorBidi"/>
          <w:szCs w:val="22"/>
          <w:lang w:val="en-AU"/>
        </w:rPr>
        <w:fldChar w:fldCharType="separate"/>
      </w:r>
      <w:r w:rsidR="005B3C51" w:rsidRPr="005B3C51">
        <w:rPr>
          <w:rFonts w:eastAsiaTheme="minorHAnsi" w:cstheme="minorBidi"/>
          <w:noProof/>
          <w:szCs w:val="22"/>
          <w:vertAlign w:val="superscript"/>
          <w:lang w:val="en-AU"/>
        </w:rPr>
        <w:t>186</w:t>
      </w:r>
      <w:r>
        <w:rPr>
          <w:rFonts w:eastAsiaTheme="minorHAnsi" w:cstheme="minorBidi"/>
          <w:szCs w:val="22"/>
          <w:lang w:val="en-AU"/>
        </w:rPr>
        <w:fldChar w:fldCharType="end"/>
      </w:r>
      <w:r w:rsidRPr="00B55C67">
        <w:rPr>
          <w:rFonts w:eastAsiaTheme="minorHAnsi" w:cstheme="minorBidi"/>
          <w:szCs w:val="22"/>
          <w:lang w:val="en-AU"/>
        </w:rPr>
        <w:t xml:space="preserve"> </w:t>
      </w:r>
    </w:p>
    <w:p w:rsidR="00C461BA" w:rsidRPr="008552C1" w:rsidRDefault="00C461BA" w:rsidP="00C461BA">
      <w:pPr>
        <w:rPr>
          <w:rFonts w:eastAsia="Arial"/>
          <w:color w:val="808080" w:themeColor="background1" w:themeShade="80"/>
          <w:sz w:val="28"/>
          <w:szCs w:val="28"/>
        </w:rPr>
      </w:pPr>
      <w:r w:rsidRPr="008552C1">
        <w:rPr>
          <w:rFonts w:eastAsia="Arial"/>
          <w:color w:val="808080" w:themeColor="background1" w:themeShade="80"/>
          <w:sz w:val="28"/>
          <w:szCs w:val="28"/>
        </w:rPr>
        <w:lastRenderedPageBreak/>
        <w:t>Reduce interpersonal violence</w:t>
      </w:r>
    </w:p>
    <w:p w:rsidR="00C461BA" w:rsidRDefault="00C461BA" w:rsidP="00C461BA"/>
    <w:p w:rsidR="00C461BA" w:rsidRPr="008552C1" w:rsidRDefault="00C461BA" w:rsidP="000903A8">
      <w:pPr>
        <w:shd w:val="clear" w:color="auto" w:fill="F2F2F2" w:themeFill="background1" w:themeFillShade="F2"/>
        <w:rPr>
          <w:color w:val="808080" w:themeColor="background1" w:themeShade="80"/>
        </w:rPr>
      </w:pPr>
      <w:r w:rsidRPr="008552C1">
        <w:rPr>
          <w:color w:val="808080" w:themeColor="background1" w:themeShade="80"/>
        </w:rPr>
        <w:t xml:space="preserve">The Department of Child Protection and Family Support leads </w:t>
      </w:r>
      <w:r w:rsidRPr="008552C1">
        <w:rPr>
          <w:i/>
          <w:color w:val="808080" w:themeColor="background1" w:themeShade="80"/>
        </w:rPr>
        <w:t>Western Australia’s Family and Domestic Violence Prevention Strategy to 2022.</w:t>
      </w:r>
      <w:r w:rsidRPr="008552C1">
        <w:rPr>
          <w:color w:val="808080" w:themeColor="background1" w:themeShade="80"/>
        </w:rPr>
        <w:fldChar w:fldCharType="begin"/>
      </w:r>
      <w:r w:rsidR="005B3C51">
        <w:rPr>
          <w:color w:val="808080" w:themeColor="background1" w:themeShade="80"/>
        </w:rPr>
        <w:instrText xml:space="preserve"> ADDIN EN.CITE &lt;EndNote&gt;&lt;Cite&gt;&lt;Author&gt;Department of Child Protection&lt;/Author&gt;&lt;Year&gt;Undated&lt;/Year&gt;&lt;RecNum&gt;1059&lt;/RecNum&gt;&lt;DisplayText&gt;&lt;style face="superscript"&gt;187&lt;/style&gt;&lt;/DisplayText&gt;&lt;record&gt;&lt;rec-number&gt;1059&lt;/rec-number&gt;&lt;foreign-keys&gt;&lt;key app="EN" db-id="zxa00wf2opvf9oeeset50xz7ezpfwre2v20z"&gt;1059&lt;/key&gt;&lt;/foreign-keys&gt;&lt;ref-type name="Report"&gt;27&lt;/ref-type&gt;&lt;contributors&gt;&lt;authors&gt;&lt;author&gt;Department of Child Protection,&lt;/author&gt;&lt;author&gt;Western Australia,&lt;/author&gt;&lt;/authors&gt;&lt;/contributors&gt;&lt;titles&gt;&lt;title&gt;Western Australia&amp;apos;s Family and Domestic Violence Prevention Strategy to 2022. Creating Safer Communities&lt;/title&gt;&lt;/titles&gt;&lt;dates&gt;&lt;year&gt;Undated&lt;/year&gt;&lt;/dates&gt;&lt;pub-location&gt;Perth&lt;/pub-location&gt;&lt;publisher&gt;Department of Child Protection, Western Australia&lt;/publisher&gt;&lt;urls&gt;&lt;related-urls&gt;&lt;url&gt;http://www.dcp.wa.gov.au/Documents/WA%20FDV%20Prevention%20Strategy%20to%202022.pdf&lt;/url&gt;&lt;/related-urls&gt;&lt;/urls&gt;&lt;/record&gt;&lt;/Cite&gt;&lt;/EndNote&gt;</w:instrText>
      </w:r>
      <w:r w:rsidRPr="008552C1">
        <w:rPr>
          <w:color w:val="808080" w:themeColor="background1" w:themeShade="80"/>
        </w:rPr>
        <w:fldChar w:fldCharType="separate"/>
      </w:r>
      <w:r w:rsidR="005B3C51" w:rsidRPr="005B3C51">
        <w:rPr>
          <w:noProof/>
          <w:color w:val="808080" w:themeColor="background1" w:themeShade="80"/>
          <w:vertAlign w:val="superscript"/>
        </w:rPr>
        <w:t>187</w:t>
      </w:r>
      <w:r w:rsidRPr="008552C1">
        <w:rPr>
          <w:color w:val="808080" w:themeColor="background1" w:themeShade="80"/>
        </w:rPr>
        <w:fldChar w:fldCharType="end"/>
      </w:r>
    </w:p>
    <w:p w:rsidR="00C461BA" w:rsidRPr="00E41DF3" w:rsidRDefault="00C461BA" w:rsidP="00C461BA"/>
    <w:p w:rsidR="00C461BA" w:rsidRPr="00B55C67" w:rsidRDefault="00C461BA" w:rsidP="00C461BA">
      <w:pPr>
        <w:widowControl/>
        <w:spacing w:after="170"/>
        <w:rPr>
          <w:rFonts w:eastAsiaTheme="minorHAnsi" w:cstheme="minorBidi"/>
          <w:szCs w:val="22"/>
          <w:lang w:val="en-AU"/>
        </w:rPr>
      </w:pPr>
      <w:r w:rsidRPr="004A22A3">
        <w:rPr>
          <w:rFonts w:eastAsiaTheme="minorHAnsi" w:cstheme="minorBidi"/>
          <w:szCs w:val="22"/>
          <w:lang w:val="en-AU"/>
        </w:rPr>
        <w:t>Interpersonal violence, including assault, domestic violence, family violence, sexual violence and community violence is a leading cause of preventable injury in WA, especially in people aged 15–64.</w:t>
      </w:r>
      <w:r>
        <w:rPr>
          <w:rFonts w:eastAsiaTheme="minorHAnsi" w:cstheme="minorBidi"/>
          <w:szCs w:val="22"/>
          <w:lang w:val="en-AU"/>
        </w:rPr>
        <w:fldChar w:fldCharType="begin"/>
      </w:r>
      <w:r w:rsidR="005B3C51">
        <w:rPr>
          <w:rFonts w:eastAsiaTheme="minorHAnsi" w:cstheme="minorBidi"/>
          <w:szCs w:val="22"/>
          <w:lang w:val="en-AU"/>
        </w:rPr>
        <w:instrText xml:space="preserve"> ADDIN EN.CITE &lt;EndNote&gt;&lt;Cite&gt;&lt;Author&gt;Epidemiology Branch&lt;/Author&gt;&lt;Year&gt;2016&lt;/Year&gt;&lt;RecNum&gt;79&lt;/RecNum&gt;&lt;DisplayText&gt;&lt;style face="superscript"&gt;182&lt;/style&gt;&lt;/DisplayText&gt;&lt;record&gt;&lt;rec-number&gt;79&lt;/rec-number&gt;&lt;foreign-keys&gt;&lt;key app="EN" db-id="zxa00wf2opvf9oeeset50xz7ezpfwre2v20z"&gt;79&lt;/key&gt;&lt;/foreign-keys&gt;&lt;ref-type name="Report"&gt;27&lt;/ref-type&gt;&lt;contributors&gt;&lt;authors&gt;&lt;author&gt;Epidemiology Branch,&lt;/author&gt;&lt;author&gt;Department of Health,&lt;/author&gt;&lt;author&gt;Western Australia,&lt;/author&gt;&lt;/authors&gt;&lt;/contributors&gt;&lt;titles&gt;&lt;title&gt;Leading causes of death 2009-2013 and hospitalisation 2010-2014 by injury in WA&lt;/title&gt;&lt;/titles&gt;&lt;dates&gt;&lt;year&gt;2016&lt;/year&gt;&lt;/dates&gt;&lt;pub-location&gt;Perth&lt;/pub-location&gt;&lt;publisher&gt;Department of Health, Western Australia&lt;/publisher&gt;&lt;urls&gt;&lt;/urls&gt;&lt;/record&gt;&lt;/Cite&gt;&lt;/EndNote&gt;</w:instrText>
      </w:r>
      <w:r>
        <w:rPr>
          <w:rFonts w:eastAsiaTheme="minorHAnsi" w:cstheme="minorBidi"/>
          <w:szCs w:val="22"/>
          <w:lang w:val="en-AU"/>
        </w:rPr>
        <w:fldChar w:fldCharType="separate"/>
      </w:r>
      <w:r w:rsidR="005B3C51" w:rsidRPr="005B3C51">
        <w:rPr>
          <w:rFonts w:eastAsiaTheme="minorHAnsi" w:cstheme="minorBidi"/>
          <w:noProof/>
          <w:szCs w:val="22"/>
          <w:vertAlign w:val="superscript"/>
          <w:lang w:val="en-AU"/>
        </w:rPr>
        <w:t>182</w:t>
      </w:r>
      <w:r>
        <w:rPr>
          <w:rFonts w:eastAsiaTheme="minorHAnsi" w:cstheme="minorBidi"/>
          <w:szCs w:val="22"/>
          <w:lang w:val="en-AU"/>
        </w:rPr>
        <w:fldChar w:fldCharType="end"/>
      </w:r>
      <w:r w:rsidRPr="004A22A3">
        <w:rPr>
          <w:rFonts w:eastAsiaTheme="minorHAnsi" w:cstheme="minorBidi"/>
          <w:szCs w:val="22"/>
          <w:lang w:val="en-AU"/>
        </w:rPr>
        <w:t xml:space="preserve"> Injuries from interpersonal violence are more common in males than females, </w:t>
      </w:r>
      <w:r w:rsidR="004048FB">
        <w:rPr>
          <w:rFonts w:eastAsiaTheme="minorHAnsi" w:cstheme="minorBidi"/>
          <w:szCs w:val="22"/>
          <w:lang w:val="en-AU"/>
        </w:rPr>
        <w:t>among Aboriginal people, p</w:t>
      </w:r>
      <w:r w:rsidRPr="004A22A3">
        <w:rPr>
          <w:rFonts w:eastAsiaTheme="minorHAnsi" w:cstheme="minorBidi"/>
          <w:szCs w:val="22"/>
          <w:lang w:val="en-AU"/>
        </w:rPr>
        <w:t>eople living in lower socio-economic areas, and those l</w:t>
      </w:r>
      <w:r w:rsidR="004048FB">
        <w:rPr>
          <w:rFonts w:eastAsiaTheme="minorHAnsi" w:cstheme="minorBidi"/>
          <w:szCs w:val="22"/>
          <w:lang w:val="en-AU"/>
        </w:rPr>
        <w:t>iving in rural and remote areas</w:t>
      </w:r>
      <w:r w:rsidRPr="004A22A3">
        <w:rPr>
          <w:rFonts w:eastAsiaTheme="minorHAnsi" w:cstheme="minorBidi"/>
          <w:szCs w:val="22"/>
          <w:lang w:val="en-AU"/>
        </w:rPr>
        <w:t>.</w:t>
      </w:r>
      <w:r>
        <w:rPr>
          <w:rFonts w:eastAsiaTheme="minorHAnsi" w:cstheme="minorBidi"/>
          <w:szCs w:val="22"/>
          <w:lang w:val="en-AU"/>
        </w:rPr>
        <w:fldChar w:fldCharType="begin"/>
      </w:r>
      <w:r w:rsidR="005B3C51">
        <w:rPr>
          <w:rFonts w:eastAsiaTheme="minorHAnsi" w:cstheme="minorBidi"/>
          <w:szCs w:val="22"/>
          <w:lang w:val="en-AU"/>
        </w:rPr>
        <w:instrText xml:space="preserve"> ADDIN EN.CITE &lt;EndNote&gt;&lt;Cite&gt;&lt;Author&gt;Ballestas&lt;/Author&gt;&lt;Year&gt;2011&lt;/Year&gt;&lt;RecNum&gt;228&lt;/RecNum&gt;&lt;DisplayText&gt;&lt;style face="superscript"&gt;180&lt;/style&gt;&lt;/DisplayText&gt;&lt;record&gt;&lt;rec-number&gt;228&lt;/rec-number&gt;&lt;foreign-keys&gt;&lt;key app="EN" db-id="zxa00wf2opvf9oeeset50xz7ezpfwre2v20z"&gt;228&lt;/key&gt;&lt;/foreign-keys&gt;&lt;ref-type name="Report"&gt;27&lt;/ref-type&gt;&lt;contributors&gt;&lt;authors&gt;&lt;author&gt;Ballestas, T&lt;/author&gt;&lt;author&gt;Xiao, J&lt;/author&gt;&lt;author&gt;McEvoy, S&lt;/author&gt;&lt;author&gt;Somerford, P&lt;/author&gt;&lt;/authors&gt;&lt;/contributors&gt;&lt;titles&gt;&lt;title&gt;The epidemiology of injury in Western Australia, 2000-2008&lt;/title&gt;&lt;/titles&gt;&lt;dates&gt;&lt;year&gt;2011&lt;/year&gt;&lt;/dates&gt;&lt;pub-location&gt;Perth&lt;/pub-location&gt;&lt;publisher&gt;Department of Health, Western Australia&lt;/publisher&gt;&lt;urls&gt;&lt;related-urls&gt;&lt;url&gt;http://www.public.health.wa.gov.au/cproot/4228/2/injury_report_2011.pdf&lt;/url&gt;&lt;/related-urls&gt;&lt;/urls&gt;&lt;/record&gt;&lt;/Cite&gt;&lt;/EndNote&gt;</w:instrText>
      </w:r>
      <w:r>
        <w:rPr>
          <w:rFonts w:eastAsiaTheme="minorHAnsi" w:cstheme="minorBidi"/>
          <w:szCs w:val="22"/>
          <w:lang w:val="en-AU"/>
        </w:rPr>
        <w:fldChar w:fldCharType="separate"/>
      </w:r>
      <w:r w:rsidR="005B3C51" w:rsidRPr="005B3C51">
        <w:rPr>
          <w:rFonts w:eastAsiaTheme="minorHAnsi" w:cstheme="minorBidi"/>
          <w:noProof/>
          <w:szCs w:val="22"/>
          <w:vertAlign w:val="superscript"/>
          <w:lang w:val="en-AU"/>
        </w:rPr>
        <w:t>180</w:t>
      </w:r>
      <w:r>
        <w:rPr>
          <w:rFonts w:eastAsiaTheme="minorHAnsi" w:cstheme="minorBidi"/>
          <w:szCs w:val="22"/>
          <w:lang w:val="en-AU"/>
        </w:rPr>
        <w:fldChar w:fldCharType="end"/>
      </w:r>
      <w:r w:rsidR="00D27A96">
        <w:rPr>
          <w:rFonts w:eastAsiaTheme="minorHAnsi" w:cstheme="minorBidi"/>
          <w:szCs w:val="22"/>
          <w:lang w:val="en-AU"/>
        </w:rPr>
        <w:t xml:space="preserve"> </w:t>
      </w:r>
      <w:r w:rsidR="00916A1A">
        <w:rPr>
          <w:rFonts w:eastAsiaTheme="minorHAnsi" w:cstheme="minorBidi"/>
          <w:szCs w:val="22"/>
          <w:lang w:val="en-AU"/>
        </w:rPr>
        <w:t>Alcohol use is an important factor, contributing to about 45% of hospitalisations and deaths from interpersonal violence.</w:t>
      </w:r>
      <w:r w:rsidR="00AC4D8E">
        <w:rPr>
          <w:rFonts w:eastAsiaTheme="minorHAnsi" w:cstheme="minorBidi"/>
          <w:szCs w:val="22"/>
          <w:lang w:val="en-AU"/>
        </w:rPr>
        <w:fldChar w:fldCharType="begin"/>
      </w:r>
      <w:r w:rsidR="005B3C51">
        <w:rPr>
          <w:rFonts w:eastAsiaTheme="minorHAnsi" w:cstheme="minorBidi"/>
          <w:szCs w:val="22"/>
          <w:lang w:val="en-AU"/>
        </w:rPr>
        <w:instrText xml:space="preserve"> ADDIN EN.CITE &lt;EndNote&gt;&lt;Cite&gt;&lt;Author&gt;Ballestas&lt;/Author&gt;&lt;Year&gt;2011&lt;/Year&gt;&lt;RecNum&gt;228&lt;/RecNum&gt;&lt;DisplayText&gt;&lt;style face="superscript"&gt;180&lt;/style&gt;&lt;/DisplayText&gt;&lt;record&gt;&lt;rec-number&gt;228&lt;/rec-number&gt;&lt;foreign-keys&gt;&lt;key app="EN" db-id="zxa00wf2opvf9oeeset50xz7ezpfwre2v20z"&gt;228&lt;/key&gt;&lt;/foreign-keys&gt;&lt;ref-type name="Report"&gt;27&lt;/ref-type&gt;&lt;contributors&gt;&lt;authors&gt;&lt;author&gt;Ballestas, T&lt;/author&gt;&lt;author&gt;Xiao, J&lt;/author&gt;&lt;author&gt;McEvoy, S&lt;/author&gt;&lt;author&gt;Somerford, P&lt;/author&gt;&lt;/authors&gt;&lt;/contributors&gt;&lt;titles&gt;&lt;title&gt;The epidemiology of injury in Western Australia, 2000-2008&lt;/title&gt;&lt;/titles&gt;&lt;dates&gt;&lt;year&gt;2011&lt;/year&gt;&lt;/dates&gt;&lt;pub-location&gt;Perth&lt;/pub-location&gt;&lt;publisher&gt;Department of Health, Western Australia&lt;/publisher&gt;&lt;urls&gt;&lt;related-urls&gt;&lt;url&gt;http://www.public.health.wa.gov.au/cproot/4228/2/injury_report_2011.pdf&lt;/url&gt;&lt;/related-urls&gt;&lt;/urls&gt;&lt;/record&gt;&lt;/Cite&gt;&lt;/EndNote&gt;</w:instrText>
      </w:r>
      <w:r w:rsidR="00AC4D8E">
        <w:rPr>
          <w:rFonts w:eastAsiaTheme="minorHAnsi" w:cstheme="minorBidi"/>
          <w:szCs w:val="22"/>
          <w:lang w:val="en-AU"/>
        </w:rPr>
        <w:fldChar w:fldCharType="separate"/>
      </w:r>
      <w:r w:rsidR="005B3C51" w:rsidRPr="005B3C51">
        <w:rPr>
          <w:rFonts w:eastAsiaTheme="minorHAnsi" w:cstheme="minorBidi"/>
          <w:noProof/>
          <w:szCs w:val="22"/>
          <w:vertAlign w:val="superscript"/>
          <w:lang w:val="en-AU"/>
        </w:rPr>
        <w:t>180</w:t>
      </w:r>
      <w:r w:rsidR="00AC4D8E">
        <w:rPr>
          <w:rFonts w:eastAsiaTheme="minorHAnsi" w:cstheme="minorBidi"/>
          <w:szCs w:val="22"/>
          <w:lang w:val="en-AU"/>
        </w:rPr>
        <w:fldChar w:fldCharType="end"/>
      </w:r>
      <w:r w:rsidR="00014408">
        <w:rPr>
          <w:rFonts w:eastAsiaTheme="minorHAnsi" w:cstheme="minorBidi"/>
          <w:szCs w:val="22"/>
          <w:lang w:val="en-AU"/>
        </w:rPr>
        <w:t xml:space="preserve"> </w:t>
      </w:r>
      <w:r w:rsidR="00BB4764">
        <w:rPr>
          <w:rFonts w:eastAsiaTheme="minorHAnsi" w:cstheme="minorBidi"/>
          <w:szCs w:val="22"/>
          <w:lang w:val="en-AU"/>
        </w:rPr>
        <w:t xml:space="preserve">Some illicit drugs, </w:t>
      </w:r>
      <w:r w:rsidR="00FC262C">
        <w:rPr>
          <w:rFonts w:eastAsiaTheme="minorHAnsi" w:cstheme="minorBidi"/>
          <w:szCs w:val="22"/>
          <w:lang w:val="en-AU"/>
        </w:rPr>
        <w:t>including</w:t>
      </w:r>
      <w:r w:rsidR="00BB4764">
        <w:rPr>
          <w:rFonts w:eastAsiaTheme="minorHAnsi" w:cstheme="minorBidi"/>
          <w:szCs w:val="22"/>
          <w:lang w:val="en-AU"/>
        </w:rPr>
        <w:t xml:space="preserve"> </w:t>
      </w:r>
      <w:r w:rsidR="00CB3B22">
        <w:rPr>
          <w:rFonts w:eastAsiaTheme="minorHAnsi" w:cstheme="minorBidi"/>
          <w:szCs w:val="22"/>
          <w:lang w:val="en-AU"/>
        </w:rPr>
        <w:t xml:space="preserve">methamphetamines, </w:t>
      </w:r>
      <w:r w:rsidR="00BB4764">
        <w:rPr>
          <w:rFonts w:eastAsiaTheme="minorHAnsi" w:cstheme="minorBidi"/>
          <w:szCs w:val="22"/>
          <w:lang w:val="en-AU"/>
        </w:rPr>
        <w:t>are</w:t>
      </w:r>
      <w:r w:rsidR="00181A10">
        <w:rPr>
          <w:rFonts w:eastAsiaTheme="minorHAnsi" w:cstheme="minorBidi"/>
          <w:szCs w:val="22"/>
          <w:lang w:val="en-AU"/>
        </w:rPr>
        <w:t xml:space="preserve"> </w:t>
      </w:r>
      <w:r w:rsidR="00CB3B22">
        <w:rPr>
          <w:rFonts w:eastAsiaTheme="minorHAnsi" w:cstheme="minorBidi"/>
          <w:szCs w:val="22"/>
          <w:lang w:val="en-AU"/>
        </w:rPr>
        <w:t>related to an increase in violent behaviour.</w:t>
      </w:r>
      <w:r w:rsidR="00BB4764">
        <w:rPr>
          <w:rFonts w:eastAsiaTheme="minorHAnsi" w:cstheme="minorBidi"/>
          <w:szCs w:val="22"/>
          <w:lang w:val="en-AU"/>
        </w:rPr>
        <w:fldChar w:fldCharType="begin"/>
      </w:r>
      <w:r w:rsidR="005B3C51">
        <w:rPr>
          <w:rFonts w:eastAsiaTheme="minorHAnsi" w:cstheme="minorBidi"/>
          <w:szCs w:val="22"/>
          <w:lang w:val="en-AU"/>
        </w:rPr>
        <w:instrText xml:space="preserve"> ADDIN EN.CITE &lt;EndNote&gt;&lt;Cite&gt;&lt;Author&gt;McKetin&lt;/Author&gt;&lt;Year&gt;2014&lt;/Year&gt;&lt;RecNum&gt;1095&lt;/RecNum&gt;&lt;DisplayText&gt;&lt;style face="superscript"&gt;188&lt;/style&gt;&lt;/DisplayText&gt;&lt;record&gt;&lt;rec-number&gt;1095&lt;/rec-number&gt;&lt;foreign-keys&gt;&lt;key app="EN" db-id="zxa00wf2opvf9oeeset50xz7ezpfwre2v20z"&gt;1095&lt;/key&gt;&lt;/foreign-keys&gt;&lt;ref-type name="Journal Article"&gt;17&lt;/ref-type&gt;&lt;contributors&gt;&lt;authors&gt;&lt;author&gt;McKetin, R&lt;/author&gt;&lt;author&gt;Lubman, DI&lt;/author&gt;&lt;author&gt;Najman, JM&lt;/author&gt;&lt;author&gt;Dawe, S&lt;/author&gt;&lt;author&gt;Butterworth, P&lt;/author&gt;&lt;author&gt;Baker, AL&lt;/author&gt;&lt;/authors&gt;&lt;/contributors&gt;&lt;titles&gt;&lt;title&gt;Does methamphetamine use increase violent behaviour? Evidence from a prospective longitudinal study.&lt;/title&gt;&lt;secondary-title&gt;Addiction&lt;/secondary-title&gt;&lt;/titles&gt;&lt;periodical&gt;&lt;full-title&gt;Addiction&lt;/full-title&gt;&lt;/periodical&gt;&lt;pages&gt;798-806&lt;/pages&gt;&lt;volume&gt;109&lt;/volume&gt;&lt;dates&gt;&lt;year&gt;2014&lt;/year&gt;&lt;/dates&gt;&lt;urls&gt;&lt;/urls&gt;&lt;/record&gt;&lt;/Cite&gt;&lt;/EndNote&gt;</w:instrText>
      </w:r>
      <w:r w:rsidR="00BB4764">
        <w:rPr>
          <w:rFonts w:eastAsiaTheme="minorHAnsi" w:cstheme="minorBidi"/>
          <w:szCs w:val="22"/>
          <w:lang w:val="en-AU"/>
        </w:rPr>
        <w:fldChar w:fldCharType="separate"/>
      </w:r>
      <w:r w:rsidR="005B3C51" w:rsidRPr="005B3C51">
        <w:rPr>
          <w:rFonts w:eastAsiaTheme="minorHAnsi" w:cstheme="minorBidi"/>
          <w:noProof/>
          <w:szCs w:val="22"/>
          <w:vertAlign w:val="superscript"/>
          <w:lang w:val="en-AU"/>
        </w:rPr>
        <w:t>188</w:t>
      </w:r>
      <w:r w:rsidR="00BB4764">
        <w:rPr>
          <w:rFonts w:eastAsiaTheme="minorHAnsi" w:cstheme="minorBidi"/>
          <w:szCs w:val="22"/>
          <w:lang w:val="en-AU"/>
        </w:rPr>
        <w:fldChar w:fldCharType="end"/>
      </w:r>
    </w:p>
    <w:p w:rsidR="00C461BA" w:rsidRPr="00B55C67" w:rsidRDefault="00C461BA" w:rsidP="00811010">
      <w:pPr>
        <w:widowControl/>
        <w:rPr>
          <w:rFonts w:eastAsiaTheme="minorHAnsi" w:cstheme="minorBidi"/>
          <w:szCs w:val="22"/>
          <w:lang w:val="en-AU"/>
        </w:rPr>
      </w:pPr>
      <w:r w:rsidRPr="00B55C67">
        <w:rPr>
          <w:rFonts w:eastAsiaTheme="minorHAnsi" w:cstheme="minorBidi"/>
          <w:szCs w:val="22"/>
          <w:lang w:val="en-AU"/>
        </w:rPr>
        <w:t>Approaches to reduce the incidence of interpersonal violence in WA include population-wide initiatives to increase awareness of and challenge community attitudes to violence, as well as targeted prevention activities for high risk groups.</w:t>
      </w:r>
      <w:r>
        <w:rPr>
          <w:rFonts w:eastAsiaTheme="minorHAnsi" w:cstheme="minorBidi"/>
          <w:szCs w:val="22"/>
          <w:lang w:val="en-AU"/>
        </w:rPr>
        <w:fldChar w:fldCharType="begin"/>
      </w:r>
      <w:r w:rsidR="005B3C51">
        <w:rPr>
          <w:rFonts w:eastAsiaTheme="minorHAnsi" w:cstheme="minorBidi"/>
          <w:szCs w:val="22"/>
          <w:lang w:val="en-AU"/>
        </w:rPr>
        <w:instrText xml:space="preserve"> ADDIN EN.CITE &lt;EndNote&gt;&lt;Cite&gt;&lt;Author&gt;Department of Child Protection&lt;/Author&gt;&lt;Year&gt;Undated&lt;/Year&gt;&lt;RecNum&gt;1059&lt;/RecNum&gt;&lt;DisplayText&gt;&lt;style face="superscript"&gt;187&lt;/style&gt;&lt;/DisplayText&gt;&lt;record&gt;&lt;rec-number&gt;1059&lt;/rec-number&gt;&lt;foreign-keys&gt;&lt;key app="EN" db-id="zxa00wf2opvf9oeeset50xz7ezpfwre2v20z"&gt;1059&lt;/key&gt;&lt;/foreign-keys&gt;&lt;ref-type name="Report"&gt;27&lt;/ref-type&gt;&lt;contributors&gt;&lt;authors&gt;&lt;author&gt;Department of Child Protection,&lt;/author&gt;&lt;author&gt;Western Australia,&lt;/author&gt;&lt;/authors&gt;&lt;/contributors&gt;&lt;titles&gt;&lt;title&gt;Western Australia&amp;apos;s Family and Domestic Violence Prevention Strategy to 2022. Creating Safer Communities&lt;/title&gt;&lt;/titles&gt;&lt;dates&gt;&lt;year&gt;Undated&lt;/year&gt;&lt;/dates&gt;&lt;pub-location&gt;Perth&lt;/pub-location&gt;&lt;publisher&gt;Department of Child Protection, Western Australia&lt;/publisher&gt;&lt;urls&gt;&lt;related-urls&gt;&lt;url&gt;http://www.dcp.wa.gov.au/Documents/WA%20FDV%20Prevention%20Strategy%20to%202022.pdf&lt;/url&gt;&lt;/related-urls&gt;&lt;/urls&gt;&lt;/record&gt;&lt;/Cite&gt;&lt;/EndNote&gt;</w:instrText>
      </w:r>
      <w:r>
        <w:rPr>
          <w:rFonts w:eastAsiaTheme="minorHAnsi" w:cstheme="minorBidi"/>
          <w:szCs w:val="22"/>
          <w:lang w:val="en-AU"/>
        </w:rPr>
        <w:fldChar w:fldCharType="separate"/>
      </w:r>
      <w:r w:rsidR="005B3C51" w:rsidRPr="005B3C51">
        <w:rPr>
          <w:rFonts w:eastAsiaTheme="minorHAnsi" w:cstheme="minorBidi"/>
          <w:noProof/>
          <w:szCs w:val="22"/>
          <w:vertAlign w:val="superscript"/>
          <w:lang w:val="en-AU"/>
        </w:rPr>
        <w:t>187</w:t>
      </w:r>
      <w:r>
        <w:rPr>
          <w:rFonts w:eastAsiaTheme="minorHAnsi" w:cstheme="minorBidi"/>
          <w:szCs w:val="22"/>
          <w:lang w:val="en-AU"/>
        </w:rPr>
        <w:fldChar w:fldCharType="end"/>
      </w:r>
      <w:r w:rsidRPr="00B55C67">
        <w:rPr>
          <w:rFonts w:eastAsiaTheme="minorHAnsi" w:cstheme="minorBidi"/>
          <w:szCs w:val="22"/>
          <w:lang w:val="en-AU"/>
        </w:rPr>
        <w:t xml:space="preserve"> </w:t>
      </w:r>
      <w:r w:rsidRPr="00B55C67">
        <w:rPr>
          <w:rFonts w:eastAsiaTheme="minorHAnsi" w:cstheme="minorBidi"/>
          <w:i/>
          <w:iCs/>
          <w:szCs w:val="22"/>
          <w:lang w:val="en-AU"/>
        </w:rPr>
        <w:t>Western Australia’s Family and Domestic Violence Prevention Strategy to 2022</w:t>
      </w:r>
      <w:r w:rsidRPr="00B55C67">
        <w:rPr>
          <w:rFonts w:eastAsiaTheme="minorHAnsi" w:cstheme="minorBidi"/>
          <w:szCs w:val="22"/>
          <w:lang w:val="en-AU"/>
        </w:rPr>
        <w:t xml:space="preserve"> identifies action areas for prevention and early intervention of violence, with a focus </w:t>
      </w:r>
      <w:r w:rsidRPr="00B34EC3">
        <w:rPr>
          <w:rFonts w:eastAsiaTheme="minorHAnsi" w:cstheme="minorBidi"/>
          <w:szCs w:val="22"/>
          <w:lang w:val="en-AU"/>
        </w:rPr>
        <w:t>on education programs, awareness raising campaigns, media collaboration and coordinated organisational responses</w:t>
      </w:r>
      <w:r w:rsidRPr="00B34EC3">
        <w:rPr>
          <w:rFonts w:eastAsiaTheme="minorHAnsi" w:cstheme="minorBidi"/>
          <w:iCs/>
          <w:szCs w:val="22"/>
          <w:lang w:val="en-AU"/>
        </w:rPr>
        <w:t>.</w:t>
      </w:r>
      <w:r>
        <w:rPr>
          <w:rFonts w:eastAsiaTheme="minorHAnsi" w:cstheme="minorBidi"/>
          <w:iCs/>
          <w:szCs w:val="22"/>
          <w:lang w:val="en-AU"/>
        </w:rPr>
        <w:fldChar w:fldCharType="begin"/>
      </w:r>
      <w:r w:rsidR="005B3C51">
        <w:rPr>
          <w:rFonts w:eastAsiaTheme="minorHAnsi" w:cstheme="minorBidi"/>
          <w:iCs/>
          <w:szCs w:val="22"/>
          <w:lang w:val="en-AU"/>
        </w:rPr>
        <w:instrText xml:space="preserve"> ADDIN EN.CITE &lt;EndNote&gt;&lt;Cite&gt;&lt;Author&gt;Department of Child Protection&lt;/Author&gt;&lt;Year&gt;Undated&lt;/Year&gt;&lt;RecNum&gt;1059&lt;/RecNum&gt;&lt;DisplayText&gt;&lt;style face="superscript"&gt;187&lt;/style&gt;&lt;/DisplayText&gt;&lt;record&gt;&lt;rec-number&gt;1059&lt;/rec-number&gt;&lt;foreign-keys&gt;&lt;key app="EN" db-id="zxa00wf2opvf9oeeset50xz7ezpfwre2v20z"&gt;1059&lt;/key&gt;&lt;/foreign-keys&gt;&lt;ref-type name="Report"&gt;27&lt;/ref-type&gt;&lt;contributors&gt;&lt;authors&gt;&lt;author&gt;Department of Child Protection,&lt;/author&gt;&lt;author&gt;Western Australia,&lt;/author&gt;&lt;/authors&gt;&lt;/contributors&gt;&lt;titles&gt;&lt;title&gt;Western Australia&amp;apos;s Family and Domestic Violence Prevention Strategy to 2022. Creating Safer Communities&lt;/title&gt;&lt;/titles&gt;&lt;dates&gt;&lt;year&gt;Undated&lt;/year&gt;&lt;/dates&gt;&lt;pub-location&gt;Perth&lt;/pub-location&gt;&lt;publisher&gt;Department of Child Protection, Western Australia&lt;/publisher&gt;&lt;urls&gt;&lt;related-urls&gt;&lt;url&gt;http://www.dcp.wa.gov.au/Documents/WA%20FDV%20Prevention%20Strategy%20to%202022.pdf&lt;/url&gt;&lt;/related-urls&gt;&lt;/urls&gt;&lt;/record&gt;&lt;/Cite&gt;&lt;/EndNote&gt;</w:instrText>
      </w:r>
      <w:r>
        <w:rPr>
          <w:rFonts w:eastAsiaTheme="minorHAnsi" w:cstheme="minorBidi"/>
          <w:iCs/>
          <w:szCs w:val="22"/>
          <w:lang w:val="en-AU"/>
        </w:rPr>
        <w:fldChar w:fldCharType="separate"/>
      </w:r>
      <w:r w:rsidR="005B3C51" w:rsidRPr="005B3C51">
        <w:rPr>
          <w:rFonts w:eastAsiaTheme="minorHAnsi" w:cstheme="minorBidi"/>
          <w:iCs/>
          <w:noProof/>
          <w:szCs w:val="22"/>
          <w:vertAlign w:val="superscript"/>
          <w:lang w:val="en-AU"/>
        </w:rPr>
        <w:t>187</w:t>
      </w:r>
      <w:r>
        <w:rPr>
          <w:rFonts w:eastAsiaTheme="minorHAnsi" w:cstheme="minorBidi"/>
          <w:iCs/>
          <w:szCs w:val="22"/>
          <w:lang w:val="en-AU"/>
        </w:rPr>
        <w:fldChar w:fldCharType="end"/>
      </w:r>
      <w:r w:rsidRPr="00B34EC3">
        <w:rPr>
          <w:rFonts w:eastAsiaTheme="minorHAnsi" w:cstheme="minorBidi"/>
          <w:szCs w:val="22"/>
          <w:lang w:val="en-AU"/>
        </w:rPr>
        <w:t xml:space="preserve"> These action areas</w:t>
      </w:r>
      <w:r w:rsidRPr="00B55C67">
        <w:rPr>
          <w:rFonts w:eastAsiaTheme="minorHAnsi" w:cstheme="minorBidi"/>
          <w:szCs w:val="22"/>
          <w:lang w:val="en-AU"/>
        </w:rPr>
        <w:t xml:space="preserve"> are applicable to all forms of violence across the community.</w:t>
      </w:r>
    </w:p>
    <w:p w:rsidR="00415FB5" w:rsidRDefault="00415FB5" w:rsidP="005652E6"/>
    <w:p w:rsidR="002F54AA" w:rsidRPr="008552C1" w:rsidRDefault="002F54AA" w:rsidP="005652E6">
      <w:pPr>
        <w:rPr>
          <w:rFonts w:eastAsia="Arial"/>
          <w:color w:val="808080" w:themeColor="background1" w:themeShade="80"/>
          <w:sz w:val="28"/>
          <w:szCs w:val="28"/>
        </w:rPr>
      </w:pPr>
      <w:r w:rsidRPr="008552C1">
        <w:rPr>
          <w:rFonts w:eastAsia="Arial"/>
          <w:color w:val="808080" w:themeColor="background1" w:themeShade="80"/>
          <w:sz w:val="28"/>
          <w:szCs w:val="28"/>
        </w:rPr>
        <w:t>Develop the injury prevention and safer communities sector</w:t>
      </w:r>
    </w:p>
    <w:p w:rsidR="002F54AA" w:rsidRPr="00C37264" w:rsidRDefault="002F54AA" w:rsidP="005652E6"/>
    <w:p w:rsidR="00861594" w:rsidRDefault="0095774C" w:rsidP="005652E6">
      <w:r w:rsidRPr="00365566">
        <w:t xml:space="preserve">The importance of a </w:t>
      </w:r>
      <w:r w:rsidR="00451471" w:rsidRPr="00365566">
        <w:t>coordinated</w:t>
      </w:r>
      <w:r w:rsidRPr="00365566">
        <w:t xml:space="preserve"> </w:t>
      </w:r>
      <w:r w:rsidR="00451471">
        <w:t xml:space="preserve">approach to disease and injury </w:t>
      </w:r>
      <w:r w:rsidRPr="00365566">
        <w:t xml:space="preserve">prevention is a constant theme throughout the WA HPSF, and </w:t>
      </w:r>
      <w:r w:rsidR="00CB6C25">
        <w:t>because of the breadth of organisations with an active interest and engagement in injury prevention,</w:t>
      </w:r>
      <w:r w:rsidR="007F4216">
        <w:t xml:space="preserve"> a coordinated approach is </w:t>
      </w:r>
      <w:r w:rsidR="000853EC">
        <w:t>critical</w:t>
      </w:r>
      <w:r w:rsidR="00861594">
        <w:t xml:space="preserve">. </w:t>
      </w:r>
      <w:r w:rsidR="00DE5A6C">
        <w:t>Organisations and agencies with an interest in i</w:t>
      </w:r>
      <w:r w:rsidR="00E05817">
        <w:t xml:space="preserve">njury prevention </w:t>
      </w:r>
      <w:r w:rsidR="004C5BE7">
        <w:t>includ</w:t>
      </w:r>
      <w:r w:rsidR="00DE5A6C">
        <w:t>e</w:t>
      </w:r>
      <w:r w:rsidR="004C5BE7">
        <w:t xml:space="preserve"> those </w:t>
      </w:r>
      <w:r w:rsidR="007D3205">
        <w:t>concerned with</w:t>
      </w:r>
      <w:r w:rsidR="00E05817">
        <w:t xml:space="preserve"> </w:t>
      </w:r>
      <w:r w:rsidR="00342463">
        <w:t xml:space="preserve">law enforcement; </w:t>
      </w:r>
      <w:r w:rsidR="00025790">
        <w:t xml:space="preserve">mental health; </w:t>
      </w:r>
      <w:r w:rsidR="00E05817">
        <w:t xml:space="preserve">alcohol and drug use; road safety; </w:t>
      </w:r>
      <w:r w:rsidR="00A721A2">
        <w:t xml:space="preserve">product </w:t>
      </w:r>
      <w:r w:rsidR="00342463">
        <w:t xml:space="preserve">safety </w:t>
      </w:r>
      <w:r w:rsidR="00A721A2">
        <w:t>packag</w:t>
      </w:r>
      <w:r w:rsidR="00025790">
        <w:t>ing; occupational health and safety;</w:t>
      </w:r>
      <w:r w:rsidR="00A721A2">
        <w:t xml:space="preserve"> drowning prevention; </w:t>
      </w:r>
      <w:r w:rsidR="00342463">
        <w:t xml:space="preserve">and </w:t>
      </w:r>
      <w:r w:rsidR="00F6211E">
        <w:t>urban design</w:t>
      </w:r>
      <w:r w:rsidR="00342463">
        <w:t xml:space="preserve">. Injury prevention is </w:t>
      </w:r>
      <w:r w:rsidR="000C7C24">
        <w:t xml:space="preserve">vital for </w:t>
      </w:r>
      <w:r w:rsidR="003523D9">
        <w:t xml:space="preserve">population groups at all life stages from infancy to old age; </w:t>
      </w:r>
      <w:r w:rsidR="00025790">
        <w:t xml:space="preserve">Aboriginal </w:t>
      </w:r>
      <w:r w:rsidR="0063328D">
        <w:t>people</w:t>
      </w:r>
      <w:r w:rsidR="00844063">
        <w:t>; and some CaLD populations, particularly new arrivals</w:t>
      </w:r>
      <w:r w:rsidR="0018395E">
        <w:t>.</w:t>
      </w:r>
      <w:r w:rsidR="0063328D">
        <w:t xml:space="preserve"> </w:t>
      </w:r>
      <w:r w:rsidR="004C5BE7">
        <w:t xml:space="preserve">Injury prevention therefore falls within the remit of all levels of government, public and private sector organisations, </w:t>
      </w:r>
      <w:r w:rsidR="005C436B">
        <w:t>community organisations, and communities themselves</w:t>
      </w:r>
      <w:r w:rsidR="00DE544D">
        <w:t>, across metropolitan, rural and remote parts of WA.</w:t>
      </w:r>
      <w:r w:rsidR="005C436B">
        <w:t xml:space="preserve"> A range of health professionals and specialist groups are also directly engaged in injury prevention, and treating and rehabilitating people who have experienced injuries. </w:t>
      </w:r>
    </w:p>
    <w:p w:rsidR="00861594" w:rsidRDefault="00861594" w:rsidP="005652E6"/>
    <w:p w:rsidR="00451471" w:rsidRDefault="00861594" w:rsidP="005652E6">
      <w:r>
        <w:t xml:space="preserve">While </w:t>
      </w:r>
      <w:r w:rsidR="00C71F6D">
        <w:t>it is the role of the</w:t>
      </w:r>
      <w:r>
        <w:t xml:space="preserve"> health sector </w:t>
      </w:r>
      <w:r w:rsidR="00C71F6D">
        <w:t xml:space="preserve">to </w:t>
      </w:r>
      <w:r>
        <w:t>provide leadership in</w:t>
      </w:r>
      <w:r w:rsidR="0090170E">
        <w:t xml:space="preserve"> </w:t>
      </w:r>
      <w:r w:rsidR="0018395E">
        <w:t xml:space="preserve">the </w:t>
      </w:r>
      <w:r w:rsidR="0090170E">
        <w:t>provision of evidence-based</w:t>
      </w:r>
      <w:r>
        <w:t xml:space="preserve"> policy guidance</w:t>
      </w:r>
      <w:r w:rsidR="0090170E">
        <w:t>,</w:t>
      </w:r>
      <w:r>
        <w:t xml:space="preserve"> quality data,</w:t>
      </w:r>
      <w:r w:rsidR="0090170E">
        <w:t xml:space="preserve"> </w:t>
      </w:r>
      <w:r w:rsidR="00BE28F2">
        <w:t xml:space="preserve">and access to skills and expertise, </w:t>
      </w:r>
      <w:r w:rsidR="00182C3E">
        <w:t xml:space="preserve">the capacity for outreach and </w:t>
      </w:r>
      <w:r w:rsidR="00943643">
        <w:t>access to established</w:t>
      </w:r>
      <w:r w:rsidR="00182C3E">
        <w:t xml:space="preserve"> networks </w:t>
      </w:r>
      <w:r w:rsidR="00BE28F2">
        <w:t xml:space="preserve">and specialist knowledge </w:t>
      </w:r>
      <w:r w:rsidR="00182C3E">
        <w:t>which are the domain of the many partners concerned with injury prevention</w:t>
      </w:r>
      <w:r w:rsidR="003D5D41">
        <w:t xml:space="preserve"> are essential to </w:t>
      </w:r>
      <w:r w:rsidR="00AE6D21">
        <w:t xml:space="preserve">fostering a positive safety culture and </w:t>
      </w:r>
      <w:r w:rsidR="003D5D41">
        <w:t>building safer communities</w:t>
      </w:r>
      <w:r w:rsidR="00AE6D21">
        <w:t>.</w:t>
      </w:r>
      <w:r w:rsidR="00BE28F2">
        <w:t xml:space="preserve"> </w:t>
      </w:r>
    </w:p>
    <w:p w:rsidR="00BE28F2" w:rsidRDefault="00BE28F2" w:rsidP="005652E6"/>
    <w:p w:rsidR="00361638" w:rsidRDefault="00BE28F2" w:rsidP="00026249">
      <w:r>
        <w:t xml:space="preserve">The </w:t>
      </w:r>
      <w:r w:rsidR="008C3606">
        <w:t>breadth</w:t>
      </w:r>
      <w:r>
        <w:t xml:space="preserve"> of the injury stakeholder group </w:t>
      </w:r>
      <w:r w:rsidR="00865C62">
        <w:t xml:space="preserve">gives rise to the need for a coordinated approach to strategic planning which will </w:t>
      </w:r>
      <w:r w:rsidR="008C3606">
        <w:t xml:space="preserve">support communication, </w:t>
      </w:r>
      <w:r w:rsidR="00865C62">
        <w:t xml:space="preserve">ensure consistency of </w:t>
      </w:r>
      <w:r w:rsidR="008C3606">
        <w:t xml:space="preserve">public health </w:t>
      </w:r>
      <w:r w:rsidR="00865C62">
        <w:t>messaging</w:t>
      </w:r>
      <w:r w:rsidR="00026249">
        <w:t xml:space="preserve">, maximise the impact </w:t>
      </w:r>
      <w:r w:rsidR="008C3606">
        <w:t>of</w:t>
      </w:r>
      <w:r w:rsidR="00181A10">
        <w:t xml:space="preserve"> </w:t>
      </w:r>
      <w:r w:rsidR="00026249">
        <w:t>limited resources, and minimise unnecessary duplication</w:t>
      </w:r>
      <w:r w:rsidR="00BD6AA4">
        <w:t xml:space="preserve"> </w:t>
      </w:r>
    </w:p>
    <w:p w:rsidR="00B16F6B" w:rsidRPr="00BE7DFA" w:rsidRDefault="00B16F6B" w:rsidP="005652E6">
      <w:pPr>
        <w:rPr>
          <w:rFonts w:eastAsia="Arial"/>
          <w:color w:val="808080" w:themeColor="background1" w:themeShade="80"/>
          <w:sz w:val="28"/>
          <w:szCs w:val="28"/>
        </w:rPr>
      </w:pPr>
      <w:bookmarkStart w:id="58" w:name="_Toc454291351"/>
      <w:r w:rsidRPr="00BE7DFA">
        <w:rPr>
          <w:rFonts w:eastAsia="Arial"/>
          <w:color w:val="808080" w:themeColor="background1" w:themeShade="80"/>
          <w:sz w:val="28"/>
          <w:szCs w:val="28"/>
        </w:rPr>
        <w:lastRenderedPageBreak/>
        <w:t>Monitor emerging issues in injury prevention</w:t>
      </w:r>
    </w:p>
    <w:p w:rsidR="00B16F6B" w:rsidRPr="00E41DF3" w:rsidRDefault="00B16F6B" w:rsidP="00B16F6B"/>
    <w:p w:rsidR="00B16F6B" w:rsidRDefault="00B16F6B" w:rsidP="00B16F6B">
      <w:r>
        <w:t>New causes of injury constantly arise in the community with changing products and behaviours.</w:t>
      </w:r>
      <w:r w:rsidR="00181A10">
        <w:t xml:space="preserve"> </w:t>
      </w:r>
      <w:r>
        <w:t xml:space="preserve">Some examples of </w:t>
      </w:r>
      <w:r w:rsidRPr="00E41DF3">
        <w:t>emerging injury issues include</w:t>
      </w:r>
      <w:r>
        <w:t xml:space="preserve"> </w:t>
      </w:r>
      <w:r w:rsidRPr="00E41DF3">
        <w:t xml:space="preserve">gastrointestinal burns </w:t>
      </w:r>
      <w:r>
        <w:t xml:space="preserve">in children </w:t>
      </w:r>
      <w:r w:rsidRPr="00E41DF3">
        <w:t xml:space="preserve">from </w:t>
      </w:r>
      <w:r w:rsidR="00626C3F">
        <w:t>swallowing</w:t>
      </w:r>
      <w:r w:rsidRPr="00E41DF3">
        <w:t xml:space="preserve"> button batteries, injuries from misuse of quad bikes</w:t>
      </w:r>
      <w:r>
        <w:t xml:space="preserve">, and injuries from </w:t>
      </w:r>
      <w:r w:rsidRPr="00E41DF3">
        <w:t xml:space="preserve">hoverboards and other </w:t>
      </w:r>
      <w:r>
        <w:t xml:space="preserve">personal </w:t>
      </w:r>
      <w:r w:rsidR="009F4379">
        <w:t xml:space="preserve">motorised transport devices </w:t>
      </w:r>
      <w:r>
        <w:t xml:space="preserve">such as </w:t>
      </w:r>
      <w:r w:rsidRPr="00E41DF3">
        <w:t xml:space="preserve">scooters. </w:t>
      </w:r>
      <w:r w:rsidR="000741C3">
        <w:t>E</w:t>
      </w:r>
      <w:r>
        <w:t>merg</w:t>
      </w:r>
      <w:r w:rsidR="000741C3">
        <w:t>ing</w:t>
      </w:r>
      <w:r>
        <w:t xml:space="preserve"> injury risks</w:t>
      </w:r>
      <w:r w:rsidRPr="00E41DF3">
        <w:t xml:space="preserve"> require a</w:t>
      </w:r>
      <w:r>
        <w:t xml:space="preserve">n immediate, </w:t>
      </w:r>
      <w:r w:rsidRPr="00E41DF3">
        <w:t xml:space="preserve">coordinated </w:t>
      </w:r>
      <w:r w:rsidR="007F5F2B">
        <w:t xml:space="preserve">response to inform </w:t>
      </w:r>
      <w:r w:rsidRPr="00E41DF3">
        <w:t>the community</w:t>
      </w:r>
      <w:r w:rsidR="007F5F2B">
        <w:t xml:space="preserve"> and, where </w:t>
      </w:r>
      <w:r w:rsidR="003A0F49">
        <w:t>appropriate</w:t>
      </w:r>
      <w:r w:rsidR="007F5F2B">
        <w:t xml:space="preserve">, </w:t>
      </w:r>
      <w:r w:rsidR="000741C3">
        <w:t xml:space="preserve">the </w:t>
      </w:r>
      <w:r w:rsidR="007F5F2B">
        <w:t>develop</w:t>
      </w:r>
      <w:r w:rsidR="009F4379">
        <w:t xml:space="preserve">ment of </w:t>
      </w:r>
      <w:r w:rsidR="007F5F2B">
        <w:t xml:space="preserve">policies </w:t>
      </w:r>
      <w:r w:rsidR="003A0F49">
        <w:t>and practices to reduce ongoing risk of injury.</w:t>
      </w:r>
      <w:r w:rsidRPr="00E41DF3">
        <w:t xml:space="preserve"> </w:t>
      </w:r>
    </w:p>
    <w:p w:rsidR="00E636E2" w:rsidRDefault="00E636E2" w:rsidP="00B16F6B"/>
    <w:p w:rsidR="000E2B79" w:rsidRPr="00E41DF3" w:rsidRDefault="000E2B79" w:rsidP="00B16F6B"/>
    <w:p w:rsidR="002F54AA" w:rsidRPr="00350BF4" w:rsidRDefault="002F54AA" w:rsidP="002F54AA">
      <w:pPr>
        <w:pStyle w:val="Heading2"/>
        <w:rPr>
          <w:rFonts w:eastAsia="Arial"/>
        </w:rPr>
      </w:pPr>
      <w:bookmarkStart w:id="59" w:name="_Toc456354365"/>
      <w:bookmarkStart w:id="60" w:name="_Toc462049341"/>
      <w:r w:rsidRPr="00350BF4">
        <w:rPr>
          <w:rFonts w:eastAsia="Arial"/>
        </w:rPr>
        <w:t xml:space="preserve">Strategic directions for preventing injury and promoting safer communities in </w:t>
      </w:r>
      <w:bookmarkEnd w:id="58"/>
      <w:r w:rsidRPr="00350BF4">
        <w:rPr>
          <w:rFonts w:eastAsia="Arial"/>
        </w:rPr>
        <w:t>WA</w:t>
      </w:r>
      <w:bookmarkEnd w:id="59"/>
      <w:bookmarkEnd w:id="60"/>
      <w:r w:rsidRPr="00350BF4">
        <w:rPr>
          <w:rFonts w:eastAsia="Arial"/>
        </w:rPr>
        <w:t xml:space="preserve"> </w:t>
      </w:r>
    </w:p>
    <w:tbl>
      <w:tblPr>
        <w:tblStyle w:val="TableGrid"/>
        <w:tblW w:w="0" w:type="auto"/>
        <w:tblLook w:val="04A0" w:firstRow="1" w:lastRow="0" w:firstColumn="1" w:lastColumn="0" w:noHBand="0" w:noVBand="1"/>
      </w:tblPr>
      <w:tblGrid>
        <w:gridCol w:w="9242"/>
      </w:tblGrid>
      <w:tr w:rsidR="002F54AA" w:rsidTr="00D86F47">
        <w:tc>
          <w:tcPr>
            <w:tcW w:w="9242" w:type="dxa"/>
            <w:shd w:val="clear" w:color="auto" w:fill="A6A6A6" w:themeFill="background1" w:themeFillShade="A6"/>
          </w:tcPr>
          <w:p w:rsidR="002F54AA" w:rsidRPr="00D309A6" w:rsidRDefault="002F54AA" w:rsidP="00AB10AC">
            <w:pPr>
              <w:rPr>
                <w:b/>
                <w:color w:val="FFFFFF" w:themeColor="background1"/>
              </w:rPr>
            </w:pPr>
            <w:r w:rsidRPr="00D309A6">
              <w:rPr>
                <w:b/>
                <w:color w:val="FFFFFF" w:themeColor="background1"/>
              </w:rPr>
              <w:t>Healthy policies</w:t>
            </w:r>
          </w:p>
          <w:p w:rsidR="002F54AA" w:rsidRPr="00D309A6" w:rsidRDefault="002F54AA" w:rsidP="00AB10AC"/>
        </w:tc>
      </w:tr>
      <w:tr w:rsidR="002F54AA" w:rsidTr="00AB10AC">
        <w:tc>
          <w:tcPr>
            <w:tcW w:w="9242" w:type="dxa"/>
          </w:tcPr>
          <w:p w:rsidR="002F54AA" w:rsidRPr="00F41373" w:rsidRDefault="00C0147C" w:rsidP="00F41373">
            <w:pPr>
              <w:numPr>
                <w:ilvl w:val="0"/>
                <w:numId w:val="19"/>
              </w:numPr>
              <w:ind w:left="284"/>
              <w:contextualSpacing/>
              <w:rPr>
                <w:b/>
              </w:rPr>
            </w:pPr>
            <w:r>
              <w:t>Support the development and implementation of policies that will</w:t>
            </w:r>
            <w:r w:rsidR="002F54AA">
              <w:t xml:space="preserve"> lower the incidence of avoidable injury and promote safer communitie</w:t>
            </w:r>
            <w:r w:rsidR="00D23075">
              <w:t>s</w:t>
            </w:r>
          </w:p>
        </w:tc>
      </w:tr>
      <w:tr w:rsidR="002F54AA" w:rsidTr="00D86F47">
        <w:tc>
          <w:tcPr>
            <w:tcW w:w="9242" w:type="dxa"/>
            <w:shd w:val="clear" w:color="auto" w:fill="A6A6A6" w:themeFill="background1" w:themeFillShade="A6"/>
          </w:tcPr>
          <w:p w:rsidR="002F54AA" w:rsidRPr="00CE7B54" w:rsidRDefault="002F54AA" w:rsidP="00AB10AC">
            <w:pPr>
              <w:rPr>
                <w:b/>
                <w:color w:val="FFFFFF" w:themeColor="background1"/>
              </w:rPr>
            </w:pPr>
            <w:r w:rsidRPr="00CE7B54">
              <w:rPr>
                <w:b/>
                <w:color w:val="FFFFFF" w:themeColor="background1"/>
              </w:rPr>
              <w:t>Legislation and regulation</w:t>
            </w:r>
          </w:p>
          <w:p w:rsidR="002F54AA" w:rsidRPr="00D309A6" w:rsidRDefault="002F54AA" w:rsidP="00AB10AC"/>
        </w:tc>
      </w:tr>
      <w:tr w:rsidR="002F54AA" w:rsidTr="00AB10AC">
        <w:tc>
          <w:tcPr>
            <w:tcW w:w="9242" w:type="dxa"/>
          </w:tcPr>
          <w:p w:rsidR="002F54AA" w:rsidRDefault="002F54AA" w:rsidP="00CE2FEF">
            <w:pPr>
              <w:numPr>
                <w:ilvl w:val="0"/>
                <w:numId w:val="19"/>
              </w:numPr>
              <w:ind w:left="284"/>
              <w:contextualSpacing/>
            </w:pPr>
            <w:r w:rsidRPr="00D309A6">
              <w:t xml:space="preserve">Support </w:t>
            </w:r>
            <w:r>
              <w:t xml:space="preserve">the development, implementation and monitoring of </w:t>
            </w:r>
            <w:r w:rsidRPr="00D309A6">
              <w:t>legislation relevant to injury prevention</w:t>
            </w:r>
            <w:r>
              <w:t xml:space="preserve">, such as </w:t>
            </w:r>
            <w:r w:rsidRPr="00D309A6">
              <w:t>consumer protection</w:t>
            </w:r>
            <w:r>
              <w:t>, alcohol and other drug use,</w:t>
            </w:r>
            <w:r w:rsidRPr="00D309A6">
              <w:t xml:space="preserve"> and road safety legislation</w:t>
            </w:r>
          </w:p>
          <w:p w:rsidR="002F54AA" w:rsidRPr="00D309A6" w:rsidRDefault="002F54AA" w:rsidP="00BB3CE1">
            <w:pPr>
              <w:numPr>
                <w:ilvl w:val="0"/>
                <w:numId w:val="19"/>
              </w:numPr>
              <w:ind w:left="284"/>
              <w:contextualSpacing/>
            </w:pPr>
            <w:r>
              <w:t xml:space="preserve">Support the regulation of products and environments to </w:t>
            </w:r>
            <w:r w:rsidR="00BB3CE1">
              <w:t>improve community safety</w:t>
            </w:r>
          </w:p>
        </w:tc>
      </w:tr>
      <w:tr w:rsidR="002F54AA" w:rsidTr="00D86F47">
        <w:tc>
          <w:tcPr>
            <w:tcW w:w="9242" w:type="dxa"/>
            <w:shd w:val="clear" w:color="auto" w:fill="A6A6A6" w:themeFill="background1" w:themeFillShade="A6"/>
          </w:tcPr>
          <w:p w:rsidR="002F54AA" w:rsidRPr="00D309A6" w:rsidRDefault="002F54AA" w:rsidP="00D86F47">
            <w:pPr>
              <w:shd w:val="clear" w:color="auto" w:fill="A6A6A6" w:themeFill="background1" w:themeFillShade="A6"/>
            </w:pPr>
            <w:r>
              <w:rPr>
                <w:b/>
                <w:color w:val="FFFFFF" w:themeColor="background1"/>
              </w:rPr>
              <w:t>Economic interventions</w:t>
            </w:r>
          </w:p>
        </w:tc>
      </w:tr>
      <w:tr w:rsidR="002F54AA" w:rsidTr="00AB10AC">
        <w:tc>
          <w:tcPr>
            <w:tcW w:w="9242" w:type="dxa"/>
          </w:tcPr>
          <w:p w:rsidR="002F54AA" w:rsidRPr="00D309A6" w:rsidRDefault="00BB3CE1" w:rsidP="007D3E09">
            <w:pPr>
              <w:numPr>
                <w:ilvl w:val="0"/>
                <w:numId w:val="19"/>
              </w:numPr>
              <w:ind w:left="284"/>
              <w:contextualSpacing/>
            </w:pPr>
            <w:r>
              <w:t>Investigate and support fiscal interventions to prevent injury and promote safer communities</w:t>
            </w:r>
            <w:r w:rsidR="002F54AA" w:rsidRPr="00D309A6">
              <w:t xml:space="preserve"> </w:t>
            </w:r>
          </w:p>
        </w:tc>
      </w:tr>
      <w:tr w:rsidR="002F54AA" w:rsidTr="00D86F47">
        <w:tc>
          <w:tcPr>
            <w:tcW w:w="9242" w:type="dxa"/>
            <w:shd w:val="clear" w:color="auto" w:fill="A6A6A6" w:themeFill="background1" w:themeFillShade="A6"/>
          </w:tcPr>
          <w:p w:rsidR="002F54AA" w:rsidRPr="00CE7B54" w:rsidRDefault="002F54AA" w:rsidP="00AB10AC">
            <w:pPr>
              <w:rPr>
                <w:b/>
                <w:color w:val="FFFFFF" w:themeColor="background1"/>
              </w:rPr>
            </w:pPr>
            <w:r>
              <w:rPr>
                <w:b/>
                <w:color w:val="FFFFFF" w:themeColor="background1"/>
              </w:rPr>
              <w:t>Supportive environments</w:t>
            </w:r>
          </w:p>
          <w:p w:rsidR="002F54AA" w:rsidRPr="00D309A6" w:rsidRDefault="002F54AA" w:rsidP="00AB10AC"/>
        </w:tc>
      </w:tr>
      <w:tr w:rsidR="002F54AA" w:rsidTr="00AB10AC">
        <w:tc>
          <w:tcPr>
            <w:tcW w:w="9242" w:type="dxa"/>
          </w:tcPr>
          <w:p w:rsidR="002F54AA" w:rsidRDefault="002F54AA" w:rsidP="002C7294">
            <w:pPr>
              <w:numPr>
                <w:ilvl w:val="0"/>
                <w:numId w:val="19"/>
              </w:numPr>
              <w:ind w:left="284"/>
              <w:contextualSpacing/>
            </w:pPr>
            <w:r w:rsidRPr="00D309A6">
              <w:t xml:space="preserve">Encourage the development of </w:t>
            </w:r>
            <w:r>
              <w:t xml:space="preserve">health promoting </w:t>
            </w:r>
            <w:r w:rsidRPr="00D309A6">
              <w:t>environments that</w:t>
            </w:r>
            <w:r>
              <w:t xml:space="preserve"> support injury prevention and safer communities</w:t>
            </w:r>
          </w:p>
          <w:p w:rsidR="00550880" w:rsidRPr="00D309A6" w:rsidRDefault="00550880" w:rsidP="002C7294">
            <w:pPr>
              <w:numPr>
                <w:ilvl w:val="0"/>
                <w:numId w:val="19"/>
              </w:numPr>
              <w:ind w:left="284"/>
              <w:contextualSpacing/>
            </w:pPr>
            <w:r>
              <w:t>Work across Government and other key sectors to influence the design and planning of natural and built environments that promote community safety and reduce the risk of injury</w:t>
            </w:r>
          </w:p>
        </w:tc>
      </w:tr>
      <w:tr w:rsidR="002F54AA" w:rsidTr="00D86F47">
        <w:tc>
          <w:tcPr>
            <w:tcW w:w="9242" w:type="dxa"/>
            <w:shd w:val="clear" w:color="auto" w:fill="A6A6A6" w:themeFill="background1" w:themeFillShade="A6"/>
          </w:tcPr>
          <w:p w:rsidR="002F54AA" w:rsidRDefault="002F54AA" w:rsidP="00AB10AC">
            <w:pPr>
              <w:rPr>
                <w:b/>
                <w:color w:val="FFFFFF" w:themeColor="background1"/>
              </w:rPr>
            </w:pPr>
            <w:r w:rsidRPr="00CE7B54">
              <w:rPr>
                <w:b/>
                <w:color w:val="FFFFFF" w:themeColor="background1"/>
              </w:rPr>
              <w:t>Public awareness and engagement</w:t>
            </w:r>
          </w:p>
          <w:p w:rsidR="002F54AA" w:rsidRPr="00D309A6" w:rsidRDefault="002F54AA" w:rsidP="00AB10AC"/>
        </w:tc>
      </w:tr>
      <w:tr w:rsidR="002F54AA" w:rsidTr="00AB10AC">
        <w:tc>
          <w:tcPr>
            <w:tcW w:w="9242" w:type="dxa"/>
          </w:tcPr>
          <w:p w:rsidR="001B1284" w:rsidRPr="00E53651" w:rsidRDefault="001B1284" w:rsidP="00E53651">
            <w:pPr>
              <w:numPr>
                <w:ilvl w:val="0"/>
                <w:numId w:val="19"/>
              </w:numPr>
              <w:ind w:left="284"/>
              <w:contextualSpacing/>
            </w:pPr>
            <w:r w:rsidRPr="00E53651">
              <w:t xml:space="preserve">Invest in sustained, high-quality statewide public education campaigns to reduce </w:t>
            </w:r>
            <w:r w:rsidR="00A96E41" w:rsidRPr="00E53651">
              <w:t>the risk of injury and promote</w:t>
            </w:r>
            <w:r w:rsidR="00AB549D" w:rsidRPr="00E53651">
              <w:t xml:space="preserve"> a</w:t>
            </w:r>
            <w:r w:rsidR="00A96E41" w:rsidRPr="00E53651">
              <w:t xml:space="preserve"> cultural acceptance that injuries are preventable</w:t>
            </w:r>
          </w:p>
          <w:p w:rsidR="001B1284" w:rsidRPr="00E53651" w:rsidRDefault="001B1284" w:rsidP="00E53651">
            <w:pPr>
              <w:numPr>
                <w:ilvl w:val="0"/>
                <w:numId w:val="19"/>
              </w:numPr>
              <w:ind w:left="284"/>
              <w:contextualSpacing/>
            </w:pPr>
            <w:r w:rsidRPr="00E53651">
              <w:t>Adopt and evaluate new technologies to enhance and extend public education activities</w:t>
            </w:r>
          </w:p>
          <w:p w:rsidR="002F54AA" w:rsidRPr="00540665" w:rsidRDefault="001B1284" w:rsidP="00E53651">
            <w:pPr>
              <w:numPr>
                <w:ilvl w:val="0"/>
                <w:numId w:val="19"/>
              </w:numPr>
              <w:ind w:left="284"/>
              <w:contextualSpacing/>
            </w:pPr>
            <w:r w:rsidRPr="00E53651">
              <w:t xml:space="preserve">Increase access to reliable, practical, culturally-appropriate information about reducing </w:t>
            </w:r>
            <w:r w:rsidR="00E53651" w:rsidRPr="00E53651">
              <w:t>the risk of injury</w:t>
            </w:r>
          </w:p>
          <w:p w:rsidR="00540665" w:rsidRPr="00D309A6" w:rsidRDefault="00540665" w:rsidP="00ED7F1E">
            <w:pPr>
              <w:numPr>
                <w:ilvl w:val="0"/>
                <w:numId w:val="19"/>
              </w:numPr>
              <w:ind w:left="284"/>
              <w:contextualSpacing/>
            </w:pPr>
            <w:r>
              <w:rPr>
                <w:lang w:val="en-AU"/>
              </w:rPr>
              <w:t xml:space="preserve">Support industry and the </w:t>
            </w:r>
            <w:r w:rsidR="00ED7F1E">
              <w:rPr>
                <w:lang w:val="en-AU"/>
              </w:rPr>
              <w:t>community</w:t>
            </w:r>
            <w:r>
              <w:rPr>
                <w:lang w:val="en-AU"/>
              </w:rPr>
              <w:t xml:space="preserve"> to increase their awareness of the role of </w:t>
            </w:r>
            <w:r w:rsidRPr="00ED7F1E">
              <w:t>safe design in injury prevention</w:t>
            </w:r>
          </w:p>
        </w:tc>
      </w:tr>
      <w:tr w:rsidR="002F54AA" w:rsidTr="00D86F47">
        <w:tc>
          <w:tcPr>
            <w:tcW w:w="9242" w:type="dxa"/>
            <w:shd w:val="clear" w:color="auto" w:fill="A6A6A6" w:themeFill="background1" w:themeFillShade="A6"/>
          </w:tcPr>
          <w:p w:rsidR="002F54AA" w:rsidRPr="00CE7B54" w:rsidRDefault="002F54AA" w:rsidP="00AB10AC">
            <w:pPr>
              <w:rPr>
                <w:b/>
                <w:color w:val="FFFFFF" w:themeColor="background1"/>
              </w:rPr>
            </w:pPr>
            <w:r w:rsidRPr="00CE7B54">
              <w:rPr>
                <w:b/>
                <w:color w:val="FFFFFF" w:themeColor="background1"/>
              </w:rPr>
              <w:t>Community development</w:t>
            </w:r>
          </w:p>
          <w:p w:rsidR="002F54AA" w:rsidRPr="00D309A6" w:rsidRDefault="002F54AA" w:rsidP="00AB10AC"/>
        </w:tc>
      </w:tr>
      <w:tr w:rsidR="002F54AA" w:rsidTr="00AB10AC">
        <w:tc>
          <w:tcPr>
            <w:tcW w:w="9242" w:type="dxa"/>
          </w:tcPr>
          <w:p w:rsidR="00A140D6" w:rsidRPr="002559F1" w:rsidRDefault="00A140D6" w:rsidP="00A140D6">
            <w:pPr>
              <w:numPr>
                <w:ilvl w:val="0"/>
                <w:numId w:val="19"/>
              </w:numPr>
              <w:ind w:left="284"/>
              <w:contextualSpacing/>
            </w:pPr>
            <w:r w:rsidRPr="00A140D6">
              <w:t>Engage with the community and key stakeholders,</w:t>
            </w:r>
            <w:r w:rsidR="00540665">
              <w:t xml:space="preserve"> </w:t>
            </w:r>
            <w:r w:rsidRPr="00A140D6">
              <w:t>including Local Governments, to identify and implement priority actions to prevent injury and promote safer communities</w:t>
            </w:r>
          </w:p>
          <w:p w:rsidR="002F54AA" w:rsidRPr="00D309A6" w:rsidRDefault="00A140D6" w:rsidP="00A140D6">
            <w:pPr>
              <w:numPr>
                <w:ilvl w:val="0"/>
                <w:numId w:val="19"/>
              </w:numPr>
              <w:ind w:left="284"/>
              <w:contextualSpacing/>
            </w:pPr>
            <w:r w:rsidRPr="00A140D6">
              <w:lastRenderedPageBreak/>
              <w:t>Work with Local Governments to develop Local Public Health plans which include strategies to prevent injury and promote safer communities</w:t>
            </w:r>
          </w:p>
        </w:tc>
      </w:tr>
      <w:tr w:rsidR="002F54AA" w:rsidTr="00D86F47">
        <w:tc>
          <w:tcPr>
            <w:tcW w:w="9242" w:type="dxa"/>
            <w:shd w:val="clear" w:color="auto" w:fill="A6A6A6" w:themeFill="background1" w:themeFillShade="A6"/>
          </w:tcPr>
          <w:p w:rsidR="002F54AA" w:rsidRDefault="002F54AA" w:rsidP="00AB10AC">
            <w:pPr>
              <w:rPr>
                <w:b/>
                <w:color w:val="FFFFFF" w:themeColor="background1"/>
              </w:rPr>
            </w:pPr>
            <w:r w:rsidRPr="00CE7B54">
              <w:rPr>
                <w:b/>
                <w:color w:val="FFFFFF" w:themeColor="background1"/>
              </w:rPr>
              <w:lastRenderedPageBreak/>
              <w:t>Targeted interventions</w:t>
            </w:r>
          </w:p>
          <w:p w:rsidR="00D86F47" w:rsidRPr="00D309A6" w:rsidRDefault="00D86F47" w:rsidP="00AB10AC"/>
        </w:tc>
      </w:tr>
      <w:tr w:rsidR="002F54AA" w:rsidTr="00AB10AC">
        <w:tc>
          <w:tcPr>
            <w:tcW w:w="9242" w:type="dxa"/>
          </w:tcPr>
          <w:p w:rsidR="007D319D" w:rsidRPr="000E01F5" w:rsidRDefault="007D319D" w:rsidP="000E01F5">
            <w:pPr>
              <w:numPr>
                <w:ilvl w:val="0"/>
                <w:numId w:val="19"/>
              </w:numPr>
              <w:ind w:left="284"/>
              <w:contextualSpacing/>
            </w:pPr>
            <w:r w:rsidRPr="000E01F5">
              <w:t xml:space="preserve">Complement population approaches with targeted programs that are culturally-secure and/or meet the needs of people at greater risk of experiencing injury </w:t>
            </w:r>
            <w:r w:rsidR="00AB549D">
              <w:t xml:space="preserve">at various stages of the </w:t>
            </w:r>
            <w:r w:rsidR="000E01F5" w:rsidRPr="000E01F5">
              <w:t>life-course</w:t>
            </w:r>
          </w:p>
          <w:p w:rsidR="002F54AA" w:rsidRPr="00D309A6" w:rsidRDefault="007D319D" w:rsidP="000E01F5">
            <w:pPr>
              <w:numPr>
                <w:ilvl w:val="0"/>
                <w:numId w:val="19"/>
              </w:numPr>
              <w:ind w:left="284"/>
              <w:contextualSpacing/>
            </w:pPr>
            <w:r w:rsidRPr="000E01F5">
              <w:t xml:space="preserve">Integrate messages about </w:t>
            </w:r>
            <w:r w:rsidR="000E01F5" w:rsidRPr="000E01F5">
              <w:t>avoiding injury</w:t>
            </w:r>
            <w:r w:rsidRPr="000E01F5">
              <w:t xml:space="preserve"> with other healthy lifestyle initiatives, and develop links between programs and services which are targeted at specific populations </w:t>
            </w:r>
            <w:r w:rsidR="000E01F5" w:rsidRPr="000E01F5">
              <w:t>that are at higher risk of injury</w:t>
            </w:r>
          </w:p>
        </w:tc>
      </w:tr>
      <w:tr w:rsidR="002F54AA" w:rsidTr="00D86F47">
        <w:tc>
          <w:tcPr>
            <w:tcW w:w="9242" w:type="dxa"/>
            <w:shd w:val="clear" w:color="auto" w:fill="A6A6A6" w:themeFill="background1" w:themeFillShade="A6"/>
          </w:tcPr>
          <w:p w:rsidR="002F54AA" w:rsidRPr="00CE7B54" w:rsidRDefault="002F54AA" w:rsidP="00AB10AC">
            <w:pPr>
              <w:rPr>
                <w:b/>
                <w:color w:val="FFFFFF" w:themeColor="background1"/>
              </w:rPr>
            </w:pPr>
            <w:r w:rsidRPr="00CE7B54">
              <w:rPr>
                <w:b/>
                <w:color w:val="FFFFFF" w:themeColor="background1"/>
              </w:rPr>
              <w:t xml:space="preserve">Strategic coordination, building partnerships and </w:t>
            </w:r>
            <w:r w:rsidR="009B6592">
              <w:rPr>
                <w:b/>
                <w:color w:val="FFFFFF" w:themeColor="background1"/>
              </w:rPr>
              <w:t>workforce development</w:t>
            </w:r>
          </w:p>
          <w:p w:rsidR="002F54AA" w:rsidRPr="00D309A6" w:rsidRDefault="002F54AA" w:rsidP="00AB10AC"/>
        </w:tc>
      </w:tr>
      <w:tr w:rsidR="002F54AA" w:rsidTr="009F5063">
        <w:trPr>
          <w:trHeight w:val="3396"/>
        </w:trPr>
        <w:tc>
          <w:tcPr>
            <w:tcW w:w="9242" w:type="dxa"/>
          </w:tcPr>
          <w:p w:rsidR="00C400DA" w:rsidRPr="00E87D3B" w:rsidRDefault="00C400DA" w:rsidP="00803423">
            <w:pPr>
              <w:numPr>
                <w:ilvl w:val="0"/>
                <w:numId w:val="19"/>
              </w:numPr>
              <w:ind w:left="284"/>
              <w:contextualSpacing/>
            </w:pPr>
            <w:r>
              <w:t>Strengthen existing and develop new partnerships across all sectors to ensure a comprehensive, consistent and effective approach to preventing injury and promoting safer communities</w:t>
            </w:r>
          </w:p>
          <w:p w:rsidR="00C400DA" w:rsidRPr="00E87D3B" w:rsidRDefault="00C400DA" w:rsidP="00803423">
            <w:pPr>
              <w:numPr>
                <w:ilvl w:val="0"/>
                <w:numId w:val="19"/>
              </w:numPr>
              <w:ind w:left="284"/>
              <w:contextualSpacing/>
            </w:pPr>
            <w:r>
              <w:t>Strengthen, upskill and support relevant parts of the workforce (public health, broader health and non-health sectors) to address injury prevention in their programs, policies and plans</w:t>
            </w:r>
          </w:p>
          <w:p w:rsidR="00F15E42" w:rsidRDefault="00C400DA" w:rsidP="00803423">
            <w:pPr>
              <w:numPr>
                <w:ilvl w:val="0"/>
                <w:numId w:val="19"/>
              </w:numPr>
              <w:ind w:left="284"/>
              <w:contextualSpacing/>
            </w:pPr>
            <w:r w:rsidRPr="00E87D3B">
              <w:t>Improve and maintain the capacity of the wider health and allie</w:t>
            </w:r>
            <w:r>
              <w:t xml:space="preserve">d workforce to provide reliable </w:t>
            </w:r>
            <w:r w:rsidRPr="00E87D3B">
              <w:t>inf</w:t>
            </w:r>
            <w:r>
              <w:t>ormation, advice and support on preventing injury</w:t>
            </w:r>
          </w:p>
          <w:p w:rsidR="00C400DA" w:rsidRPr="00E87D3B" w:rsidRDefault="003350C4" w:rsidP="00803423">
            <w:pPr>
              <w:numPr>
                <w:ilvl w:val="0"/>
                <w:numId w:val="19"/>
              </w:numPr>
              <w:ind w:left="284"/>
              <w:contextualSpacing/>
            </w:pPr>
            <w:r w:rsidRPr="00803423">
              <w:t xml:space="preserve">Support and undertake research in injury prevention and ensure that policies and programs are based on best information available </w:t>
            </w:r>
          </w:p>
          <w:p w:rsidR="000343EB" w:rsidRPr="00D309A6" w:rsidRDefault="000343EB" w:rsidP="00803423">
            <w:pPr>
              <w:numPr>
                <w:ilvl w:val="0"/>
                <w:numId w:val="19"/>
              </w:numPr>
              <w:ind w:left="284"/>
              <w:contextualSpacing/>
            </w:pPr>
            <w:r w:rsidRPr="000049AC">
              <w:t xml:space="preserve">Support continued population monitoring of </w:t>
            </w:r>
            <w:r>
              <w:t>injury</w:t>
            </w:r>
            <w:r w:rsidRPr="000049AC">
              <w:t xml:space="preserve"> as well as individual and key environmental facto</w:t>
            </w:r>
            <w:r>
              <w:t xml:space="preserve">rs that impact on </w:t>
            </w:r>
            <w:r w:rsidR="00C0147C">
              <w:t>risk of injury</w:t>
            </w:r>
          </w:p>
        </w:tc>
      </w:tr>
    </w:tbl>
    <w:p w:rsidR="00BE2DDB" w:rsidRDefault="00BE2DDB">
      <w:pPr>
        <w:widowControl/>
        <w:spacing w:after="200" w:line="276" w:lineRule="auto"/>
        <w:rPr>
          <w:rFonts w:eastAsia="Arial" w:cstheme="majorBidi"/>
          <w:color w:val="31849B" w:themeColor="accent5" w:themeShade="BF"/>
          <w:sz w:val="52"/>
          <w:szCs w:val="52"/>
        </w:rPr>
      </w:pPr>
      <w:r>
        <w:rPr>
          <w:rFonts w:eastAsia="Arial"/>
        </w:rPr>
        <w:br w:type="page"/>
      </w:r>
    </w:p>
    <w:p w:rsidR="006A6F15" w:rsidRPr="00C16C7D" w:rsidRDefault="006A6F15" w:rsidP="006B3083">
      <w:pPr>
        <w:pStyle w:val="Heading1"/>
        <w:rPr>
          <w:rFonts w:eastAsia="Arial"/>
        </w:rPr>
      </w:pPr>
      <w:bookmarkStart w:id="61" w:name="_Toc462049342"/>
      <w:r w:rsidRPr="00C16C7D">
        <w:rPr>
          <w:rFonts w:eastAsia="Arial"/>
        </w:rPr>
        <w:lastRenderedPageBreak/>
        <w:t xml:space="preserve">Part </w:t>
      </w:r>
      <w:r w:rsidR="006B3083" w:rsidRPr="00C16C7D">
        <w:rPr>
          <w:rFonts w:eastAsia="Arial"/>
        </w:rPr>
        <w:t>5</w:t>
      </w:r>
      <w:r w:rsidR="00307341" w:rsidRPr="00C16C7D">
        <w:rPr>
          <w:rFonts w:eastAsia="Arial"/>
        </w:rPr>
        <w:t>:</w:t>
      </w:r>
      <w:r w:rsidRPr="00C16C7D">
        <w:rPr>
          <w:rFonts w:eastAsia="Arial"/>
        </w:rPr>
        <w:t xml:space="preserve"> </w:t>
      </w:r>
      <w:r w:rsidR="005C3250" w:rsidRPr="00C16C7D">
        <w:rPr>
          <w:rFonts w:eastAsia="Arial"/>
        </w:rPr>
        <w:t xml:space="preserve"> </w:t>
      </w:r>
      <w:r w:rsidRPr="00C16C7D">
        <w:rPr>
          <w:rFonts w:eastAsia="Arial"/>
        </w:rPr>
        <w:t xml:space="preserve">Monitoring </w:t>
      </w:r>
      <w:r w:rsidR="00831BDD" w:rsidRPr="00C16C7D">
        <w:rPr>
          <w:rFonts w:eastAsia="Arial"/>
        </w:rPr>
        <w:t>p</w:t>
      </w:r>
      <w:r w:rsidRPr="00C16C7D">
        <w:rPr>
          <w:rFonts w:eastAsia="Arial"/>
        </w:rPr>
        <w:t>rogress</w:t>
      </w:r>
      <w:bookmarkEnd w:id="61"/>
    </w:p>
    <w:p w:rsidR="006A6F15" w:rsidRPr="00C16C7D" w:rsidRDefault="006A6F15" w:rsidP="00C558F3">
      <w:pPr>
        <w:spacing w:before="1" w:line="150" w:lineRule="exact"/>
        <w:ind w:right="1005"/>
        <w:rPr>
          <w:color w:val="808080" w:themeColor="background1" w:themeShade="80"/>
          <w:sz w:val="15"/>
          <w:szCs w:val="15"/>
        </w:rPr>
      </w:pPr>
    </w:p>
    <w:p w:rsidR="00973760" w:rsidRPr="00C16C7D" w:rsidRDefault="00973760" w:rsidP="00973760">
      <w:pPr>
        <w:pStyle w:val="Heading2"/>
        <w:rPr>
          <w:rFonts w:eastAsia="Arial"/>
        </w:rPr>
      </w:pPr>
      <w:bookmarkStart w:id="62" w:name="_Toc462049343"/>
      <w:r w:rsidRPr="00C16C7D">
        <w:rPr>
          <w:rFonts w:eastAsia="Arial"/>
        </w:rPr>
        <w:t>5.</w:t>
      </w:r>
      <w:r w:rsidR="00C558F3" w:rsidRPr="00C16C7D">
        <w:rPr>
          <w:rFonts w:eastAsia="Arial"/>
        </w:rPr>
        <w:t>1</w:t>
      </w:r>
      <w:r w:rsidRPr="00C16C7D">
        <w:rPr>
          <w:rFonts w:eastAsia="Arial"/>
        </w:rPr>
        <w:t xml:space="preserve"> </w:t>
      </w:r>
      <w:r w:rsidR="00BD3A66" w:rsidRPr="00C16C7D">
        <w:rPr>
          <w:rFonts w:eastAsia="Arial"/>
        </w:rPr>
        <w:t xml:space="preserve"> Reporting frameworks</w:t>
      </w:r>
      <w:bookmarkEnd w:id="62"/>
    </w:p>
    <w:p w:rsidR="00822D3B" w:rsidRDefault="00822D3B" w:rsidP="00822D3B">
      <w:pPr>
        <w:rPr>
          <w:rFonts w:eastAsia="Arial"/>
        </w:rPr>
      </w:pPr>
    </w:p>
    <w:p w:rsidR="00973760" w:rsidRDefault="00822D3B" w:rsidP="00973760">
      <w:pPr>
        <w:rPr>
          <w:rFonts w:eastAsia="Arial"/>
        </w:rPr>
      </w:pPr>
      <w:r w:rsidRPr="00A43585">
        <w:rPr>
          <w:rFonts w:eastAsia="Arial"/>
        </w:rPr>
        <w:t>WA Health takes a rigorous and systematic approach to monitoring progress in the area</w:t>
      </w:r>
      <w:r>
        <w:rPr>
          <w:rFonts w:eastAsia="Arial"/>
        </w:rPr>
        <w:t xml:space="preserve">s of chronic disease and injury, </w:t>
      </w:r>
      <w:r w:rsidR="00B14336">
        <w:rPr>
          <w:rFonts w:eastAsia="Arial"/>
        </w:rPr>
        <w:t>drawing</w:t>
      </w:r>
      <w:r>
        <w:rPr>
          <w:rFonts w:eastAsia="Arial"/>
        </w:rPr>
        <w:t xml:space="preserve"> on S</w:t>
      </w:r>
      <w:r w:rsidRPr="00A43585">
        <w:rPr>
          <w:rFonts w:eastAsia="Arial"/>
        </w:rPr>
        <w:t xml:space="preserve">tate and </w:t>
      </w:r>
      <w:r w:rsidR="00A70B8F">
        <w:rPr>
          <w:rFonts w:eastAsia="Arial"/>
        </w:rPr>
        <w:t>Commonwealth data sets.</w:t>
      </w:r>
    </w:p>
    <w:p w:rsidR="00A70B8F" w:rsidRPr="00F91F5E" w:rsidRDefault="00A70B8F" w:rsidP="00973760">
      <w:pPr>
        <w:rPr>
          <w:rFonts w:eastAsia="Arial"/>
        </w:rPr>
      </w:pPr>
    </w:p>
    <w:p w:rsidR="00973760" w:rsidRPr="00C16C7D" w:rsidRDefault="00973760" w:rsidP="00973760">
      <w:pPr>
        <w:ind w:right="1005"/>
        <w:rPr>
          <w:rFonts w:eastAsia="Arial"/>
          <w:b/>
          <w:bCs/>
          <w:color w:val="808080" w:themeColor="background1" w:themeShade="80"/>
          <w:sz w:val="26"/>
          <w:szCs w:val="26"/>
        </w:rPr>
      </w:pPr>
      <w:r w:rsidRPr="00C16C7D">
        <w:rPr>
          <w:rFonts w:eastAsia="Arial"/>
          <w:b/>
          <w:bCs/>
          <w:color w:val="808080" w:themeColor="background1" w:themeShade="80"/>
          <w:sz w:val="26"/>
          <w:szCs w:val="26"/>
        </w:rPr>
        <w:t>WA Health annual reporting</w:t>
      </w:r>
    </w:p>
    <w:p w:rsidR="00A70B8F" w:rsidRDefault="00A70B8F" w:rsidP="00973760">
      <w:pPr>
        <w:rPr>
          <w:rFonts w:eastAsia="Arial"/>
        </w:rPr>
      </w:pPr>
    </w:p>
    <w:p w:rsidR="00973760" w:rsidRPr="007A125B" w:rsidRDefault="00973760" w:rsidP="00973760">
      <w:pPr>
        <w:rPr>
          <w:rFonts w:eastAsia="Arial"/>
        </w:rPr>
      </w:pPr>
      <w:r>
        <w:rPr>
          <w:rFonts w:eastAsia="Arial"/>
        </w:rPr>
        <w:t xml:space="preserve">As part of annual reporting procedures, </w:t>
      </w:r>
      <w:r w:rsidRPr="000853EC">
        <w:rPr>
          <w:rFonts w:eastAsia="Arial"/>
        </w:rPr>
        <w:t xml:space="preserve">the </w:t>
      </w:r>
      <w:r w:rsidR="00616BF4" w:rsidRPr="000853EC">
        <w:rPr>
          <w:rFonts w:eastAsia="Arial"/>
        </w:rPr>
        <w:t xml:space="preserve">WA </w:t>
      </w:r>
      <w:r w:rsidRPr="000853EC">
        <w:rPr>
          <w:rFonts w:eastAsia="Arial"/>
        </w:rPr>
        <w:t>Department of Health reports</w:t>
      </w:r>
      <w:r>
        <w:rPr>
          <w:rFonts w:eastAsia="Arial"/>
        </w:rPr>
        <w:t xml:space="preserve"> on the Potential</w:t>
      </w:r>
      <w:r w:rsidRPr="003B1B9F">
        <w:rPr>
          <w:rFonts w:eastAsia="Arial"/>
        </w:rPr>
        <w:t xml:space="preserve"> Y</w:t>
      </w:r>
      <w:r>
        <w:rPr>
          <w:rFonts w:eastAsia="Arial"/>
        </w:rPr>
        <w:t>ears of Life Lost per 1</w:t>
      </w:r>
      <w:r w:rsidR="00A70B8F">
        <w:rPr>
          <w:rFonts w:eastAsia="Arial"/>
        </w:rPr>
        <w:t>,</w:t>
      </w:r>
      <w:r>
        <w:rPr>
          <w:rFonts w:eastAsia="Arial"/>
        </w:rPr>
        <w:t xml:space="preserve">000 persons due to </w:t>
      </w:r>
      <w:r w:rsidRPr="003B1B9F">
        <w:rPr>
          <w:rFonts w:eastAsia="Arial"/>
        </w:rPr>
        <w:t>lung cancer, isch</w:t>
      </w:r>
      <w:r>
        <w:rPr>
          <w:rFonts w:eastAsia="Arial"/>
        </w:rPr>
        <w:t>a</w:t>
      </w:r>
      <w:r w:rsidRPr="003B1B9F">
        <w:rPr>
          <w:rFonts w:eastAsia="Arial"/>
        </w:rPr>
        <w:t xml:space="preserve">emic </w:t>
      </w:r>
      <w:r w:rsidRPr="007A125B">
        <w:rPr>
          <w:rFonts w:eastAsia="Arial"/>
        </w:rPr>
        <w:t>heart disease and falls.</w:t>
      </w:r>
      <w:r w:rsidR="008E4A1B">
        <w:rPr>
          <w:rFonts w:eastAsia="Arial"/>
        </w:rPr>
        <w:fldChar w:fldCharType="begin"/>
      </w:r>
      <w:r w:rsidR="005B3C51">
        <w:rPr>
          <w:rFonts w:eastAsia="Arial"/>
        </w:rPr>
        <w:instrText xml:space="preserve"> ADDIN EN.CITE &lt;EndNote&gt;&lt;Cite&gt;&lt;Author&gt;Department of Health&lt;/Author&gt;&lt;Year&gt;2016&lt;/Year&gt;&lt;RecNum&gt;47&lt;/RecNum&gt;&lt;DisplayText&gt;&lt;style face="superscript"&gt;189&lt;/style&gt;&lt;/DisplayText&gt;&lt;record&gt;&lt;rec-number&gt;47&lt;/rec-number&gt;&lt;foreign-keys&gt;&lt;key app="EN" db-id="zxa00wf2opvf9oeeset50xz7ezpfwre2v20z"&gt;47&lt;/key&gt;&lt;/foreign-keys&gt;&lt;ref-type name="Web Page"&gt;12&lt;/ref-type&gt;&lt;contributors&gt;&lt;authors&gt;&lt;author&gt;Department of Health,&lt;/author&gt;&lt;author&gt;Western Australia,&lt;/author&gt;&lt;/authors&gt;&lt;/contributors&gt;&lt;titles&gt;&lt;title&gt;Annual report 2014-15&lt;/title&gt;&lt;/titles&gt;&lt;dates&gt;&lt;year&gt;2016&lt;/year&gt;&lt;/dates&gt;&lt;pub-location&gt;Perth&lt;/pub-location&gt;&lt;publisher&gt;Department of Health, Western Australia&lt;/publisher&gt;&lt;urls&gt;&lt;related-urls&gt;&lt;url&gt;http://ww2.health.wa.gov.au/Reports-and-publications/Annual-report&lt;/url&gt;&lt;/related-urls&gt;&lt;/urls&gt;&lt;/record&gt;&lt;/Cite&gt;&lt;/EndNote&gt;</w:instrText>
      </w:r>
      <w:r w:rsidR="008E4A1B">
        <w:rPr>
          <w:rFonts w:eastAsia="Arial"/>
        </w:rPr>
        <w:fldChar w:fldCharType="separate"/>
      </w:r>
      <w:r w:rsidR="005B3C51" w:rsidRPr="005B3C51">
        <w:rPr>
          <w:rFonts w:eastAsia="Arial"/>
          <w:noProof/>
          <w:vertAlign w:val="superscript"/>
        </w:rPr>
        <w:t>189</w:t>
      </w:r>
      <w:r w:rsidR="008E4A1B">
        <w:rPr>
          <w:rFonts w:eastAsia="Arial"/>
        </w:rPr>
        <w:fldChar w:fldCharType="end"/>
      </w:r>
      <w:r w:rsidRPr="007A125B">
        <w:rPr>
          <w:rFonts w:eastAsia="Arial"/>
        </w:rPr>
        <w:t xml:space="preserve"> Improvements have been observed across all of these measures between 2005 and 2013 (</w:t>
      </w:r>
      <w:r w:rsidR="007A125B" w:rsidRPr="007A125B">
        <w:rPr>
          <w:rFonts w:eastAsia="Arial"/>
        </w:rPr>
        <w:t xml:space="preserve">Table </w:t>
      </w:r>
      <w:r w:rsidR="00A52339">
        <w:rPr>
          <w:rFonts w:eastAsia="Arial"/>
        </w:rPr>
        <w:t>3</w:t>
      </w:r>
      <w:r w:rsidRPr="007A125B">
        <w:rPr>
          <w:rFonts w:eastAsia="Arial"/>
        </w:rPr>
        <w:t>).</w:t>
      </w:r>
    </w:p>
    <w:p w:rsidR="00973760" w:rsidRPr="007A125B" w:rsidRDefault="00973760" w:rsidP="00973760">
      <w:pPr>
        <w:rPr>
          <w:rFonts w:eastAsia="Arial"/>
          <w:spacing w:val="-27"/>
        </w:rPr>
      </w:pPr>
      <w:r w:rsidRPr="007A125B">
        <w:rPr>
          <w:noProof/>
          <w:lang w:val="en-AU" w:eastAsia="en-AU"/>
        </w:rPr>
        <mc:AlternateContent>
          <mc:Choice Requires="wpg">
            <w:drawing>
              <wp:anchor distT="0" distB="0" distL="114300" distR="114300" simplePos="0" relativeHeight="251729920" behindDoc="1" locked="0" layoutInCell="1" allowOverlap="1" wp14:anchorId="0A9A854F" wp14:editId="64F8D5EE">
                <wp:simplePos x="0" y="0"/>
                <wp:positionH relativeFrom="page">
                  <wp:posOffset>2405380</wp:posOffset>
                </wp:positionH>
                <wp:positionV relativeFrom="paragraph">
                  <wp:posOffset>482600</wp:posOffset>
                </wp:positionV>
                <wp:extent cx="1270" cy="236220"/>
                <wp:effectExtent l="0" t="0" r="12700" b="0"/>
                <wp:wrapNone/>
                <wp:docPr id="23" name="Group 1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6220"/>
                          <a:chOff x="3788" y="760"/>
                          <a:chExt cx="2" cy="372"/>
                        </a:xfrm>
                      </wpg:grpSpPr>
                      <wps:wsp>
                        <wps:cNvPr id="24" name="Freeform 1562"/>
                        <wps:cNvSpPr>
                          <a:spLocks/>
                        </wps:cNvSpPr>
                        <wps:spPr bwMode="auto">
                          <a:xfrm>
                            <a:off x="3788" y="760"/>
                            <a:ext cx="2" cy="372"/>
                          </a:xfrm>
                          <a:custGeom>
                            <a:avLst/>
                            <a:gdLst>
                              <a:gd name="T0" fmla="+- 0 760 760"/>
                              <a:gd name="T1" fmla="*/ 760 h 372"/>
                              <a:gd name="T2" fmla="+- 0 1133 760"/>
                              <a:gd name="T3" fmla="*/ 1133 h 372"/>
                              <a:gd name="T4" fmla="+- 0 760 760"/>
                              <a:gd name="T5" fmla="*/ 760 h 372"/>
                            </a:gdLst>
                            <a:ahLst/>
                            <a:cxnLst>
                              <a:cxn ang="0">
                                <a:pos x="0" y="T1"/>
                              </a:cxn>
                              <a:cxn ang="0">
                                <a:pos x="0" y="T3"/>
                              </a:cxn>
                              <a:cxn ang="0">
                                <a:pos x="0" y="T5"/>
                              </a:cxn>
                            </a:cxnLst>
                            <a:rect l="0" t="0" r="r" b="b"/>
                            <a:pathLst>
                              <a:path h="372">
                                <a:moveTo>
                                  <a:pt x="0" y="0"/>
                                </a:moveTo>
                                <a:lnTo>
                                  <a:pt x="0" y="373"/>
                                </a:lnTo>
                                <a:lnTo>
                                  <a:pt x="0" y="0"/>
                                </a:lnTo>
                              </a:path>
                            </a:pathLst>
                          </a:custGeom>
                          <a:solidFill>
                            <a:srgbClr val="0092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1" o:spid="_x0000_s1026" style="position:absolute;margin-left:189.4pt;margin-top:38pt;width:.1pt;height:18.6pt;z-index:-251586560;mso-position-horizontal-relative:page" coordorigin="3788,760" coordsize="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">
                <v:shape id="Freeform 1562" o:spid="_x0000_s1027" style="position:absolute;left:3788;top:760;width:2;height:372;visibility:visible;mso-wrap-style:square;v-text-anchor:top" coordsize="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5lwsgA&#10;AADbAAAADwAAAGRycy9kb3ducmV2LnhtbESPQWvCQBSE70L/w/IKvUjdVNRq6iqlIlQ8iFZFb8/s&#10;axKafRuzq8b+ercg9DjMzDfMcFybQpypcrllBS+tCARxYnXOqYL11/S5D8J5ZI2FZVJwJQfj0UNj&#10;iLG2F17SeeVTESDsYlSQeV/GUrokI4OuZUvi4H3byqAPskqlrvAS4KaQ7SjqSYM5h4UMS/rIKPlZ&#10;nYyCzfrQPKanyWC32DW3k/11Nv997Sr19Fi/v4HwVPv/8L39qRW0O/D3JfwAOb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DmXCyAAAANsAAAAPAAAAAAAAAAAAAAAAAJgCAABk&#10;cnMvZG93bnJldi54bWxQSwUGAAAAAAQABAD1AAAAjQMAAAAA&#10;" path="m,l,373,,e" fillcolor="#00929f" stroked="f">
                  <v:path arrowok="t" o:connecttype="custom" o:connectlocs="0,760;0,1133;0,760" o:connectangles="0,0,0"/>
                </v:shape>
                <w10:wrap anchorx="page"/>
              </v:group>
            </w:pict>
          </mc:Fallback>
        </mc:AlternateContent>
      </w:r>
      <w:r w:rsidRPr="007A125B">
        <w:rPr>
          <w:noProof/>
          <w:lang w:val="en-AU" w:eastAsia="en-AU"/>
        </w:rPr>
        <mc:AlternateContent>
          <mc:Choice Requires="wpg">
            <w:drawing>
              <wp:anchor distT="0" distB="0" distL="114300" distR="114300" simplePos="0" relativeHeight="251730944" behindDoc="1" locked="0" layoutInCell="1" allowOverlap="1" wp14:anchorId="3933E813" wp14:editId="175AE7DD">
                <wp:simplePos x="0" y="0"/>
                <wp:positionH relativeFrom="page">
                  <wp:posOffset>3403600</wp:posOffset>
                </wp:positionH>
                <wp:positionV relativeFrom="paragraph">
                  <wp:posOffset>482600</wp:posOffset>
                </wp:positionV>
                <wp:extent cx="1270" cy="236220"/>
                <wp:effectExtent l="3175" t="0" r="5080" b="0"/>
                <wp:wrapNone/>
                <wp:docPr id="25" name="Group 15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6220"/>
                          <a:chOff x="5360" y="760"/>
                          <a:chExt cx="2" cy="372"/>
                        </a:xfrm>
                      </wpg:grpSpPr>
                      <wps:wsp>
                        <wps:cNvPr id="26" name="Freeform 1564"/>
                        <wps:cNvSpPr>
                          <a:spLocks/>
                        </wps:cNvSpPr>
                        <wps:spPr bwMode="auto">
                          <a:xfrm>
                            <a:off x="5360" y="760"/>
                            <a:ext cx="2" cy="372"/>
                          </a:xfrm>
                          <a:custGeom>
                            <a:avLst/>
                            <a:gdLst>
                              <a:gd name="T0" fmla="+- 0 760 760"/>
                              <a:gd name="T1" fmla="*/ 760 h 372"/>
                              <a:gd name="T2" fmla="+- 0 1133 760"/>
                              <a:gd name="T3" fmla="*/ 1133 h 372"/>
                              <a:gd name="T4" fmla="+- 0 760 760"/>
                              <a:gd name="T5" fmla="*/ 760 h 372"/>
                            </a:gdLst>
                            <a:ahLst/>
                            <a:cxnLst>
                              <a:cxn ang="0">
                                <a:pos x="0" y="T1"/>
                              </a:cxn>
                              <a:cxn ang="0">
                                <a:pos x="0" y="T3"/>
                              </a:cxn>
                              <a:cxn ang="0">
                                <a:pos x="0" y="T5"/>
                              </a:cxn>
                            </a:cxnLst>
                            <a:rect l="0" t="0" r="r" b="b"/>
                            <a:pathLst>
                              <a:path h="372">
                                <a:moveTo>
                                  <a:pt x="0" y="0"/>
                                </a:moveTo>
                                <a:lnTo>
                                  <a:pt x="0" y="373"/>
                                </a:lnTo>
                                <a:lnTo>
                                  <a:pt x="0" y="0"/>
                                </a:lnTo>
                              </a:path>
                            </a:pathLst>
                          </a:custGeom>
                          <a:solidFill>
                            <a:srgbClr val="0092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3" o:spid="_x0000_s1026" style="position:absolute;margin-left:268pt;margin-top:38pt;width:.1pt;height:18.6pt;z-index:-251585536;mso-position-horizontal-relative:page" coordorigin="5360,760" coordsize="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">
                <v:shape id="Freeform 1564" o:spid="_x0000_s1027" style="position:absolute;left:5360;top:760;width:2;height:372;visibility:visible;mso-wrap-style:square;v-text-anchor:top" coordsize="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BeLsgA&#10;AADbAAAADwAAAGRycy9kb3ducmV2LnhtbESPW2vCQBSE3wv+h+UIvohuKtRLdJVSKVR8KPWGvp1m&#10;T5PQ7NmYXTX6692C0MdhZr5hJrPaFOJMlcstK3juRiCIE6tzThVs1u+dIQjnkTUWlknBlRzMpo2n&#10;CcbaXviLziufigBhF6OCzPsyltIlGRl0XVsSB+/HVgZ9kFUqdYWXADeF7EVRXxrMOSxkWNJbRsnv&#10;6mQUbDff7WN6mo/2n/v2bn64Lpa3wYtSrWb9Ogbhqfb/4Uf7Qyvo9eHvS/gB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kF4uyAAAANsAAAAPAAAAAAAAAAAAAAAAAJgCAABk&#10;cnMvZG93bnJldi54bWxQSwUGAAAAAAQABAD1AAAAjQMAAAAA&#10;" path="m,l,373,,e" fillcolor="#00929f" stroked="f">
                  <v:path arrowok="t" o:connecttype="custom" o:connectlocs="0,760;0,1133;0,760" o:connectangles="0,0,0"/>
                </v:shape>
                <w10:wrap anchorx="page"/>
              </v:group>
            </w:pict>
          </mc:Fallback>
        </mc:AlternateContent>
      </w:r>
      <w:r w:rsidRPr="007A125B">
        <w:rPr>
          <w:noProof/>
          <w:lang w:val="en-AU" w:eastAsia="en-AU"/>
        </w:rPr>
        <mc:AlternateContent>
          <mc:Choice Requires="wpg">
            <w:drawing>
              <wp:anchor distT="0" distB="0" distL="114300" distR="114300" simplePos="0" relativeHeight="251731968" behindDoc="1" locked="0" layoutInCell="1" allowOverlap="1" wp14:anchorId="157DBD4A" wp14:editId="13D3759C">
                <wp:simplePos x="0" y="0"/>
                <wp:positionH relativeFrom="page">
                  <wp:posOffset>4402455</wp:posOffset>
                </wp:positionH>
                <wp:positionV relativeFrom="paragraph">
                  <wp:posOffset>482600</wp:posOffset>
                </wp:positionV>
                <wp:extent cx="1270" cy="236220"/>
                <wp:effectExtent l="1905" t="0" r="6350" b="0"/>
                <wp:wrapNone/>
                <wp:docPr id="27" name="Group 1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6220"/>
                          <a:chOff x="6933" y="760"/>
                          <a:chExt cx="2" cy="372"/>
                        </a:xfrm>
                      </wpg:grpSpPr>
                      <wps:wsp>
                        <wps:cNvPr id="28" name="Freeform 1566"/>
                        <wps:cNvSpPr>
                          <a:spLocks/>
                        </wps:cNvSpPr>
                        <wps:spPr bwMode="auto">
                          <a:xfrm>
                            <a:off x="6933" y="760"/>
                            <a:ext cx="2" cy="372"/>
                          </a:xfrm>
                          <a:custGeom>
                            <a:avLst/>
                            <a:gdLst>
                              <a:gd name="T0" fmla="+- 0 760 760"/>
                              <a:gd name="T1" fmla="*/ 760 h 372"/>
                              <a:gd name="T2" fmla="+- 0 1133 760"/>
                              <a:gd name="T3" fmla="*/ 1133 h 372"/>
                              <a:gd name="T4" fmla="+- 0 760 760"/>
                              <a:gd name="T5" fmla="*/ 760 h 372"/>
                            </a:gdLst>
                            <a:ahLst/>
                            <a:cxnLst>
                              <a:cxn ang="0">
                                <a:pos x="0" y="T1"/>
                              </a:cxn>
                              <a:cxn ang="0">
                                <a:pos x="0" y="T3"/>
                              </a:cxn>
                              <a:cxn ang="0">
                                <a:pos x="0" y="T5"/>
                              </a:cxn>
                            </a:cxnLst>
                            <a:rect l="0" t="0" r="r" b="b"/>
                            <a:pathLst>
                              <a:path h="372">
                                <a:moveTo>
                                  <a:pt x="0" y="0"/>
                                </a:moveTo>
                                <a:lnTo>
                                  <a:pt x="0" y="373"/>
                                </a:lnTo>
                                <a:lnTo>
                                  <a:pt x="0" y="0"/>
                                </a:lnTo>
                              </a:path>
                            </a:pathLst>
                          </a:custGeom>
                          <a:solidFill>
                            <a:srgbClr val="0092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5" o:spid="_x0000_s1026" style="position:absolute;margin-left:346.65pt;margin-top:38pt;width:.1pt;height:18.6pt;z-index:-251584512;mso-position-horizontal-relative:page" coordorigin="6933,760" coordsize="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">
                <v:shape id="Freeform 1566" o:spid="_x0000_s1027" style="position:absolute;left:6933;top:760;width:2;height:372;visibility:visible;mso-wrap-style:square;v-text-anchor:top" coordsize="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Nvx8UA&#10;AADbAAAADwAAAGRycy9kb3ducmV2LnhtbERPy2rCQBTdF/yH4QpuRCcKrTZ1FFGEFhelPordXTPX&#10;JJi5EzOjRr++sxBcHs57NKlNIS5Uudyygl43AkGcWJ1zqmCzXnSGIJxH1lhYJgU3cjAZN15GGGt7&#10;5R+6rHwqQgi7GBVk3pexlC7JyKDr2pI4cAdbGfQBVqnUFV5DuClkP4repMGcQ0OGJc0ySo6rs1Gw&#10;3ezbp/Q8f99979q/87/b1/I+eFWq1aynHyA81f4pfrg/tYJ+GBu+hB8g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Q2/HxQAAANsAAAAPAAAAAAAAAAAAAAAAAJgCAABkcnMv&#10;ZG93bnJldi54bWxQSwUGAAAAAAQABAD1AAAAigMAAAAA&#10;" path="m,l,373,,e" fillcolor="#00929f" stroked="f">
                  <v:path arrowok="t" o:connecttype="custom" o:connectlocs="0,760;0,1133;0,760" o:connectangles="0,0,0"/>
                </v:shape>
                <w10:wrap anchorx="page"/>
              </v:group>
            </w:pict>
          </mc:Fallback>
        </mc:AlternateContent>
      </w:r>
      <w:r w:rsidRPr="007A125B">
        <w:rPr>
          <w:noProof/>
          <w:lang w:val="en-AU" w:eastAsia="en-AU"/>
        </w:rPr>
        <mc:AlternateContent>
          <mc:Choice Requires="wpg">
            <w:drawing>
              <wp:anchor distT="0" distB="0" distL="114300" distR="114300" simplePos="0" relativeHeight="251732992" behindDoc="1" locked="0" layoutInCell="1" allowOverlap="1" wp14:anchorId="32539E37" wp14:editId="4CE974D4">
                <wp:simplePos x="0" y="0"/>
                <wp:positionH relativeFrom="page">
                  <wp:posOffset>5899785</wp:posOffset>
                </wp:positionH>
                <wp:positionV relativeFrom="paragraph">
                  <wp:posOffset>482600</wp:posOffset>
                </wp:positionV>
                <wp:extent cx="1270" cy="236220"/>
                <wp:effectExtent l="3810" t="0" r="4445" b="0"/>
                <wp:wrapNone/>
                <wp:docPr id="29" name="Group 15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36220"/>
                          <a:chOff x="9291" y="760"/>
                          <a:chExt cx="2" cy="372"/>
                        </a:xfrm>
                      </wpg:grpSpPr>
                      <wps:wsp>
                        <wps:cNvPr id="30" name="Freeform 1568"/>
                        <wps:cNvSpPr>
                          <a:spLocks/>
                        </wps:cNvSpPr>
                        <wps:spPr bwMode="auto">
                          <a:xfrm>
                            <a:off x="9291" y="760"/>
                            <a:ext cx="2" cy="372"/>
                          </a:xfrm>
                          <a:custGeom>
                            <a:avLst/>
                            <a:gdLst>
                              <a:gd name="T0" fmla="+- 0 760 760"/>
                              <a:gd name="T1" fmla="*/ 760 h 372"/>
                              <a:gd name="T2" fmla="+- 0 1133 760"/>
                              <a:gd name="T3" fmla="*/ 1133 h 372"/>
                              <a:gd name="T4" fmla="+- 0 760 760"/>
                              <a:gd name="T5" fmla="*/ 760 h 372"/>
                            </a:gdLst>
                            <a:ahLst/>
                            <a:cxnLst>
                              <a:cxn ang="0">
                                <a:pos x="0" y="T1"/>
                              </a:cxn>
                              <a:cxn ang="0">
                                <a:pos x="0" y="T3"/>
                              </a:cxn>
                              <a:cxn ang="0">
                                <a:pos x="0" y="T5"/>
                              </a:cxn>
                            </a:cxnLst>
                            <a:rect l="0" t="0" r="r" b="b"/>
                            <a:pathLst>
                              <a:path h="372">
                                <a:moveTo>
                                  <a:pt x="0" y="0"/>
                                </a:moveTo>
                                <a:lnTo>
                                  <a:pt x="0" y="373"/>
                                </a:lnTo>
                                <a:lnTo>
                                  <a:pt x="0" y="0"/>
                                </a:lnTo>
                              </a:path>
                            </a:pathLst>
                          </a:custGeom>
                          <a:solidFill>
                            <a:srgbClr val="0092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67" o:spid="_x0000_s1026" style="position:absolute;margin-left:464.55pt;margin-top:38pt;width:.1pt;height:18.6pt;z-index:-251583488;mso-position-horizontal-relative:page" coordorigin="9291,760" coordsize="2,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">
                <v:shape id="Freeform 1568" o:spid="_x0000_s1027" style="position:absolute;left:9291;top:760;width:2;height:372;visibility:visible;mso-wrap-style:square;v-text-anchor:top" coordsize="2,3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1HMUA&#10;AADbAAAADwAAAGRycy9kb3ducmV2LnhtbERPTWvCQBC9C/6HZYRepG5a0WrqKqVSUDyINorexuw0&#10;Cc3OptlVY3999yD0+Hjfk1ljSnGh2hWWFTz1IhDEqdUFZwqSz4/HEQjnkTWWlknBjRzMpu3WBGNt&#10;r7yhy9ZnIoSwi1FB7n0VS+nSnAy6nq2IA/dla4M+wDqTusZrCDelfI6ioTRYcGjIsaL3nNLv7dko&#10;2CWn7k92no8P60N3Pz/elqvfl4FSD53m7RWEp8b/i+/uhVbQD+vDl/AD5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7PUcxQAAANsAAAAPAAAAAAAAAAAAAAAAAJgCAABkcnMv&#10;ZG93bnJldi54bWxQSwUGAAAAAAQABAD1AAAAigMAAAAA&#10;" path="m,l,373,,e" fillcolor="#00929f" stroked="f">
                  <v:path arrowok="t" o:connecttype="custom" o:connectlocs="0,760;0,1133;0,760" o:connectangles="0,0,0"/>
                </v:shape>
                <w10:wrap anchorx="page"/>
              </v:group>
            </w:pict>
          </mc:Fallback>
        </mc:AlternateContent>
      </w:r>
    </w:p>
    <w:p w:rsidR="00973760" w:rsidRPr="00C16C7D" w:rsidRDefault="00973760" w:rsidP="00973760">
      <w:pPr>
        <w:rPr>
          <w:rFonts w:eastAsia="Arial"/>
          <w:b/>
          <w:color w:val="808080" w:themeColor="background1" w:themeShade="80"/>
        </w:rPr>
      </w:pPr>
      <w:r w:rsidRPr="00C16C7D">
        <w:rPr>
          <w:rFonts w:eastAsia="Arial"/>
          <w:b/>
          <w:color w:val="808080" w:themeColor="background1" w:themeShade="80"/>
          <w:spacing w:val="-27"/>
        </w:rPr>
        <w:t>T</w:t>
      </w:r>
      <w:r w:rsidRPr="00C16C7D">
        <w:rPr>
          <w:rFonts w:eastAsia="Arial"/>
          <w:b/>
          <w:color w:val="808080" w:themeColor="background1" w:themeShade="80"/>
        </w:rPr>
        <w:t xml:space="preserve">able </w:t>
      </w:r>
      <w:r w:rsidR="00A52339" w:rsidRPr="00C16C7D">
        <w:rPr>
          <w:rFonts w:eastAsia="Arial"/>
          <w:b/>
          <w:color w:val="808080" w:themeColor="background1" w:themeShade="80"/>
        </w:rPr>
        <w:t>3</w:t>
      </w:r>
      <w:r w:rsidRPr="00C16C7D">
        <w:rPr>
          <w:rFonts w:eastAsia="Arial"/>
          <w:b/>
          <w:color w:val="808080" w:themeColor="background1" w:themeShade="80"/>
        </w:rPr>
        <w:t xml:space="preserve">: Potential </w:t>
      </w:r>
      <w:r w:rsidR="00F044D5" w:rsidRPr="00C16C7D">
        <w:rPr>
          <w:rFonts w:eastAsia="Arial"/>
          <w:b/>
          <w:color w:val="808080" w:themeColor="background1" w:themeShade="80"/>
        </w:rPr>
        <w:t xml:space="preserve">years of </w:t>
      </w:r>
      <w:r w:rsidRPr="00C16C7D">
        <w:rPr>
          <w:rFonts w:eastAsia="Arial"/>
          <w:b/>
          <w:color w:val="808080" w:themeColor="background1" w:themeShade="80"/>
        </w:rPr>
        <w:t xml:space="preserve">life lost in WA </w:t>
      </w:r>
      <w:r w:rsidR="00F044D5" w:rsidRPr="00C16C7D">
        <w:rPr>
          <w:rFonts w:eastAsia="Arial"/>
          <w:b/>
          <w:color w:val="808080" w:themeColor="background1" w:themeShade="80"/>
        </w:rPr>
        <w:t>per 1,000 persons</w:t>
      </w:r>
      <w:r w:rsidR="007A125B" w:rsidRPr="00C16C7D">
        <w:rPr>
          <w:rFonts w:eastAsia="Arial"/>
          <w:b/>
          <w:color w:val="808080" w:themeColor="background1" w:themeShade="80"/>
        </w:rPr>
        <w:t>, 2005</w:t>
      </w:r>
      <w:r w:rsidR="002036A6" w:rsidRPr="00C16C7D">
        <w:rPr>
          <w:rFonts w:eastAsia="Arial"/>
          <w:b/>
          <w:color w:val="808080" w:themeColor="background1" w:themeShade="80"/>
        </w:rPr>
        <w:t>–</w:t>
      </w:r>
      <w:r w:rsidR="007A125B" w:rsidRPr="00C16C7D">
        <w:rPr>
          <w:rFonts w:eastAsia="Arial"/>
          <w:b/>
          <w:color w:val="808080" w:themeColor="background1" w:themeShade="80"/>
        </w:rPr>
        <w:t>2013</w:t>
      </w:r>
    </w:p>
    <w:tbl>
      <w:tblPr>
        <w:tblStyle w:val="TableGrid"/>
        <w:tblW w:w="9219" w:type="dxa"/>
        <w:jc w:val="center"/>
        <w:tblInd w:w="-274" w:type="dxa"/>
        <w:shd w:val="clear" w:color="auto" w:fill="B6DDE8" w:themeFill="accent5" w:themeFillTint="66"/>
        <w:tblLayout w:type="fixed"/>
        <w:tblLook w:val="01E0" w:firstRow="1" w:lastRow="1" w:firstColumn="1" w:lastColumn="1" w:noHBand="0" w:noVBand="0"/>
      </w:tblPr>
      <w:tblGrid>
        <w:gridCol w:w="3124"/>
        <w:gridCol w:w="550"/>
        <w:gridCol w:w="551"/>
        <w:gridCol w:w="551"/>
        <w:gridCol w:w="550"/>
        <w:gridCol w:w="551"/>
        <w:gridCol w:w="551"/>
        <w:gridCol w:w="550"/>
        <w:gridCol w:w="551"/>
        <w:gridCol w:w="551"/>
        <w:gridCol w:w="1139"/>
      </w:tblGrid>
      <w:tr w:rsidR="00EC6B82" w:rsidTr="004B613A">
        <w:trPr>
          <w:cantSplit/>
          <w:trHeight w:val="737"/>
          <w:jc w:val="center"/>
        </w:trPr>
        <w:tc>
          <w:tcPr>
            <w:tcW w:w="3124" w:type="dxa"/>
            <w:tcBorders>
              <w:top w:val="single" w:sz="4" w:space="0" w:color="auto"/>
              <w:bottom w:val="single" w:sz="4" w:space="0" w:color="auto"/>
            </w:tcBorders>
            <w:shd w:val="clear" w:color="auto" w:fill="808080" w:themeFill="background1" w:themeFillShade="80"/>
            <w:vAlign w:val="center"/>
          </w:tcPr>
          <w:p w:rsidR="00973760" w:rsidRPr="004F2599" w:rsidRDefault="00120913" w:rsidP="004F2599">
            <w:pPr>
              <w:rPr>
                <w:rFonts w:eastAsia="Arial"/>
                <w:b/>
                <w:color w:val="FFFFFF" w:themeColor="background1"/>
              </w:rPr>
            </w:pPr>
            <w:r w:rsidRPr="004F2599">
              <w:rPr>
                <w:rFonts w:eastAsia="Arial"/>
                <w:b/>
                <w:color w:val="FFFFFF" w:themeColor="background1"/>
              </w:rPr>
              <w:t>Cause</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2005</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2006</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2007</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2008</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2009</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2010</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2011</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2012</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textDirection w:val="btLr"/>
            <w:vAlign w:val="center"/>
          </w:tcPr>
          <w:p w:rsidR="00973760" w:rsidRPr="00C16C7D" w:rsidRDefault="00973760" w:rsidP="00C16C7D">
            <w:pPr>
              <w:pStyle w:val="Pa12"/>
              <w:shd w:val="clear" w:color="auto" w:fill="F2F2F2" w:themeFill="background1" w:themeFillShade="F2"/>
              <w:spacing w:line="240" w:lineRule="auto"/>
              <w:ind w:left="113" w:right="113"/>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2013</w:t>
            </w:r>
          </w:p>
        </w:tc>
        <w:tc>
          <w:tcPr>
            <w:tcW w:w="1139" w:type="dxa"/>
            <w:tcBorders>
              <w:top w:val="single" w:sz="4" w:space="0" w:color="auto"/>
              <w:bottom w:val="single" w:sz="4" w:space="0" w:color="auto"/>
            </w:tcBorders>
            <w:shd w:val="clear" w:color="auto" w:fill="F2F2F2" w:themeFill="background1" w:themeFillShade="F2"/>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b/>
                <w:color w:val="808080" w:themeColor="background1" w:themeShade="80"/>
                <w:sz w:val="22"/>
                <w:szCs w:val="22"/>
                <w:lang w:val="en-US"/>
              </w:rPr>
            </w:pPr>
            <w:r w:rsidRPr="00C16C7D">
              <w:rPr>
                <w:rFonts w:ascii="Arial" w:eastAsia="Arial" w:hAnsi="Arial" w:cs="Arial"/>
                <w:b/>
                <w:color w:val="808080" w:themeColor="background1" w:themeShade="80"/>
                <w:sz w:val="22"/>
                <w:szCs w:val="22"/>
                <w:lang w:val="en-US"/>
              </w:rPr>
              <w:t>Target</w:t>
            </w:r>
          </w:p>
        </w:tc>
      </w:tr>
      <w:tr w:rsidR="00EC6B82" w:rsidTr="004B613A">
        <w:trPr>
          <w:trHeight w:val="340"/>
          <w:jc w:val="center"/>
        </w:trPr>
        <w:tc>
          <w:tcPr>
            <w:tcW w:w="3124" w:type="dxa"/>
            <w:tcBorders>
              <w:top w:val="single" w:sz="4" w:space="0" w:color="auto"/>
            </w:tcBorders>
            <w:shd w:val="clear" w:color="auto" w:fill="808080" w:themeFill="background1" w:themeFillShade="80"/>
            <w:vAlign w:val="center"/>
          </w:tcPr>
          <w:p w:rsidR="00973760" w:rsidRPr="004F2599" w:rsidRDefault="00973760" w:rsidP="004F2599">
            <w:pPr>
              <w:rPr>
                <w:rFonts w:eastAsia="Arial"/>
                <w:b/>
                <w:color w:val="FFFFFF" w:themeColor="background1"/>
              </w:rPr>
            </w:pPr>
            <w:r w:rsidRPr="004F2599">
              <w:rPr>
                <w:rFonts w:eastAsia="Arial"/>
                <w:b/>
                <w:color w:val="FFFFFF" w:themeColor="background1"/>
              </w:rPr>
              <w:t>Lung cancer</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1.9</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2.0</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2.1</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1.7</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2.1</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1.7</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1.8</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1.8</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1.5</w:t>
            </w:r>
          </w:p>
        </w:tc>
        <w:tc>
          <w:tcPr>
            <w:tcW w:w="1139" w:type="dxa"/>
            <w:tcBorders>
              <w:top w:val="single" w:sz="4" w:space="0" w:color="auto"/>
              <w:bottom w:val="single" w:sz="4" w:space="0" w:color="auto"/>
            </w:tcBorders>
            <w:shd w:val="clear" w:color="auto" w:fill="F2F2F2" w:themeFill="background1" w:themeFillShade="F2"/>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1.8</w:t>
            </w:r>
          </w:p>
        </w:tc>
      </w:tr>
      <w:tr w:rsidR="00EC6B82" w:rsidTr="004B613A">
        <w:trPr>
          <w:trHeight w:val="340"/>
          <w:jc w:val="center"/>
        </w:trPr>
        <w:tc>
          <w:tcPr>
            <w:tcW w:w="3124" w:type="dxa"/>
            <w:shd w:val="clear" w:color="auto" w:fill="808080" w:themeFill="background1" w:themeFillShade="80"/>
            <w:vAlign w:val="center"/>
          </w:tcPr>
          <w:p w:rsidR="00973760" w:rsidRPr="004F2599" w:rsidRDefault="00973760" w:rsidP="004F2599">
            <w:pPr>
              <w:rPr>
                <w:rFonts w:eastAsia="Arial"/>
                <w:b/>
                <w:color w:val="FFFFFF" w:themeColor="background1"/>
              </w:rPr>
            </w:pPr>
            <w:r w:rsidRPr="004F2599">
              <w:rPr>
                <w:rFonts w:eastAsia="Arial"/>
                <w:b/>
                <w:color w:val="FFFFFF" w:themeColor="background1"/>
              </w:rPr>
              <w:t>Ischaemic heart disease</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3.3</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3.3</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3.7</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3.3</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3.3</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2.9</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3.1</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2.5</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2.5</w:t>
            </w:r>
          </w:p>
        </w:tc>
        <w:tc>
          <w:tcPr>
            <w:tcW w:w="1139" w:type="dxa"/>
            <w:tcBorders>
              <w:top w:val="single" w:sz="4" w:space="0" w:color="auto"/>
              <w:bottom w:val="single" w:sz="4" w:space="0" w:color="auto"/>
            </w:tcBorders>
            <w:shd w:val="clear" w:color="auto" w:fill="F2F2F2" w:themeFill="background1" w:themeFillShade="F2"/>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2.4</w:t>
            </w:r>
          </w:p>
        </w:tc>
      </w:tr>
      <w:tr w:rsidR="00EC6B82" w:rsidTr="004B613A">
        <w:trPr>
          <w:trHeight w:val="340"/>
          <w:jc w:val="center"/>
        </w:trPr>
        <w:tc>
          <w:tcPr>
            <w:tcW w:w="3124" w:type="dxa"/>
            <w:tcBorders>
              <w:bottom w:val="single" w:sz="4" w:space="0" w:color="auto"/>
            </w:tcBorders>
            <w:shd w:val="clear" w:color="auto" w:fill="808080" w:themeFill="background1" w:themeFillShade="80"/>
            <w:vAlign w:val="center"/>
          </w:tcPr>
          <w:p w:rsidR="00973760" w:rsidRPr="004F2599" w:rsidRDefault="00973760" w:rsidP="004F2599">
            <w:pPr>
              <w:rPr>
                <w:rFonts w:eastAsia="Arial"/>
                <w:b/>
                <w:color w:val="FFFFFF" w:themeColor="background1"/>
              </w:rPr>
            </w:pPr>
            <w:r w:rsidRPr="004F2599">
              <w:rPr>
                <w:rFonts w:eastAsia="Arial"/>
                <w:b/>
                <w:color w:val="FFFFFF" w:themeColor="background1"/>
              </w:rPr>
              <w:t>Falls</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0.5</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0.4</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0.4</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0.5</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0.5</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0.3</w:t>
            </w:r>
          </w:p>
        </w:tc>
        <w:tc>
          <w:tcPr>
            <w:tcW w:w="550"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0.4</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0.2</w:t>
            </w:r>
          </w:p>
        </w:tc>
        <w:tc>
          <w:tcPr>
            <w:tcW w:w="551" w:type="dxa"/>
            <w:tcBorders>
              <w:top w:val="single" w:sz="4" w:space="0" w:color="auto"/>
              <w:bottom w:val="single" w:sz="4" w:space="0" w:color="auto"/>
            </w:tcBorders>
            <w:shd w:val="clear" w:color="auto" w:fill="F2F2F2" w:themeFill="background1" w:themeFillShade="F2"/>
            <w:tcMar>
              <w:left w:w="85" w:type="dxa"/>
              <w:right w:w="85" w:type="dxa"/>
            </w:tcMar>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0.4</w:t>
            </w:r>
          </w:p>
        </w:tc>
        <w:tc>
          <w:tcPr>
            <w:tcW w:w="1139" w:type="dxa"/>
            <w:tcBorders>
              <w:top w:val="single" w:sz="4" w:space="0" w:color="auto"/>
              <w:bottom w:val="single" w:sz="4" w:space="0" w:color="auto"/>
            </w:tcBorders>
            <w:shd w:val="clear" w:color="auto" w:fill="F2F2F2" w:themeFill="background1" w:themeFillShade="F2"/>
            <w:vAlign w:val="center"/>
          </w:tcPr>
          <w:p w:rsidR="00973760" w:rsidRPr="00C16C7D" w:rsidRDefault="00973760" w:rsidP="00C16C7D">
            <w:pPr>
              <w:pStyle w:val="Pa12"/>
              <w:shd w:val="clear" w:color="auto" w:fill="F2F2F2" w:themeFill="background1" w:themeFillShade="F2"/>
              <w:spacing w:line="240" w:lineRule="auto"/>
              <w:jc w:val="center"/>
              <w:rPr>
                <w:rFonts w:ascii="Arial" w:eastAsia="Arial" w:hAnsi="Arial" w:cs="Arial"/>
                <w:color w:val="808080" w:themeColor="background1" w:themeShade="80"/>
                <w:sz w:val="22"/>
                <w:szCs w:val="22"/>
                <w:lang w:val="en-US"/>
              </w:rPr>
            </w:pPr>
            <w:r w:rsidRPr="00C16C7D">
              <w:rPr>
                <w:rFonts w:ascii="Arial" w:eastAsia="Arial" w:hAnsi="Arial" w:cs="Arial"/>
                <w:color w:val="808080" w:themeColor="background1" w:themeShade="80"/>
                <w:sz w:val="22"/>
                <w:szCs w:val="22"/>
                <w:lang w:val="en-US"/>
              </w:rPr>
              <w:t>0.2</w:t>
            </w:r>
          </w:p>
        </w:tc>
      </w:tr>
    </w:tbl>
    <w:p w:rsidR="002036A6" w:rsidRPr="00C17ABF" w:rsidRDefault="00C17ABF" w:rsidP="00120913">
      <w:pPr>
        <w:shd w:val="clear" w:color="auto" w:fill="FFFFFF" w:themeFill="background1"/>
        <w:ind w:right="1005"/>
        <w:rPr>
          <w:rFonts w:eastAsia="Arial"/>
          <w:bCs/>
        </w:rPr>
      </w:pPr>
      <w:r w:rsidRPr="00395A95">
        <w:rPr>
          <w:rFonts w:eastAsia="Arial"/>
          <w:bCs/>
        </w:rPr>
        <w:t xml:space="preserve">Source: </w:t>
      </w:r>
      <w:r w:rsidR="00FF4C40">
        <w:rPr>
          <w:rFonts w:eastAsia="Arial"/>
          <w:bCs/>
        </w:rPr>
        <w:t xml:space="preserve">WA </w:t>
      </w:r>
      <w:r w:rsidR="00395A95" w:rsidRPr="00395A95">
        <w:rPr>
          <w:rFonts w:eastAsia="Arial"/>
          <w:bCs/>
        </w:rPr>
        <w:t>Department of Health Annual Report</w:t>
      </w:r>
      <w:r w:rsidR="008E4A1B">
        <w:rPr>
          <w:rFonts w:eastAsia="Arial"/>
          <w:bCs/>
        </w:rPr>
        <w:fldChar w:fldCharType="begin"/>
      </w:r>
      <w:r w:rsidR="005B3C51">
        <w:rPr>
          <w:rFonts w:eastAsia="Arial"/>
          <w:bCs/>
        </w:rPr>
        <w:instrText xml:space="preserve"> ADDIN EN.CITE &lt;EndNote&gt;&lt;Cite&gt;&lt;Author&gt;Department of Health&lt;/Author&gt;&lt;Year&gt;2016&lt;/Year&gt;&lt;RecNum&gt;47&lt;/RecNum&gt;&lt;DisplayText&gt;&lt;style face="superscript"&gt;189&lt;/style&gt;&lt;/DisplayText&gt;&lt;record&gt;&lt;rec-number&gt;47&lt;/rec-number&gt;&lt;foreign-keys&gt;&lt;key app="EN" db-id="zxa00wf2opvf9oeeset50xz7ezpfwre2v20z"&gt;47&lt;/key&gt;&lt;/foreign-keys&gt;&lt;ref-type name="Web Page"&gt;12&lt;/ref-type&gt;&lt;contributors&gt;&lt;authors&gt;&lt;author&gt;Department of Health,&lt;/author&gt;&lt;author&gt;Western Australia,&lt;/author&gt;&lt;/authors&gt;&lt;/contributors&gt;&lt;titles&gt;&lt;title&gt;Annual report 2014-15&lt;/title&gt;&lt;/titles&gt;&lt;dates&gt;&lt;year&gt;2016&lt;/year&gt;&lt;/dates&gt;&lt;pub-location&gt;Perth&lt;/pub-location&gt;&lt;publisher&gt;Department of Health, Western Australia&lt;/publisher&gt;&lt;urls&gt;&lt;related-urls&gt;&lt;url&gt;http://ww2.health.wa.gov.au/Reports-and-publications/Annual-report&lt;/url&gt;&lt;/related-urls&gt;&lt;/urls&gt;&lt;/record&gt;&lt;/Cite&gt;&lt;/EndNote&gt;</w:instrText>
      </w:r>
      <w:r w:rsidR="008E4A1B">
        <w:rPr>
          <w:rFonts w:eastAsia="Arial"/>
          <w:bCs/>
        </w:rPr>
        <w:fldChar w:fldCharType="separate"/>
      </w:r>
      <w:r w:rsidR="005B3C51" w:rsidRPr="005B3C51">
        <w:rPr>
          <w:rFonts w:eastAsia="Arial"/>
          <w:bCs/>
          <w:noProof/>
          <w:vertAlign w:val="superscript"/>
        </w:rPr>
        <w:t>189</w:t>
      </w:r>
      <w:r w:rsidR="008E4A1B">
        <w:rPr>
          <w:rFonts w:eastAsia="Arial"/>
          <w:bCs/>
        </w:rPr>
        <w:fldChar w:fldCharType="end"/>
      </w:r>
      <w:r w:rsidR="00A70B8F">
        <w:rPr>
          <w:rFonts w:eastAsia="Arial"/>
          <w:bCs/>
        </w:rPr>
        <w:t xml:space="preserve"> </w:t>
      </w:r>
    </w:p>
    <w:p w:rsidR="002036A6" w:rsidRPr="00F91F5E" w:rsidRDefault="002036A6" w:rsidP="00973760">
      <w:pPr>
        <w:ind w:right="1005"/>
        <w:rPr>
          <w:rFonts w:eastAsia="Arial"/>
          <w:bCs/>
          <w:szCs w:val="26"/>
        </w:rPr>
      </w:pPr>
    </w:p>
    <w:p w:rsidR="00973760" w:rsidRPr="00C16C7D" w:rsidRDefault="00973760" w:rsidP="00973760">
      <w:pPr>
        <w:ind w:right="1005"/>
        <w:rPr>
          <w:rFonts w:eastAsia="Arial"/>
          <w:b/>
          <w:bCs/>
          <w:color w:val="808080" w:themeColor="background1" w:themeShade="80"/>
          <w:sz w:val="26"/>
          <w:szCs w:val="26"/>
        </w:rPr>
      </w:pPr>
      <w:r w:rsidRPr="00C16C7D">
        <w:rPr>
          <w:rFonts w:eastAsia="Arial"/>
          <w:b/>
          <w:bCs/>
          <w:i/>
          <w:color w:val="808080" w:themeColor="background1" w:themeShade="80"/>
          <w:sz w:val="26"/>
          <w:szCs w:val="26"/>
        </w:rPr>
        <w:t>National Healthcare Agreement</w:t>
      </w:r>
      <w:r w:rsidRPr="00C16C7D">
        <w:rPr>
          <w:rFonts w:eastAsia="Arial"/>
          <w:b/>
          <w:bCs/>
          <w:color w:val="808080" w:themeColor="background1" w:themeShade="80"/>
          <w:sz w:val="26"/>
          <w:szCs w:val="26"/>
        </w:rPr>
        <w:t xml:space="preserve"> </w:t>
      </w:r>
    </w:p>
    <w:p w:rsidR="002036A6" w:rsidRDefault="002036A6" w:rsidP="00973760">
      <w:pPr>
        <w:ind w:right="57"/>
        <w:rPr>
          <w:rFonts w:eastAsia="Arial"/>
        </w:rPr>
      </w:pPr>
    </w:p>
    <w:p w:rsidR="00973760" w:rsidRDefault="00973760" w:rsidP="00973760">
      <w:pPr>
        <w:ind w:right="57"/>
        <w:rPr>
          <w:rFonts w:eastAsia="Arial"/>
        </w:rPr>
      </w:pPr>
      <w:r>
        <w:rPr>
          <w:rFonts w:eastAsia="Arial"/>
        </w:rPr>
        <w:t>All</w:t>
      </w:r>
      <w:r w:rsidR="00181A10">
        <w:rPr>
          <w:rFonts w:eastAsia="Arial"/>
        </w:rPr>
        <w:t xml:space="preserve"> </w:t>
      </w:r>
      <w:r>
        <w:rPr>
          <w:rFonts w:eastAsia="Arial"/>
        </w:rPr>
        <w:t>Australian State and</w:t>
      </w:r>
      <w:r>
        <w:rPr>
          <w:rFonts w:eastAsia="Arial"/>
          <w:spacing w:val="-4"/>
        </w:rPr>
        <w:t xml:space="preserve"> </w:t>
      </w:r>
      <w:r>
        <w:rPr>
          <w:rFonts w:eastAsia="Arial"/>
          <w:spacing w:val="-27"/>
        </w:rPr>
        <w:t>T</w:t>
      </w:r>
      <w:r>
        <w:rPr>
          <w:rFonts w:eastAsia="Arial"/>
        </w:rPr>
        <w:t xml:space="preserve">erritory </w:t>
      </w:r>
      <w:r w:rsidR="004843FF">
        <w:rPr>
          <w:rFonts w:eastAsia="Arial"/>
        </w:rPr>
        <w:t>G</w:t>
      </w:r>
      <w:r>
        <w:rPr>
          <w:rFonts w:eastAsia="Arial"/>
        </w:rPr>
        <w:t xml:space="preserve">overnments are signatories to the </w:t>
      </w:r>
      <w:r>
        <w:rPr>
          <w:rFonts w:eastAsia="Arial"/>
          <w:i/>
        </w:rPr>
        <w:t>National Healthcare Agreement 2016</w:t>
      </w:r>
      <w:r>
        <w:rPr>
          <w:rFonts w:eastAsia="Arial"/>
        </w:rPr>
        <w:t>.</w:t>
      </w:r>
      <w:r w:rsidR="008E4A1B">
        <w:rPr>
          <w:rFonts w:eastAsia="Arial"/>
        </w:rPr>
        <w:fldChar w:fldCharType="begin"/>
      </w:r>
      <w:r w:rsidR="009F7E7C">
        <w:rPr>
          <w:rFonts w:eastAsia="Arial"/>
        </w:rPr>
        <w:instrText xml:space="preserve"> ADDIN EN.CITE &lt;EndNote&gt;&lt;Cite&gt;&lt;Author&gt;Australian Institute of Health and Welfare&lt;/Author&gt;&lt;Year&gt;2016&lt;/Year&gt;&lt;RecNum&gt;1061&lt;/RecNum&gt;&lt;DisplayText&gt;&lt;style face="superscript"&gt;25&lt;/style&gt;&lt;/DisplayText&gt;&lt;record&gt;&lt;rec-number&gt;1061&lt;/rec-number&gt;&lt;foreign-keys&gt;&lt;key app="EN" db-id="zxa00wf2opvf9oeeset50xz7ezpfwre2v20z"&gt;1061&lt;/key&gt;&lt;/foreign-keys&gt;&lt;ref-type name="Report"&gt;27&lt;/ref-type&gt;&lt;contributors&gt;&lt;authors&gt;&lt;author&gt;Australian Institute of Health and Welfare,&lt;/author&gt;&lt;/authors&gt;&lt;/contributors&gt;&lt;titles&gt;&lt;title&gt;National Healthcare Agreement (2016)&lt;/title&gt;&lt;/titles&gt;&lt;dates&gt;&lt;year&gt;2016&lt;/year&gt;&lt;/dates&gt;&lt;pub-location&gt;Canberra&lt;/pub-location&gt;&lt;publisher&gt;Australian Institute of Health and Welfare&lt;/publisher&gt;&lt;urls&gt;&lt;related-urls&gt;&lt;url&gt;http://meteor.aihw.gov.au/content/index.phtml/itemId/598643&lt;/url&gt;&lt;/related-urls&gt;&lt;/urls&gt;&lt;/record&gt;&lt;/Cite&gt;&lt;/EndNote&gt;</w:instrText>
      </w:r>
      <w:r w:rsidR="008E4A1B">
        <w:rPr>
          <w:rFonts w:eastAsia="Arial"/>
        </w:rPr>
        <w:fldChar w:fldCharType="separate"/>
      </w:r>
      <w:r w:rsidR="009F7E7C" w:rsidRPr="009F7E7C">
        <w:rPr>
          <w:rFonts w:eastAsia="Arial"/>
          <w:noProof/>
          <w:vertAlign w:val="superscript"/>
        </w:rPr>
        <w:t>25</w:t>
      </w:r>
      <w:r w:rsidR="008E4A1B">
        <w:rPr>
          <w:rFonts w:eastAsia="Arial"/>
        </w:rPr>
        <w:fldChar w:fldCharType="end"/>
      </w:r>
      <w:r>
        <w:rPr>
          <w:rFonts w:eastAsia="Arial"/>
        </w:rPr>
        <w:t xml:space="preserve"> Fundamental to this agreement are </w:t>
      </w:r>
      <w:r w:rsidR="004843FF">
        <w:rPr>
          <w:rFonts w:eastAsia="Arial"/>
        </w:rPr>
        <w:t xml:space="preserve">the principles </w:t>
      </w:r>
      <w:r w:rsidR="00C17ABF">
        <w:rPr>
          <w:rFonts w:eastAsia="Arial"/>
        </w:rPr>
        <w:t xml:space="preserve">that </w:t>
      </w:r>
      <w:r>
        <w:rPr>
          <w:rFonts w:eastAsia="Arial"/>
        </w:rPr>
        <w:t>Australia</w:t>
      </w:r>
      <w:r>
        <w:rPr>
          <w:rFonts w:eastAsia="Arial"/>
          <w:spacing w:val="-4"/>
        </w:rPr>
        <w:t>’</w:t>
      </w:r>
      <w:r>
        <w:rPr>
          <w:rFonts w:eastAsia="Arial"/>
        </w:rPr>
        <w:t xml:space="preserve">s health system should focus on the prevention of disease and injury, on maintaining health, on supporting an integrated approach to the promotion of healthy lifestyles, and on the prevention of illness and injury across the continuum of care. The </w:t>
      </w:r>
      <w:r w:rsidRPr="003F5AA8">
        <w:rPr>
          <w:rFonts w:eastAsia="Arial"/>
          <w:i/>
        </w:rPr>
        <w:t xml:space="preserve">National Healthcare </w:t>
      </w:r>
      <w:r w:rsidR="004843FF" w:rsidRPr="003F5AA8">
        <w:rPr>
          <w:rFonts w:eastAsia="Arial"/>
          <w:i/>
        </w:rPr>
        <w:t xml:space="preserve">Agreement </w:t>
      </w:r>
      <w:r w:rsidR="004843FF">
        <w:rPr>
          <w:rFonts w:eastAsia="Arial"/>
        </w:rPr>
        <w:t>sets</w:t>
      </w:r>
      <w:r>
        <w:rPr>
          <w:rFonts w:eastAsia="Arial"/>
        </w:rPr>
        <w:t xml:space="preserve"> specific performance benchmarks, some of which relate </w:t>
      </w:r>
      <w:r w:rsidR="00274B00">
        <w:rPr>
          <w:rFonts w:eastAsia="Arial"/>
        </w:rPr>
        <w:t xml:space="preserve">directly </w:t>
      </w:r>
      <w:r>
        <w:rPr>
          <w:rFonts w:eastAsia="Arial"/>
        </w:rPr>
        <w:t xml:space="preserve">to chronic disease and injury prevention </w:t>
      </w:r>
      <w:r w:rsidR="002036A6">
        <w:rPr>
          <w:rFonts w:eastAsia="Arial"/>
        </w:rPr>
        <w:t>(Table</w:t>
      </w:r>
      <w:r w:rsidR="00F46CB9">
        <w:rPr>
          <w:rFonts w:eastAsia="Arial"/>
        </w:rPr>
        <w:t xml:space="preserve"> </w:t>
      </w:r>
      <w:r w:rsidR="00A52339">
        <w:rPr>
          <w:rFonts w:eastAsia="Arial"/>
        </w:rPr>
        <w:t>4</w:t>
      </w:r>
      <w:r w:rsidR="002036A6">
        <w:rPr>
          <w:rFonts w:eastAsia="Arial"/>
        </w:rPr>
        <w:t>).</w:t>
      </w:r>
    </w:p>
    <w:p w:rsidR="00973760" w:rsidRDefault="00667E53" w:rsidP="00667E53">
      <w:pPr>
        <w:tabs>
          <w:tab w:val="left" w:pos="7620"/>
        </w:tabs>
        <w:spacing w:line="170" w:lineRule="exact"/>
        <w:rPr>
          <w:sz w:val="17"/>
          <w:szCs w:val="17"/>
        </w:rPr>
      </w:pPr>
      <w:r>
        <w:rPr>
          <w:sz w:val="17"/>
          <w:szCs w:val="17"/>
        </w:rPr>
        <w:tab/>
      </w:r>
    </w:p>
    <w:p w:rsidR="00973760" w:rsidRPr="00C16C7D" w:rsidRDefault="00973760" w:rsidP="00973760">
      <w:pPr>
        <w:spacing w:line="271" w:lineRule="exact"/>
        <w:ind w:right="-20"/>
        <w:rPr>
          <w:rFonts w:eastAsia="Arial"/>
          <w:b/>
          <w:color w:val="808080" w:themeColor="background1" w:themeShade="80"/>
        </w:rPr>
      </w:pPr>
      <w:r w:rsidRPr="00C16C7D">
        <w:rPr>
          <w:rFonts w:eastAsia="Arial"/>
          <w:b/>
          <w:color w:val="808080" w:themeColor="background1" w:themeShade="80"/>
          <w:spacing w:val="-27"/>
          <w:position w:val="-1"/>
        </w:rPr>
        <w:t>T</w:t>
      </w:r>
      <w:r w:rsidRPr="00C16C7D">
        <w:rPr>
          <w:rFonts w:eastAsia="Arial"/>
          <w:b/>
          <w:color w:val="808080" w:themeColor="background1" w:themeShade="80"/>
          <w:position w:val="-1"/>
        </w:rPr>
        <w:t xml:space="preserve">able </w:t>
      </w:r>
      <w:r w:rsidR="00A52339" w:rsidRPr="00C16C7D">
        <w:rPr>
          <w:rFonts w:eastAsia="Arial"/>
          <w:b/>
          <w:color w:val="808080" w:themeColor="background1" w:themeShade="80"/>
          <w:spacing w:val="-18"/>
          <w:position w:val="-1"/>
        </w:rPr>
        <w:t>4</w:t>
      </w:r>
      <w:r w:rsidRPr="00C16C7D">
        <w:rPr>
          <w:rFonts w:eastAsia="Arial"/>
          <w:b/>
          <w:color w:val="808080" w:themeColor="background1" w:themeShade="80"/>
          <w:position w:val="-1"/>
        </w:rPr>
        <w:t xml:space="preserve">: </w:t>
      </w:r>
      <w:r w:rsidRPr="00C16C7D">
        <w:rPr>
          <w:rFonts w:eastAsia="Arial"/>
          <w:b/>
          <w:color w:val="808080" w:themeColor="background1" w:themeShade="80"/>
          <w:spacing w:val="45"/>
          <w:position w:val="-1"/>
        </w:rPr>
        <w:t xml:space="preserve"> </w:t>
      </w:r>
      <w:r w:rsidRPr="00C16C7D">
        <w:rPr>
          <w:rFonts w:eastAsia="Arial"/>
          <w:b/>
          <w:bCs/>
          <w:i/>
          <w:color w:val="808080" w:themeColor="background1" w:themeShade="80"/>
          <w:position w:val="-1"/>
        </w:rPr>
        <w:t>National Healthcare</w:t>
      </w:r>
      <w:r w:rsidRPr="00C16C7D">
        <w:rPr>
          <w:rFonts w:eastAsia="Arial"/>
          <w:b/>
          <w:bCs/>
          <w:i/>
          <w:color w:val="808080" w:themeColor="background1" w:themeShade="80"/>
          <w:spacing w:val="-9"/>
          <w:position w:val="-1"/>
        </w:rPr>
        <w:t xml:space="preserve"> </w:t>
      </w:r>
      <w:r w:rsidRPr="00C16C7D">
        <w:rPr>
          <w:rFonts w:eastAsia="Arial"/>
          <w:b/>
          <w:bCs/>
          <w:i/>
          <w:color w:val="808080" w:themeColor="background1" w:themeShade="80"/>
          <w:position w:val="-1"/>
        </w:rPr>
        <w:t>Agreement 2016</w:t>
      </w:r>
      <w:r w:rsidRPr="00C16C7D">
        <w:rPr>
          <w:rFonts w:eastAsia="Arial"/>
          <w:b/>
          <w:i/>
          <w:color w:val="808080" w:themeColor="background1" w:themeShade="80"/>
        </w:rPr>
        <w:t xml:space="preserve"> </w:t>
      </w:r>
      <w:r w:rsidRPr="00C16C7D">
        <w:rPr>
          <w:rFonts w:eastAsia="Arial"/>
          <w:b/>
          <w:color w:val="808080" w:themeColor="background1" w:themeShade="80"/>
        </w:rPr>
        <w:t>performance benchmarks</w:t>
      </w:r>
    </w:p>
    <w:tbl>
      <w:tblPr>
        <w:tblStyle w:val="TableGrid"/>
        <w:tblW w:w="0" w:type="auto"/>
        <w:jc w:val="center"/>
        <w:shd w:val="clear" w:color="auto" w:fill="B6DDE8" w:themeFill="accent5" w:themeFillTint="66"/>
        <w:tblLook w:val="01E0" w:firstRow="1" w:lastRow="1" w:firstColumn="1" w:lastColumn="1" w:noHBand="0" w:noVBand="0"/>
      </w:tblPr>
      <w:tblGrid>
        <w:gridCol w:w="3369"/>
        <w:gridCol w:w="5873"/>
      </w:tblGrid>
      <w:tr w:rsidR="00973760" w:rsidRPr="00C16C7D" w:rsidTr="00DE0B9E">
        <w:trPr>
          <w:trHeight w:val="680"/>
          <w:jc w:val="center"/>
        </w:trPr>
        <w:tc>
          <w:tcPr>
            <w:tcW w:w="3369" w:type="dxa"/>
            <w:shd w:val="clear" w:color="auto" w:fill="808080" w:themeFill="background1" w:themeFillShade="80"/>
            <w:vAlign w:val="center"/>
          </w:tcPr>
          <w:p w:rsidR="00973760" w:rsidRPr="00DE0B9E" w:rsidRDefault="00973760" w:rsidP="003732CC">
            <w:pPr>
              <w:ind w:left="108" w:right="141"/>
              <w:rPr>
                <w:rFonts w:eastAsia="Arial"/>
                <w:b/>
                <w:color w:val="FFFFFF" w:themeColor="background1"/>
              </w:rPr>
            </w:pPr>
            <w:r w:rsidRPr="00DE0B9E">
              <w:rPr>
                <w:rFonts w:eastAsia="Arial"/>
                <w:b/>
                <w:bCs/>
                <w:color w:val="FFFFFF" w:themeColor="background1"/>
              </w:rPr>
              <w:t>Diabetes in people over 25 years</w:t>
            </w:r>
          </w:p>
        </w:tc>
        <w:tc>
          <w:tcPr>
            <w:tcW w:w="5873" w:type="dxa"/>
            <w:shd w:val="clear" w:color="auto" w:fill="F2F2F2" w:themeFill="background1" w:themeFillShade="F2"/>
            <w:vAlign w:val="center"/>
          </w:tcPr>
          <w:p w:rsidR="00973760" w:rsidRPr="00C16C7D" w:rsidRDefault="00973760" w:rsidP="003732CC">
            <w:pPr>
              <w:ind w:left="108" w:right="87"/>
              <w:rPr>
                <w:rFonts w:eastAsia="Arial"/>
                <w:color w:val="808080" w:themeColor="background1" w:themeShade="80"/>
              </w:rPr>
            </w:pPr>
            <w:r w:rsidRPr="00C16C7D">
              <w:rPr>
                <w:rFonts w:eastAsia="Arial"/>
                <w:color w:val="808080" w:themeColor="background1" w:themeShade="80"/>
              </w:rPr>
              <w:t xml:space="preserve">Reduce the age-adjusted prevalence of </w:t>
            </w:r>
            <w:r w:rsidRPr="00C16C7D">
              <w:rPr>
                <w:rFonts w:eastAsia="Arial"/>
                <w:color w:val="808080" w:themeColor="background1" w:themeShade="80"/>
                <w:spacing w:val="-13"/>
              </w:rPr>
              <w:t>T</w:t>
            </w:r>
            <w:r w:rsidRPr="00C16C7D">
              <w:rPr>
                <w:rFonts w:eastAsia="Arial"/>
                <w:color w:val="808080" w:themeColor="background1" w:themeShade="80"/>
              </w:rPr>
              <w:t>ype 2 diabetes to 2000 levels by 2023 (7.1% nationally)</w:t>
            </w:r>
          </w:p>
        </w:tc>
      </w:tr>
      <w:tr w:rsidR="00973760" w:rsidRPr="00C16C7D" w:rsidTr="00DE0B9E">
        <w:trPr>
          <w:trHeight w:val="680"/>
          <w:jc w:val="center"/>
        </w:trPr>
        <w:tc>
          <w:tcPr>
            <w:tcW w:w="3369" w:type="dxa"/>
            <w:shd w:val="clear" w:color="auto" w:fill="808080" w:themeFill="background1" w:themeFillShade="80"/>
            <w:vAlign w:val="center"/>
          </w:tcPr>
          <w:p w:rsidR="00973760" w:rsidRPr="00DE0B9E" w:rsidRDefault="00973760" w:rsidP="003732CC">
            <w:pPr>
              <w:ind w:left="108" w:right="-20"/>
              <w:rPr>
                <w:rFonts w:eastAsia="Arial"/>
                <w:b/>
                <w:bCs/>
                <w:color w:val="FFFFFF" w:themeColor="background1"/>
              </w:rPr>
            </w:pPr>
            <w:r w:rsidRPr="00DE0B9E">
              <w:rPr>
                <w:rFonts w:eastAsia="Arial"/>
                <w:b/>
                <w:bCs/>
                <w:color w:val="FFFFFF" w:themeColor="background1"/>
              </w:rPr>
              <w:t>Healthy body weight</w:t>
            </w:r>
          </w:p>
          <w:p w:rsidR="00973760" w:rsidRPr="00DE0B9E" w:rsidRDefault="00973760" w:rsidP="003732CC">
            <w:pPr>
              <w:ind w:left="108" w:right="-20"/>
              <w:rPr>
                <w:rFonts w:eastAsia="Arial"/>
                <w:b/>
                <w:bCs/>
                <w:color w:val="FFFFFF" w:themeColor="background1"/>
              </w:rPr>
            </w:pPr>
            <w:r w:rsidRPr="00DE0B9E">
              <w:rPr>
                <w:rFonts w:eastAsia="Arial"/>
                <w:b/>
                <w:bCs/>
                <w:color w:val="FFFFFF" w:themeColor="background1"/>
              </w:rPr>
              <w:t>in Australian adults and children</w:t>
            </w:r>
          </w:p>
        </w:tc>
        <w:tc>
          <w:tcPr>
            <w:tcW w:w="5873" w:type="dxa"/>
            <w:shd w:val="clear" w:color="auto" w:fill="F2F2F2" w:themeFill="background1" w:themeFillShade="F2"/>
            <w:vAlign w:val="center"/>
          </w:tcPr>
          <w:p w:rsidR="00973760" w:rsidRPr="00C16C7D" w:rsidRDefault="00973760" w:rsidP="00B14336">
            <w:pPr>
              <w:ind w:left="108" w:right="166"/>
              <w:rPr>
                <w:rFonts w:eastAsia="Arial"/>
                <w:color w:val="808080" w:themeColor="background1" w:themeShade="80"/>
              </w:rPr>
            </w:pPr>
            <w:r w:rsidRPr="00C16C7D">
              <w:rPr>
                <w:rFonts w:eastAsia="Arial"/>
                <w:color w:val="808080" w:themeColor="background1" w:themeShade="80"/>
              </w:rPr>
              <w:t>Increase by 5 percentage points the proportion of Australian adults and</w:t>
            </w:r>
            <w:r w:rsidRPr="00C16C7D">
              <w:rPr>
                <w:rFonts w:eastAsia="Arial"/>
                <w:color w:val="808080" w:themeColor="background1" w:themeShade="80"/>
                <w:spacing w:val="-13"/>
              </w:rPr>
              <w:t xml:space="preserve"> </w:t>
            </w:r>
            <w:r w:rsidRPr="00C16C7D">
              <w:rPr>
                <w:rFonts w:eastAsia="Arial"/>
                <w:color w:val="808080" w:themeColor="background1" w:themeShade="80"/>
              </w:rPr>
              <w:t>children at a healthy weight by 2018</w:t>
            </w:r>
            <w:r w:rsidR="00B14336" w:rsidRPr="00C16C7D">
              <w:rPr>
                <w:rFonts w:eastAsia="Arial"/>
                <w:color w:val="808080" w:themeColor="background1" w:themeShade="80"/>
              </w:rPr>
              <w:t xml:space="preserve">, </w:t>
            </w:r>
            <w:r w:rsidRPr="00C16C7D">
              <w:rPr>
                <w:rFonts w:eastAsia="Arial"/>
                <w:color w:val="808080" w:themeColor="background1" w:themeShade="80"/>
              </w:rPr>
              <w:t xml:space="preserve">over </w:t>
            </w:r>
            <w:r w:rsidR="00B14336" w:rsidRPr="00C16C7D">
              <w:rPr>
                <w:rFonts w:eastAsia="Arial"/>
                <w:color w:val="808080" w:themeColor="background1" w:themeShade="80"/>
              </w:rPr>
              <w:t xml:space="preserve">the </w:t>
            </w:r>
            <w:r w:rsidRPr="00C16C7D">
              <w:rPr>
                <w:rFonts w:eastAsia="Arial"/>
                <w:color w:val="808080" w:themeColor="background1" w:themeShade="80"/>
              </w:rPr>
              <w:t>2009 baseline</w:t>
            </w:r>
          </w:p>
        </w:tc>
      </w:tr>
      <w:tr w:rsidR="00973760" w:rsidRPr="00C16C7D" w:rsidTr="00DE0B9E">
        <w:trPr>
          <w:trHeight w:val="680"/>
          <w:jc w:val="center"/>
        </w:trPr>
        <w:tc>
          <w:tcPr>
            <w:tcW w:w="3369" w:type="dxa"/>
            <w:shd w:val="clear" w:color="auto" w:fill="808080" w:themeFill="background1" w:themeFillShade="80"/>
            <w:vAlign w:val="center"/>
          </w:tcPr>
          <w:p w:rsidR="00973760" w:rsidRPr="00DE0B9E" w:rsidRDefault="00973760" w:rsidP="003732CC">
            <w:pPr>
              <w:ind w:left="108" w:right="-20"/>
              <w:rPr>
                <w:rFonts w:eastAsia="Arial"/>
                <w:b/>
                <w:color w:val="FFFFFF" w:themeColor="background1"/>
              </w:rPr>
            </w:pPr>
            <w:r w:rsidRPr="00DE0B9E">
              <w:rPr>
                <w:rFonts w:eastAsia="Arial"/>
                <w:b/>
                <w:bCs/>
                <w:color w:val="FFFFFF" w:themeColor="background1"/>
              </w:rPr>
              <w:t>Smoking in the Australian population</w:t>
            </w:r>
          </w:p>
        </w:tc>
        <w:tc>
          <w:tcPr>
            <w:tcW w:w="5873" w:type="dxa"/>
            <w:shd w:val="clear" w:color="auto" w:fill="F2F2F2" w:themeFill="background1" w:themeFillShade="F2"/>
            <w:vAlign w:val="center"/>
          </w:tcPr>
          <w:p w:rsidR="00973760" w:rsidRPr="00C16C7D" w:rsidRDefault="00973760" w:rsidP="003732CC">
            <w:pPr>
              <w:ind w:left="108" w:right="166"/>
              <w:rPr>
                <w:rFonts w:eastAsia="Arial"/>
                <w:color w:val="808080" w:themeColor="background1" w:themeShade="80"/>
              </w:rPr>
            </w:pPr>
            <w:r w:rsidRPr="00C16C7D">
              <w:rPr>
                <w:rFonts w:eastAsia="Arial"/>
                <w:color w:val="808080" w:themeColor="background1" w:themeShade="80"/>
              </w:rPr>
              <w:t>Reduce the national smoking rate to 10% of the population by 2018, over the 2009 baseline</w:t>
            </w:r>
          </w:p>
        </w:tc>
      </w:tr>
      <w:tr w:rsidR="00973760" w:rsidRPr="00C16C7D" w:rsidTr="00DE0B9E">
        <w:trPr>
          <w:trHeight w:val="680"/>
          <w:jc w:val="center"/>
        </w:trPr>
        <w:tc>
          <w:tcPr>
            <w:tcW w:w="3369" w:type="dxa"/>
            <w:shd w:val="clear" w:color="auto" w:fill="808080" w:themeFill="background1" w:themeFillShade="80"/>
            <w:vAlign w:val="center"/>
          </w:tcPr>
          <w:p w:rsidR="00973760" w:rsidRPr="00DE0B9E" w:rsidRDefault="00973760" w:rsidP="003732CC">
            <w:pPr>
              <w:ind w:left="108" w:right="257"/>
              <w:rPr>
                <w:rFonts w:eastAsia="Arial"/>
                <w:b/>
                <w:color w:val="FFFFFF" w:themeColor="background1"/>
              </w:rPr>
            </w:pPr>
            <w:r w:rsidRPr="00DE0B9E">
              <w:rPr>
                <w:rFonts w:eastAsia="Arial"/>
                <w:b/>
                <w:bCs/>
                <w:color w:val="FFFFFF" w:themeColor="background1"/>
              </w:rPr>
              <w:t>Smoking in the</w:t>
            </w:r>
            <w:r w:rsidRPr="00DE0B9E">
              <w:rPr>
                <w:rFonts w:eastAsia="Arial"/>
                <w:b/>
                <w:bCs/>
                <w:color w:val="FFFFFF" w:themeColor="background1"/>
                <w:spacing w:val="-9"/>
              </w:rPr>
              <w:t xml:space="preserve"> </w:t>
            </w:r>
            <w:r w:rsidRPr="00DE0B9E">
              <w:rPr>
                <w:rFonts w:eastAsia="Arial"/>
                <w:b/>
                <w:bCs/>
                <w:color w:val="FFFFFF" w:themeColor="background1"/>
              </w:rPr>
              <w:t>Aboriginal population</w:t>
            </w:r>
          </w:p>
        </w:tc>
        <w:tc>
          <w:tcPr>
            <w:tcW w:w="5873" w:type="dxa"/>
            <w:shd w:val="clear" w:color="auto" w:fill="F2F2F2" w:themeFill="background1" w:themeFillShade="F2"/>
            <w:vAlign w:val="center"/>
          </w:tcPr>
          <w:p w:rsidR="00973760" w:rsidRPr="00C16C7D" w:rsidRDefault="00973760" w:rsidP="003732CC">
            <w:pPr>
              <w:ind w:left="108" w:right="300"/>
              <w:rPr>
                <w:rFonts w:eastAsia="Arial"/>
                <w:color w:val="808080" w:themeColor="background1" w:themeShade="80"/>
              </w:rPr>
            </w:pPr>
            <w:r w:rsidRPr="00C16C7D">
              <w:rPr>
                <w:rFonts w:eastAsia="Arial"/>
                <w:color w:val="808080" w:themeColor="background1" w:themeShade="80"/>
              </w:rPr>
              <w:t>Halve the</w:t>
            </w:r>
            <w:r w:rsidRPr="00C16C7D">
              <w:rPr>
                <w:rFonts w:eastAsia="Arial"/>
                <w:color w:val="808080" w:themeColor="background1" w:themeShade="80"/>
                <w:spacing w:val="-13"/>
              </w:rPr>
              <w:t xml:space="preserve"> </w:t>
            </w:r>
            <w:r w:rsidRPr="00C16C7D">
              <w:rPr>
                <w:rFonts w:eastAsia="Arial"/>
                <w:color w:val="808080" w:themeColor="background1" w:themeShade="80"/>
              </w:rPr>
              <w:t>Aboriginal smoking rate by 2018, over the 2009 baseline</w:t>
            </w:r>
          </w:p>
        </w:tc>
      </w:tr>
      <w:tr w:rsidR="00973760" w:rsidRPr="00C16C7D" w:rsidTr="00DE0B9E">
        <w:trPr>
          <w:trHeight w:val="680"/>
          <w:jc w:val="center"/>
        </w:trPr>
        <w:tc>
          <w:tcPr>
            <w:tcW w:w="3369" w:type="dxa"/>
            <w:shd w:val="clear" w:color="auto" w:fill="808080" w:themeFill="background1" w:themeFillShade="80"/>
            <w:vAlign w:val="center"/>
          </w:tcPr>
          <w:p w:rsidR="00973760" w:rsidRPr="00DE0B9E" w:rsidRDefault="00973760" w:rsidP="003732CC">
            <w:pPr>
              <w:ind w:left="108" w:right="257"/>
              <w:rPr>
                <w:rFonts w:eastAsia="Arial"/>
                <w:b/>
                <w:bCs/>
                <w:color w:val="FFFFFF" w:themeColor="background1"/>
              </w:rPr>
            </w:pPr>
            <w:r w:rsidRPr="00DE0B9E">
              <w:rPr>
                <w:rFonts w:eastAsia="Arial"/>
                <w:b/>
                <w:bCs/>
                <w:color w:val="FFFFFF" w:themeColor="background1"/>
              </w:rPr>
              <w:t>Potentially preventable hospital admissions</w:t>
            </w:r>
          </w:p>
        </w:tc>
        <w:tc>
          <w:tcPr>
            <w:tcW w:w="5873" w:type="dxa"/>
            <w:shd w:val="clear" w:color="auto" w:fill="F2F2F2" w:themeFill="background1" w:themeFillShade="F2"/>
            <w:vAlign w:val="center"/>
          </w:tcPr>
          <w:p w:rsidR="00973760" w:rsidRPr="00C16C7D" w:rsidRDefault="00973760" w:rsidP="001816EC">
            <w:pPr>
              <w:ind w:left="108" w:right="300"/>
              <w:rPr>
                <w:rFonts w:eastAsia="Arial"/>
                <w:color w:val="808080" w:themeColor="background1" w:themeShade="80"/>
              </w:rPr>
            </w:pPr>
            <w:r w:rsidRPr="00C16C7D">
              <w:rPr>
                <w:rFonts w:eastAsia="Arial"/>
                <w:color w:val="808080" w:themeColor="background1" w:themeShade="80"/>
              </w:rPr>
              <w:t>Reduce the proportion of potentially preventable hospital admissions by 7.6%</w:t>
            </w:r>
            <w:r w:rsidR="001816EC" w:rsidRPr="00C16C7D">
              <w:rPr>
                <w:rFonts w:eastAsia="Arial"/>
                <w:color w:val="808080" w:themeColor="background1" w:themeShade="80"/>
              </w:rPr>
              <w:t xml:space="preserve">, </w:t>
            </w:r>
            <w:r w:rsidRPr="00C16C7D">
              <w:rPr>
                <w:rFonts w:eastAsia="Arial"/>
                <w:color w:val="808080" w:themeColor="background1" w:themeShade="80"/>
              </w:rPr>
              <w:t xml:space="preserve">over </w:t>
            </w:r>
            <w:r w:rsidR="001816EC" w:rsidRPr="00C16C7D">
              <w:rPr>
                <w:rFonts w:eastAsia="Arial"/>
                <w:color w:val="808080" w:themeColor="background1" w:themeShade="80"/>
              </w:rPr>
              <w:t xml:space="preserve">the </w:t>
            </w:r>
            <w:r w:rsidRPr="00C16C7D">
              <w:rPr>
                <w:rFonts w:eastAsia="Arial"/>
                <w:color w:val="808080" w:themeColor="background1" w:themeShade="80"/>
              </w:rPr>
              <w:t>2006</w:t>
            </w:r>
            <w:r w:rsidR="001816EC" w:rsidRPr="00C16C7D">
              <w:rPr>
                <w:rFonts w:eastAsia="Arial"/>
                <w:color w:val="808080" w:themeColor="background1" w:themeShade="80"/>
              </w:rPr>
              <w:t>–</w:t>
            </w:r>
            <w:r w:rsidRPr="00C16C7D">
              <w:rPr>
                <w:rFonts w:eastAsia="Arial"/>
                <w:color w:val="808080" w:themeColor="background1" w:themeShade="80"/>
              </w:rPr>
              <w:t>07 baseline</w:t>
            </w:r>
          </w:p>
        </w:tc>
      </w:tr>
    </w:tbl>
    <w:p w:rsidR="00C17ABF" w:rsidRDefault="00C17ABF" w:rsidP="00973760">
      <w:pPr>
        <w:ind w:right="1005"/>
        <w:rPr>
          <w:rFonts w:eastAsia="Arial"/>
          <w:bCs/>
          <w:sz w:val="26"/>
          <w:szCs w:val="26"/>
        </w:rPr>
      </w:pPr>
      <w:r w:rsidRPr="008B7219">
        <w:rPr>
          <w:rFonts w:eastAsia="Arial"/>
          <w:bCs/>
        </w:rPr>
        <w:t xml:space="preserve">Source: </w:t>
      </w:r>
      <w:r w:rsidRPr="008B7219">
        <w:rPr>
          <w:rFonts w:eastAsia="Arial"/>
          <w:bCs/>
          <w:i/>
        </w:rPr>
        <w:t>National Healthcare Agreement</w:t>
      </w:r>
      <w:r w:rsidR="008E4A1B">
        <w:rPr>
          <w:rFonts w:eastAsia="Arial"/>
          <w:bCs/>
          <w:sz w:val="26"/>
          <w:szCs w:val="26"/>
        </w:rPr>
        <w:fldChar w:fldCharType="begin"/>
      </w:r>
      <w:r w:rsidR="009F7E7C">
        <w:rPr>
          <w:rFonts w:eastAsia="Arial"/>
          <w:bCs/>
          <w:sz w:val="26"/>
          <w:szCs w:val="26"/>
        </w:rPr>
        <w:instrText xml:space="preserve"> ADDIN EN.CITE &lt;EndNote&gt;&lt;Cite&gt;&lt;Author&gt;Australian Institute of Health and Welfare&lt;/Author&gt;&lt;Year&gt;2016&lt;/Year&gt;&lt;RecNum&gt;1061&lt;/RecNum&gt;&lt;DisplayText&gt;&lt;style face="superscript"&gt;25&lt;/style&gt;&lt;/DisplayText&gt;&lt;record&gt;&lt;rec-number&gt;1061&lt;/rec-number&gt;&lt;foreign-keys&gt;&lt;key app="EN" db-id="zxa00wf2opvf9oeeset50xz7ezpfwre2v20z"&gt;1061&lt;/key&gt;&lt;/foreign-keys&gt;&lt;ref-type name="Report"&gt;27&lt;/ref-type&gt;&lt;contributors&gt;&lt;authors&gt;&lt;author&gt;Australian Institute of Health and Welfare,&lt;/author&gt;&lt;/authors&gt;&lt;/contributors&gt;&lt;titles&gt;&lt;title&gt;National Healthcare Agreement (2016)&lt;/title&gt;&lt;/titles&gt;&lt;dates&gt;&lt;year&gt;2016&lt;/year&gt;&lt;/dates&gt;&lt;pub-location&gt;Canberra&lt;/pub-location&gt;&lt;publisher&gt;Australian Institute of Health and Welfare&lt;/publisher&gt;&lt;urls&gt;&lt;related-urls&gt;&lt;url&gt;http://meteor.aihw.gov.au/content/index.phtml/itemId/598643&lt;/url&gt;&lt;/related-urls&gt;&lt;/urls&gt;&lt;/record&gt;&lt;/Cite&gt;&lt;/EndNote&gt;</w:instrText>
      </w:r>
      <w:r w:rsidR="008E4A1B">
        <w:rPr>
          <w:rFonts w:eastAsia="Arial"/>
          <w:bCs/>
          <w:sz w:val="26"/>
          <w:szCs w:val="26"/>
        </w:rPr>
        <w:fldChar w:fldCharType="separate"/>
      </w:r>
      <w:r w:rsidR="009F7E7C" w:rsidRPr="009F7E7C">
        <w:rPr>
          <w:rFonts w:eastAsia="Arial"/>
          <w:bCs/>
          <w:noProof/>
          <w:sz w:val="26"/>
          <w:szCs w:val="26"/>
          <w:vertAlign w:val="superscript"/>
        </w:rPr>
        <w:t>25</w:t>
      </w:r>
      <w:r w:rsidR="008E4A1B">
        <w:rPr>
          <w:rFonts w:eastAsia="Arial"/>
          <w:bCs/>
          <w:sz w:val="26"/>
          <w:szCs w:val="26"/>
        </w:rPr>
        <w:fldChar w:fldCharType="end"/>
      </w:r>
    </w:p>
    <w:p w:rsidR="00973760" w:rsidRPr="00C16C7D" w:rsidRDefault="00973760" w:rsidP="00445A1F">
      <w:pPr>
        <w:ind w:right="-188"/>
        <w:rPr>
          <w:rFonts w:eastAsia="Arial"/>
          <w:b/>
          <w:bCs/>
          <w:color w:val="808080" w:themeColor="background1" w:themeShade="80"/>
          <w:sz w:val="26"/>
          <w:szCs w:val="26"/>
        </w:rPr>
      </w:pPr>
      <w:r w:rsidRPr="00C16C7D">
        <w:rPr>
          <w:rFonts w:eastAsia="Arial"/>
          <w:b/>
          <w:bCs/>
          <w:color w:val="808080" w:themeColor="background1" w:themeShade="80"/>
          <w:sz w:val="26"/>
          <w:szCs w:val="26"/>
        </w:rPr>
        <w:lastRenderedPageBreak/>
        <w:t xml:space="preserve">WHO </w:t>
      </w:r>
      <w:r w:rsidR="00787B19" w:rsidRPr="00C16C7D">
        <w:rPr>
          <w:rFonts w:eastAsia="Arial"/>
          <w:b/>
          <w:i/>
          <w:color w:val="808080" w:themeColor="background1" w:themeShade="80"/>
        </w:rPr>
        <w:t>Global A</w:t>
      </w:r>
      <w:r w:rsidR="002D5022" w:rsidRPr="00C16C7D">
        <w:rPr>
          <w:rFonts w:eastAsia="Arial"/>
          <w:b/>
          <w:i/>
          <w:color w:val="808080" w:themeColor="background1" w:themeShade="80"/>
        </w:rPr>
        <w:t xml:space="preserve">ction Plan for the Prevention and Control of Noncommunicable Diseases </w:t>
      </w:r>
      <w:r w:rsidR="00A608D8" w:rsidRPr="00C16C7D">
        <w:rPr>
          <w:rFonts w:eastAsia="Arial"/>
          <w:b/>
          <w:bCs/>
          <w:color w:val="808080" w:themeColor="background1" w:themeShade="80"/>
          <w:sz w:val="26"/>
          <w:szCs w:val="26"/>
        </w:rPr>
        <w:t>t</w:t>
      </w:r>
      <w:r w:rsidRPr="00C16C7D">
        <w:rPr>
          <w:rFonts w:eastAsia="Arial"/>
          <w:b/>
          <w:bCs/>
          <w:color w:val="808080" w:themeColor="background1" w:themeShade="80"/>
          <w:sz w:val="26"/>
          <w:szCs w:val="26"/>
        </w:rPr>
        <w:t>argets</w:t>
      </w:r>
    </w:p>
    <w:p w:rsidR="00562633" w:rsidRDefault="00562633" w:rsidP="00973760">
      <w:pPr>
        <w:spacing w:before="5" w:line="260" w:lineRule="exact"/>
        <w:rPr>
          <w:rFonts w:eastAsia="Arial"/>
        </w:rPr>
      </w:pPr>
    </w:p>
    <w:p w:rsidR="00973760" w:rsidRPr="00A43585" w:rsidRDefault="00973760" w:rsidP="00973760">
      <w:pPr>
        <w:spacing w:before="5" w:line="260" w:lineRule="exact"/>
        <w:rPr>
          <w:rFonts w:eastAsia="Arial"/>
        </w:rPr>
      </w:pPr>
      <w:r w:rsidRPr="00A43585">
        <w:rPr>
          <w:rFonts w:eastAsia="Arial"/>
        </w:rPr>
        <w:t>Australia is a</w:t>
      </w:r>
      <w:r w:rsidR="00B64283">
        <w:rPr>
          <w:rFonts w:eastAsia="Arial"/>
        </w:rPr>
        <w:t>lso a</w:t>
      </w:r>
      <w:r w:rsidRPr="00A43585">
        <w:rPr>
          <w:rFonts w:eastAsia="Arial"/>
        </w:rPr>
        <w:t xml:space="preserve"> signatory to the </w:t>
      </w:r>
      <w:r w:rsidR="002D5022">
        <w:rPr>
          <w:rFonts w:eastAsia="Arial"/>
        </w:rPr>
        <w:t>WHO’s</w:t>
      </w:r>
      <w:r w:rsidRPr="00A43585">
        <w:rPr>
          <w:rFonts w:eastAsia="Arial"/>
        </w:rPr>
        <w:t xml:space="preserve"> </w:t>
      </w:r>
      <w:r w:rsidRPr="00562633">
        <w:rPr>
          <w:rFonts w:eastAsia="Arial"/>
          <w:i/>
        </w:rPr>
        <w:t xml:space="preserve">Global </w:t>
      </w:r>
      <w:r w:rsidR="00787B19">
        <w:rPr>
          <w:rFonts w:eastAsia="Arial"/>
          <w:i/>
        </w:rPr>
        <w:t>A</w:t>
      </w:r>
      <w:r w:rsidRPr="00562633">
        <w:rPr>
          <w:rFonts w:eastAsia="Arial"/>
          <w:i/>
        </w:rPr>
        <w:t>ction Plan for the Prevention and Control of Noncommunicable Diseases 2013</w:t>
      </w:r>
      <w:r w:rsidR="00445A1F">
        <w:rPr>
          <w:rFonts w:eastAsia="Arial"/>
          <w:i/>
        </w:rPr>
        <w:t>–</w:t>
      </w:r>
      <w:r w:rsidRPr="00562633">
        <w:rPr>
          <w:rFonts w:eastAsia="Arial"/>
          <w:i/>
        </w:rPr>
        <w:t>2020</w:t>
      </w:r>
      <w:r w:rsidRPr="00A43585">
        <w:rPr>
          <w:rFonts w:eastAsia="Arial"/>
        </w:rPr>
        <w:t>.</w:t>
      </w:r>
      <w:r w:rsidR="008E4A1B">
        <w:rPr>
          <w:rFonts w:eastAsia="Arial"/>
        </w:rPr>
        <w:fldChar w:fldCharType="begin"/>
      </w:r>
      <w:r w:rsidR="00547316">
        <w:rPr>
          <w:rFonts w:eastAsia="Arial"/>
        </w:rPr>
        <w:instrText xml:space="preserve"> ADDIN EN.CITE &lt;EndNote&gt;&lt;Cite&gt;&lt;Author&gt;World Health Organization&lt;/Author&gt;&lt;Year&gt;2013&lt;/Year&gt;&lt;RecNum&gt;916&lt;/RecNum&gt;&lt;DisplayText&gt;&lt;style face="superscript"&gt;57&lt;/style&gt;&lt;/DisplayText&gt;&lt;record&gt;&lt;rec-number&gt;916&lt;/rec-number&gt;&lt;foreign-keys&gt;&lt;key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Organization&lt;/publisher&gt;&lt;urls&gt;&lt;related-urls&gt;&lt;url&gt;http://www.who.int/nmh/events/ncd_action_plan/en/&lt;/url&gt;&lt;/related-urls&gt;&lt;/urls&gt;&lt;/record&gt;&lt;/Cite&gt;&lt;/EndNote&gt;</w:instrText>
      </w:r>
      <w:r w:rsidR="008E4A1B">
        <w:rPr>
          <w:rFonts w:eastAsia="Arial"/>
        </w:rPr>
        <w:fldChar w:fldCharType="separate"/>
      </w:r>
      <w:r w:rsidR="00547316" w:rsidRPr="00547316">
        <w:rPr>
          <w:rFonts w:eastAsia="Arial"/>
          <w:noProof/>
          <w:vertAlign w:val="superscript"/>
        </w:rPr>
        <w:t>57</w:t>
      </w:r>
      <w:r w:rsidR="008E4A1B">
        <w:rPr>
          <w:rFonts w:eastAsia="Arial"/>
        </w:rPr>
        <w:fldChar w:fldCharType="end"/>
      </w:r>
      <w:r>
        <w:rPr>
          <w:rFonts w:eastAsia="Arial"/>
        </w:rPr>
        <w:t xml:space="preserve"> </w:t>
      </w:r>
      <w:r w:rsidRPr="00A43585">
        <w:rPr>
          <w:rFonts w:eastAsia="Arial"/>
        </w:rPr>
        <w:t xml:space="preserve">As part of the agreement, a range of voluntary global targets </w:t>
      </w:r>
      <w:r>
        <w:rPr>
          <w:rFonts w:eastAsia="Arial"/>
        </w:rPr>
        <w:t>ha</w:t>
      </w:r>
      <w:r w:rsidR="00057478">
        <w:rPr>
          <w:rFonts w:eastAsia="Arial"/>
        </w:rPr>
        <w:t>s</w:t>
      </w:r>
      <w:r>
        <w:rPr>
          <w:rFonts w:eastAsia="Arial"/>
        </w:rPr>
        <w:t xml:space="preserve"> been</w:t>
      </w:r>
      <w:r w:rsidRPr="00A43585">
        <w:rPr>
          <w:rFonts w:eastAsia="Arial"/>
        </w:rPr>
        <w:t xml:space="preserve"> set</w:t>
      </w:r>
      <w:r w:rsidR="00DD0CE8">
        <w:rPr>
          <w:rFonts w:eastAsia="Arial"/>
        </w:rPr>
        <w:t xml:space="preserve"> </w:t>
      </w:r>
      <w:r w:rsidRPr="00A43585">
        <w:rPr>
          <w:rFonts w:eastAsia="Arial"/>
        </w:rPr>
        <w:t>(</w:t>
      </w:r>
      <w:r w:rsidR="00DD0CE8" w:rsidRPr="00F10D4F">
        <w:rPr>
          <w:rFonts w:eastAsia="Arial"/>
        </w:rPr>
        <w:t xml:space="preserve">Table </w:t>
      </w:r>
      <w:r w:rsidR="00A52339">
        <w:rPr>
          <w:rFonts w:eastAsia="Arial"/>
        </w:rPr>
        <w:t>5</w:t>
      </w:r>
      <w:r w:rsidRPr="00A43585">
        <w:rPr>
          <w:rFonts w:eastAsia="Arial"/>
        </w:rPr>
        <w:t>).</w:t>
      </w:r>
      <w:r w:rsidR="00DF4D5F">
        <w:rPr>
          <w:rFonts w:eastAsia="Arial"/>
        </w:rPr>
        <w:t xml:space="preserve"> </w:t>
      </w:r>
    </w:p>
    <w:p w:rsidR="00973760" w:rsidRPr="00C16C7D" w:rsidRDefault="00973760" w:rsidP="00973760">
      <w:pPr>
        <w:spacing w:before="5" w:line="260" w:lineRule="exact"/>
        <w:rPr>
          <w:color w:val="808080" w:themeColor="background1" w:themeShade="80"/>
          <w:sz w:val="26"/>
          <w:szCs w:val="26"/>
        </w:rPr>
      </w:pPr>
    </w:p>
    <w:p w:rsidR="00973760" w:rsidRPr="00C16C7D" w:rsidRDefault="00973760" w:rsidP="00973760">
      <w:pPr>
        <w:ind w:right="1005"/>
        <w:rPr>
          <w:rFonts w:eastAsia="Arial"/>
          <w:b/>
          <w:color w:val="808080" w:themeColor="background1" w:themeShade="80"/>
        </w:rPr>
      </w:pPr>
      <w:r w:rsidRPr="00C16C7D">
        <w:rPr>
          <w:rFonts w:eastAsia="Arial"/>
          <w:b/>
          <w:color w:val="808080" w:themeColor="background1" w:themeShade="80"/>
        </w:rPr>
        <w:t xml:space="preserve">Table </w:t>
      </w:r>
      <w:r w:rsidR="00A52339" w:rsidRPr="00C16C7D">
        <w:rPr>
          <w:rFonts w:eastAsia="Arial"/>
          <w:b/>
          <w:color w:val="808080" w:themeColor="background1" w:themeShade="80"/>
        </w:rPr>
        <w:t>5</w:t>
      </w:r>
      <w:r w:rsidRPr="00C16C7D">
        <w:rPr>
          <w:rFonts w:eastAsia="Arial"/>
          <w:b/>
          <w:color w:val="808080" w:themeColor="background1" w:themeShade="80"/>
        </w:rPr>
        <w:t xml:space="preserve">:  </w:t>
      </w:r>
      <w:r w:rsidR="00D0566D" w:rsidRPr="00C16C7D">
        <w:rPr>
          <w:rFonts w:eastAsia="Arial"/>
          <w:b/>
          <w:color w:val="808080" w:themeColor="background1" w:themeShade="80"/>
        </w:rPr>
        <w:t xml:space="preserve">Selected </w:t>
      </w:r>
      <w:r w:rsidRPr="00C16C7D">
        <w:rPr>
          <w:rFonts w:eastAsia="Arial"/>
          <w:b/>
          <w:color w:val="808080" w:themeColor="background1" w:themeShade="80"/>
        </w:rPr>
        <w:t xml:space="preserve">WHO </w:t>
      </w:r>
      <w:r w:rsidR="00121D92" w:rsidRPr="00C5090F">
        <w:rPr>
          <w:rFonts w:eastAsia="Arial"/>
          <w:b/>
          <w:i/>
          <w:color w:val="808080" w:themeColor="background1" w:themeShade="80"/>
        </w:rPr>
        <w:t>Global Action Plan</w:t>
      </w:r>
      <w:r w:rsidR="00121D92">
        <w:rPr>
          <w:rFonts w:eastAsia="Arial"/>
          <w:b/>
          <w:color w:val="808080" w:themeColor="background1" w:themeShade="80"/>
        </w:rPr>
        <w:t xml:space="preserve"> </w:t>
      </w:r>
      <w:r w:rsidR="00562633" w:rsidRPr="00C16C7D">
        <w:rPr>
          <w:rFonts w:eastAsia="Arial"/>
          <w:b/>
          <w:color w:val="808080" w:themeColor="background1" w:themeShade="80"/>
        </w:rPr>
        <w:t>v</w:t>
      </w:r>
      <w:r w:rsidRPr="00C16C7D">
        <w:rPr>
          <w:rFonts w:eastAsia="Arial"/>
          <w:b/>
          <w:color w:val="808080" w:themeColor="background1" w:themeShade="80"/>
        </w:rPr>
        <w:t xml:space="preserve">oluntary </w:t>
      </w:r>
      <w:r w:rsidR="00562633" w:rsidRPr="00C16C7D">
        <w:rPr>
          <w:rFonts w:eastAsia="Arial"/>
          <w:b/>
          <w:color w:val="808080" w:themeColor="background1" w:themeShade="80"/>
        </w:rPr>
        <w:t>t</w:t>
      </w:r>
      <w:r w:rsidRPr="00C16C7D">
        <w:rPr>
          <w:rFonts w:eastAsia="Arial"/>
          <w:b/>
          <w:color w:val="808080" w:themeColor="background1" w:themeShade="80"/>
        </w:rPr>
        <w:t>argets</w:t>
      </w:r>
    </w:p>
    <w:tbl>
      <w:tblPr>
        <w:tblStyle w:val="TableGrid"/>
        <w:tblW w:w="0" w:type="auto"/>
        <w:shd w:val="clear" w:color="auto" w:fill="B6DDE8" w:themeFill="accent5" w:themeFillTint="66"/>
        <w:tblLook w:val="04A0" w:firstRow="1" w:lastRow="0" w:firstColumn="1" w:lastColumn="0" w:noHBand="0" w:noVBand="1"/>
      </w:tblPr>
      <w:tblGrid>
        <w:gridCol w:w="2235"/>
        <w:gridCol w:w="7007"/>
      </w:tblGrid>
      <w:tr w:rsidR="00F10D4F" w:rsidTr="00DE0B9E">
        <w:trPr>
          <w:trHeight w:val="624"/>
        </w:trPr>
        <w:tc>
          <w:tcPr>
            <w:tcW w:w="2235" w:type="dxa"/>
            <w:shd w:val="clear" w:color="auto" w:fill="808080" w:themeFill="background1" w:themeFillShade="80"/>
            <w:vAlign w:val="center"/>
          </w:tcPr>
          <w:p w:rsidR="00F10D4F" w:rsidRPr="00DE0B9E" w:rsidRDefault="00C67A97" w:rsidP="005572AF">
            <w:pPr>
              <w:ind w:right="-44"/>
              <w:rPr>
                <w:rFonts w:eastAsia="Arial"/>
                <w:b/>
                <w:color w:val="FFFFFF" w:themeColor="background1"/>
              </w:rPr>
            </w:pPr>
            <w:r w:rsidRPr="00DE0B9E">
              <w:rPr>
                <w:rFonts w:eastAsia="Arial"/>
                <w:b/>
                <w:color w:val="FFFFFF" w:themeColor="background1"/>
              </w:rPr>
              <w:t>Harmful alcohol use</w:t>
            </w:r>
          </w:p>
        </w:tc>
        <w:tc>
          <w:tcPr>
            <w:tcW w:w="7007" w:type="dxa"/>
            <w:shd w:val="clear" w:color="auto" w:fill="F2F2F2" w:themeFill="background1" w:themeFillShade="F2"/>
            <w:vAlign w:val="center"/>
          </w:tcPr>
          <w:p w:rsidR="00F10D4F" w:rsidRPr="004F2599" w:rsidRDefault="00F10D4F" w:rsidP="00E454D6">
            <w:pPr>
              <w:ind w:right="1005"/>
              <w:rPr>
                <w:rFonts w:eastAsia="Arial"/>
                <w:b/>
                <w:color w:val="808080" w:themeColor="background1" w:themeShade="80"/>
              </w:rPr>
            </w:pPr>
            <w:r w:rsidRPr="004F2599">
              <w:rPr>
                <w:rFonts w:eastAsia="Arial"/>
                <w:color w:val="808080" w:themeColor="background1" w:themeShade="80"/>
              </w:rPr>
              <w:t>At least a 10% relative reduction in the harmful use of alcohol, as appropriate, within th</w:t>
            </w:r>
            <w:r w:rsidR="00FF1005" w:rsidRPr="004F2599">
              <w:rPr>
                <w:rFonts w:eastAsia="Arial"/>
                <w:color w:val="808080" w:themeColor="background1" w:themeShade="80"/>
              </w:rPr>
              <w:t>e national context</w:t>
            </w:r>
          </w:p>
        </w:tc>
      </w:tr>
      <w:tr w:rsidR="00F10D4F" w:rsidTr="00DE0B9E">
        <w:trPr>
          <w:trHeight w:val="624"/>
        </w:trPr>
        <w:tc>
          <w:tcPr>
            <w:tcW w:w="2235" w:type="dxa"/>
            <w:shd w:val="clear" w:color="auto" w:fill="808080" w:themeFill="background1" w:themeFillShade="80"/>
            <w:vAlign w:val="center"/>
          </w:tcPr>
          <w:p w:rsidR="00F10D4F" w:rsidRPr="00DE0B9E" w:rsidRDefault="00C67A97" w:rsidP="005572AF">
            <w:pPr>
              <w:ind w:right="-44"/>
              <w:rPr>
                <w:rFonts w:eastAsia="Arial"/>
                <w:b/>
                <w:color w:val="FFFFFF" w:themeColor="background1"/>
              </w:rPr>
            </w:pPr>
            <w:r w:rsidRPr="00DE0B9E">
              <w:rPr>
                <w:rFonts w:eastAsia="Arial"/>
                <w:b/>
                <w:color w:val="FFFFFF" w:themeColor="background1"/>
              </w:rPr>
              <w:t>Insufficient physical activity</w:t>
            </w:r>
          </w:p>
        </w:tc>
        <w:tc>
          <w:tcPr>
            <w:tcW w:w="7007" w:type="dxa"/>
            <w:shd w:val="clear" w:color="auto" w:fill="F2F2F2" w:themeFill="background1" w:themeFillShade="F2"/>
            <w:vAlign w:val="center"/>
          </w:tcPr>
          <w:p w:rsidR="00F10D4F" w:rsidRPr="004F2599" w:rsidRDefault="00461176" w:rsidP="00E454D6">
            <w:pPr>
              <w:ind w:right="1005"/>
              <w:rPr>
                <w:rFonts w:eastAsia="Arial"/>
                <w:b/>
                <w:color w:val="808080" w:themeColor="background1" w:themeShade="80"/>
              </w:rPr>
            </w:pPr>
            <w:r w:rsidRPr="004F2599">
              <w:rPr>
                <w:rFonts w:eastAsia="Arial"/>
                <w:color w:val="808080" w:themeColor="background1" w:themeShade="80"/>
              </w:rPr>
              <w:t>A 10% relative reduction in prevalence of</w:t>
            </w:r>
            <w:r w:rsidR="00FF1005" w:rsidRPr="004F2599">
              <w:rPr>
                <w:rFonts w:eastAsia="Arial"/>
                <w:color w:val="808080" w:themeColor="background1" w:themeShade="80"/>
              </w:rPr>
              <w:t xml:space="preserve"> insufficient physical activity</w:t>
            </w:r>
          </w:p>
        </w:tc>
      </w:tr>
      <w:tr w:rsidR="00F10D4F" w:rsidTr="00DE0B9E">
        <w:trPr>
          <w:trHeight w:val="624"/>
        </w:trPr>
        <w:tc>
          <w:tcPr>
            <w:tcW w:w="2235" w:type="dxa"/>
            <w:shd w:val="clear" w:color="auto" w:fill="808080" w:themeFill="background1" w:themeFillShade="80"/>
            <w:vAlign w:val="center"/>
          </w:tcPr>
          <w:p w:rsidR="00F10D4F" w:rsidRPr="00DE0B9E" w:rsidRDefault="00A73079" w:rsidP="005572AF">
            <w:pPr>
              <w:ind w:right="-44"/>
              <w:rPr>
                <w:rFonts w:eastAsia="Arial"/>
                <w:b/>
                <w:color w:val="FFFFFF" w:themeColor="background1"/>
              </w:rPr>
            </w:pPr>
            <w:r w:rsidRPr="00DE0B9E">
              <w:rPr>
                <w:rFonts w:eastAsia="Arial"/>
                <w:b/>
                <w:color w:val="FFFFFF" w:themeColor="background1"/>
              </w:rPr>
              <w:t>Salt/sodium intake</w:t>
            </w:r>
          </w:p>
        </w:tc>
        <w:tc>
          <w:tcPr>
            <w:tcW w:w="7007" w:type="dxa"/>
            <w:shd w:val="clear" w:color="auto" w:fill="F2F2F2" w:themeFill="background1" w:themeFillShade="F2"/>
            <w:vAlign w:val="center"/>
          </w:tcPr>
          <w:p w:rsidR="00F10D4F" w:rsidRPr="004F2599" w:rsidRDefault="00461176" w:rsidP="00E454D6">
            <w:pPr>
              <w:ind w:right="1005"/>
              <w:rPr>
                <w:rFonts w:eastAsia="Arial"/>
                <w:b/>
                <w:color w:val="808080" w:themeColor="background1" w:themeShade="80"/>
              </w:rPr>
            </w:pPr>
            <w:r w:rsidRPr="004F2599">
              <w:rPr>
                <w:rFonts w:eastAsia="Arial"/>
                <w:color w:val="808080" w:themeColor="background1" w:themeShade="80"/>
              </w:rPr>
              <w:t>A 30% relative reduction in mean p</w:t>
            </w:r>
            <w:r w:rsidR="00FF1005" w:rsidRPr="004F2599">
              <w:rPr>
                <w:rFonts w:eastAsia="Arial"/>
                <w:color w:val="808080" w:themeColor="background1" w:themeShade="80"/>
              </w:rPr>
              <w:t>opulation intake of salt/sodium</w:t>
            </w:r>
          </w:p>
        </w:tc>
      </w:tr>
      <w:tr w:rsidR="00F10D4F" w:rsidTr="00DE0B9E">
        <w:trPr>
          <w:trHeight w:val="624"/>
        </w:trPr>
        <w:tc>
          <w:tcPr>
            <w:tcW w:w="2235" w:type="dxa"/>
            <w:shd w:val="clear" w:color="auto" w:fill="808080" w:themeFill="background1" w:themeFillShade="80"/>
            <w:vAlign w:val="center"/>
          </w:tcPr>
          <w:p w:rsidR="00F10D4F" w:rsidRPr="00DE0B9E" w:rsidRDefault="00FF1005" w:rsidP="005572AF">
            <w:pPr>
              <w:ind w:right="-44"/>
              <w:rPr>
                <w:rFonts w:eastAsia="Arial"/>
                <w:b/>
                <w:color w:val="FFFFFF" w:themeColor="background1"/>
              </w:rPr>
            </w:pPr>
            <w:r w:rsidRPr="00DE0B9E">
              <w:rPr>
                <w:rFonts w:eastAsia="Arial"/>
                <w:b/>
                <w:color w:val="FFFFFF" w:themeColor="background1"/>
              </w:rPr>
              <w:t>R</w:t>
            </w:r>
            <w:r w:rsidR="00A73079" w:rsidRPr="00DE0B9E">
              <w:rPr>
                <w:rFonts w:eastAsia="Arial"/>
                <w:b/>
                <w:color w:val="FFFFFF" w:themeColor="background1"/>
              </w:rPr>
              <w:t>aised blood pressure</w:t>
            </w:r>
          </w:p>
        </w:tc>
        <w:tc>
          <w:tcPr>
            <w:tcW w:w="7007" w:type="dxa"/>
            <w:shd w:val="clear" w:color="auto" w:fill="F2F2F2" w:themeFill="background1" w:themeFillShade="F2"/>
            <w:vAlign w:val="center"/>
          </w:tcPr>
          <w:p w:rsidR="00F10D4F" w:rsidRPr="004F2599" w:rsidRDefault="00461176" w:rsidP="00E454D6">
            <w:pPr>
              <w:ind w:right="1005"/>
              <w:rPr>
                <w:rFonts w:eastAsia="Arial"/>
                <w:b/>
                <w:color w:val="808080" w:themeColor="background1" w:themeShade="80"/>
              </w:rPr>
            </w:pPr>
            <w:r w:rsidRPr="004F2599">
              <w:rPr>
                <w:rFonts w:eastAsia="Arial"/>
                <w:color w:val="808080" w:themeColor="background1" w:themeShade="80"/>
              </w:rPr>
              <w:t>A 30% relative reduction in the prevalence of raised blood pressure or contain the prevalence of raised blood pressure, acco</w:t>
            </w:r>
            <w:r w:rsidR="00FF1005" w:rsidRPr="004F2599">
              <w:rPr>
                <w:rFonts w:eastAsia="Arial"/>
                <w:color w:val="808080" w:themeColor="background1" w:themeShade="80"/>
              </w:rPr>
              <w:t>rding to national circumstances</w:t>
            </w:r>
          </w:p>
        </w:tc>
      </w:tr>
      <w:tr w:rsidR="00F10D4F" w:rsidTr="00DE0B9E">
        <w:trPr>
          <w:trHeight w:val="624"/>
        </w:trPr>
        <w:tc>
          <w:tcPr>
            <w:tcW w:w="2235" w:type="dxa"/>
            <w:shd w:val="clear" w:color="auto" w:fill="808080" w:themeFill="background1" w:themeFillShade="80"/>
            <w:vAlign w:val="center"/>
          </w:tcPr>
          <w:p w:rsidR="00F10D4F" w:rsidRPr="00DE0B9E" w:rsidRDefault="00F24DED" w:rsidP="005572AF">
            <w:pPr>
              <w:ind w:right="-44"/>
              <w:rPr>
                <w:rFonts w:eastAsia="Arial"/>
                <w:b/>
                <w:color w:val="FFFFFF" w:themeColor="background1"/>
              </w:rPr>
            </w:pPr>
            <w:r w:rsidRPr="00DE0B9E">
              <w:rPr>
                <w:rFonts w:eastAsia="Arial"/>
                <w:b/>
                <w:color w:val="FFFFFF" w:themeColor="background1"/>
              </w:rPr>
              <w:t>Obesity</w:t>
            </w:r>
          </w:p>
        </w:tc>
        <w:tc>
          <w:tcPr>
            <w:tcW w:w="7007" w:type="dxa"/>
            <w:shd w:val="clear" w:color="auto" w:fill="F2F2F2" w:themeFill="background1" w:themeFillShade="F2"/>
            <w:vAlign w:val="center"/>
          </w:tcPr>
          <w:p w:rsidR="00F10D4F" w:rsidRPr="004F2599" w:rsidRDefault="00461176" w:rsidP="00E454D6">
            <w:pPr>
              <w:ind w:right="1005"/>
              <w:rPr>
                <w:rFonts w:eastAsia="Arial"/>
                <w:b/>
                <w:color w:val="808080" w:themeColor="background1" w:themeShade="80"/>
              </w:rPr>
            </w:pPr>
            <w:r w:rsidRPr="004F2599">
              <w:rPr>
                <w:rFonts w:eastAsia="Arial"/>
                <w:color w:val="808080" w:themeColor="background1" w:themeShade="80"/>
              </w:rPr>
              <w:t>Halt t</w:t>
            </w:r>
            <w:r w:rsidR="00FF1005" w:rsidRPr="004F2599">
              <w:rPr>
                <w:rFonts w:eastAsia="Arial"/>
                <w:color w:val="808080" w:themeColor="background1" w:themeShade="80"/>
              </w:rPr>
              <w:t>he rise in diabetes and obesity</w:t>
            </w:r>
          </w:p>
        </w:tc>
      </w:tr>
      <w:tr w:rsidR="00FF1005" w:rsidTr="00DE0B9E">
        <w:trPr>
          <w:trHeight w:val="624"/>
        </w:trPr>
        <w:tc>
          <w:tcPr>
            <w:tcW w:w="2235" w:type="dxa"/>
            <w:shd w:val="clear" w:color="auto" w:fill="808080" w:themeFill="background1" w:themeFillShade="80"/>
            <w:vAlign w:val="center"/>
          </w:tcPr>
          <w:p w:rsidR="00FF1005" w:rsidRPr="00DE0B9E" w:rsidRDefault="00FF1005" w:rsidP="005572AF">
            <w:pPr>
              <w:ind w:right="-44"/>
              <w:rPr>
                <w:rFonts w:eastAsia="Arial"/>
                <w:b/>
                <w:color w:val="FFFFFF" w:themeColor="background1"/>
              </w:rPr>
            </w:pPr>
            <w:r w:rsidRPr="00DE0B9E">
              <w:rPr>
                <w:rFonts w:eastAsia="Arial"/>
                <w:b/>
                <w:color w:val="FFFFFF" w:themeColor="background1"/>
              </w:rPr>
              <w:t>Premature mortality</w:t>
            </w:r>
          </w:p>
        </w:tc>
        <w:tc>
          <w:tcPr>
            <w:tcW w:w="7007" w:type="dxa"/>
            <w:shd w:val="clear" w:color="auto" w:fill="F2F2F2" w:themeFill="background1" w:themeFillShade="F2"/>
            <w:vAlign w:val="center"/>
          </w:tcPr>
          <w:p w:rsidR="00FF1005" w:rsidRPr="004F2599" w:rsidRDefault="00FF1005" w:rsidP="00E454D6">
            <w:pPr>
              <w:ind w:right="1005"/>
              <w:rPr>
                <w:rFonts w:eastAsia="Arial"/>
                <w:b/>
                <w:color w:val="808080" w:themeColor="background1" w:themeShade="80"/>
              </w:rPr>
            </w:pPr>
            <w:r w:rsidRPr="004F2599">
              <w:rPr>
                <w:rFonts w:eastAsia="Arial"/>
                <w:color w:val="808080" w:themeColor="background1" w:themeShade="80"/>
              </w:rPr>
              <w:t>A 25% relative reduction in the risk of premature mortality from cardiovascular disease, cancer, diabetes, or chronic respiratory diseases</w:t>
            </w:r>
          </w:p>
        </w:tc>
      </w:tr>
    </w:tbl>
    <w:p w:rsidR="00973760" w:rsidRDefault="00DD0CE8" w:rsidP="00973760">
      <w:pPr>
        <w:spacing w:before="5" w:line="260" w:lineRule="exact"/>
        <w:rPr>
          <w:rFonts w:eastAsia="Arial"/>
        </w:rPr>
      </w:pPr>
      <w:r w:rsidRPr="009106E1">
        <w:t>Source:</w:t>
      </w:r>
      <w:r w:rsidR="00181A10">
        <w:t xml:space="preserve"> </w:t>
      </w:r>
      <w:r w:rsidRPr="009106E1">
        <w:rPr>
          <w:rFonts w:eastAsia="Arial"/>
          <w:i/>
        </w:rPr>
        <w:t>Global Action Plan for the Prevention and Control of Noncommunicable Diseases 2013-2020</w:t>
      </w:r>
      <w:r w:rsidRPr="009106E1">
        <w:rPr>
          <w:rFonts w:eastAsia="Arial"/>
        </w:rPr>
        <w:t>.</w:t>
      </w:r>
      <w:r w:rsidR="008E4A1B">
        <w:rPr>
          <w:rFonts w:eastAsia="Arial"/>
        </w:rPr>
        <w:fldChar w:fldCharType="begin"/>
      </w:r>
      <w:r w:rsidR="00547316">
        <w:rPr>
          <w:rFonts w:eastAsia="Arial"/>
        </w:rPr>
        <w:instrText xml:space="preserve"> ADDIN EN.CITE &lt;EndNote&gt;&lt;Cite&gt;&lt;Author&gt;World Health Organization&lt;/Author&gt;&lt;Year&gt;2013&lt;/Year&gt;&lt;RecNum&gt;916&lt;/RecNum&gt;&lt;DisplayText&gt;&lt;style face="superscript"&gt;57&lt;/style&gt;&lt;/DisplayText&gt;&lt;record&gt;&lt;rec-number&gt;916&lt;/rec-number&gt;&lt;foreign-keys&gt;&lt;key app="EN" db-id="zxa00wf2opvf9oeeset50xz7ezpfwre2v20z"&gt;916&lt;/key&gt;&lt;/foreign-keys&gt;&lt;ref-type name="Report"&gt;27&lt;/ref-type&gt;&lt;contributors&gt;&lt;authors&gt;&lt;author&gt;World Health Organization,&lt;/author&gt;&lt;/authors&gt;&lt;/contributors&gt;&lt;titles&gt;&lt;title&gt;Global action plan for the prevention and control of noncommunicable diseases 2013-2020&lt;/title&gt;&lt;/titles&gt;&lt;dates&gt;&lt;year&gt;2013&lt;/year&gt;&lt;/dates&gt;&lt;pub-location&gt;Geneva&lt;/pub-location&gt;&lt;publisher&gt;World Health Organization&lt;/publisher&gt;&lt;urls&gt;&lt;related-urls&gt;&lt;url&gt;http://www.who.int/nmh/events/ncd_action_plan/en/&lt;/url&gt;&lt;/related-urls&gt;&lt;/urls&gt;&lt;/record&gt;&lt;/Cite&gt;&lt;/EndNote&gt;</w:instrText>
      </w:r>
      <w:r w:rsidR="008E4A1B">
        <w:rPr>
          <w:rFonts w:eastAsia="Arial"/>
        </w:rPr>
        <w:fldChar w:fldCharType="separate"/>
      </w:r>
      <w:r w:rsidR="00547316" w:rsidRPr="00547316">
        <w:rPr>
          <w:rFonts w:eastAsia="Arial"/>
          <w:noProof/>
          <w:vertAlign w:val="superscript"/>
        </w:rPr>
        <w:t>57</w:t>
      </w:r>
      <w:r w:rsidR="008E4A1B">
        <w:rPr>
          <w:rFonts w:eastAsia="Arial"/>
        </w:rPr>
        <w:fldChar w:fldCharType="end"/>
      </w:r>
      <w:r w:rsidR="00720E26">
        <w:rPr>
          <w:rFonts w:eastAsia="Arial"/>
        </w:rPr>
        <w:fldChar w:fldCharType="begin"/>
      </w:r>
      <w:r w:rsidR="00720E26">
        <w:rPr>
          <w:rFonts w:eastAsia="Arial"/>
        </w:rPr>
        <w:instrText xml:space="preserve"> </w:instrText>
      </w:r>
      <w:r w:rsidR="00720E26">
        <w:rPr>
          <w:rFonts w:eastAsia="Arial"/>
        </w:rPr>
        <w:fldChar w:fldCharType="separate"/>
      </w:r>
      <w:r w:rsidR="00720E26">
        <w:rPr>
          <w:rFonts w:eastAsia="Arial"/>
        </w:rPr>
        <w:t>{World Health Organization, 2013 #916}</w:t>
      </w:r>
      <w:r w:rsidR="00720E26">
        <w:rPr>
          <w:rFonts w:eastAsia="Arial"/>
        </w:rPr>
        <w:fldChar w:fldCharType="end"/>
      </w:r>
    </w:p>
    <w:p w:rsidR="00846F03" w:rsidRDefault="00846F03" w:rsidP="00973760">
      <w:pPr>
        <w:spacing w:before="5" w:line="260" w:lineRule="exact"/>
        <w:rPr>
          <w:rFonts w:eastAsia="Arial"/>
        </w:rPr>
      </w:pPr>
    </w:p>
    <w:p w:rsidR="00E62A22" w:rsidRDefault="00E62A22" w:rsidP="00973760">
      <w:pPr>
        <w:spacing w:before="5" w:line="260" w:lineRule="exact"/>
        <w:rPr>
          <w:rFonts w:eastAsia="Arial"/>
        </w:rPr>
      </w:pPr>
    </w:p>
    <w:p w:rsidR="00973760" w:rsidRPr="00C16C7D" w:rsidRDefault="00973760" w:rsidP="00A4258E">
      <w:pPr>
        <w:pStyle w:val="Heading2"/>
      </w:pPr>
      <w:bookmarkStart w:id="63" w:name="_Toc462049344"/>
      <w:r w:rsidRPr="00C16C7D">
        <w:t>5.</w:t>
      </w:r>
      <w:r w:rsidR="00CC7DD7" w:rsidRPr="00C16C7D">
        <w:t>2</w:t>
      </w:r>
      <w:r w:rsidRPr="00C16C7D">
        <w:t xml:space="preserve"> </w:t>
      </w:r>
      <w:r w:rsidR="00E874F7" w:rsidRPr="00C16C7D">
        <w:t xml:space="preserve"> </w:t>
      </w:r>
      <w:r w:rsidRPr="00C16C7D">
        <w:t>Program evaluation and monitoring</w:t>
      </w:r>
      <w:bookmarkEnd w:id="63"/>
    </w:p>
    <w:p w:rsidR="00A4258E" w:rsidRDefault="00A4258E" w:rsidP="00973760">
      <w:pPr>
        <w:rPr>
          <w:rFonts w:eastAsia="Arial"/>
        </w:rPr>
      </w:pPr>
    </w:p>
    <w:p w:rsidR="00973760" w:rsidRDefault="00CC7DD7" w:rsidP="00973760">
      <w:pPr>
        <w:rPr>
          <w:rFonts w:eastAsia="Arial"/>
        </w:rPr>
      </w:pPr>
      <w:r>
        <w:rPr>
          <w:rFonts w:eastAsia="Arial"/>
        </w:rPr>
        <w:t>Rigorous p</w:t>
      </w:r>
      <w:r w:rsidR="00973760">
        <w:rPr>
          <w:rFonts w:eastAsia="Arial"/>
        </w:rPr>
        <w:t xml:space="preserve">rogram evaluation is </w:t>
      </w:r>
      <w:r>
        <w:rPr>
          <w:rFonts w:eastAsia="Arial"/>
        </w:rPr>
        <w:t>an important</w:t>
      </w:r>
      <w:r w:rsidR="00973760">
        <w:rPr>
          <w:rFonts w:eastAsia="Arial"/>
        </w:rPr>
        <w:t xml:space="preserve"> component of health promotion planning and service delivery.</w:t>
      </w:r>
      <w:r w:rsidR="00F44BAB">
        <w:rPr>
          <w:rFonts w:eastAsia="Arial"/>
        </w:rPr>
        <w:t xml:space="preserve"> </w:t>
      </w:r>
      <w:r w:rsidR="00E25812">
        <w:rPr>
          <w:rFonts w:eastAsia="Arial"/>
        </w:rPr>
        <w:t>Proper e</w:t>
      </w:r>
      <w:r w:rsidR="00F44BAB">
        <w:rPr>
          <w:rFonts w:eastAsia="Arial"/>
        </w:rPr>
        <w:t xml:space="preserve">valuation </w:t>
      </w:r>
      <w:r w:rsidR="00E25812">
        <w:rPr>
          <w:rFonts w:eastAsia="Arial"/>
        </w:rPr>
        <w:t xml:space="preserve">ensures that all aspects of programs are assessed, lessons </w:t>
      </w:r>
      <w:r w:rsidR="00E31BF8">
        <w:rPr>
          <w:rFonts w:eastAsia="Arial"/>
        </w:rPr>
        <w:t xml:space="preserve">are </w:t>
      </w:r>
      <w:r w:rsidR="00E25812">
        <w:rPr>
          <w:rFonts w:eastAsia="Arial"/>
        </w:rPr>
        <w:t xml:space="preserve">learnt, </w:t>
      </w:r>
      <w:r w:rsidR="00445A1F">
        <w:rPr>
          <w:rFonts w:eastAsia="Arial"/>
        </w:rPr>
        <w:t>strengths</w:t>
      </w:r>
      <w:r w:rsidR="00E25812">
        <w:rPr>
          <w:rFonts w:eastAsia="Arial"/>
        </w:rPr>
        <w:t xml:space="preserve"> </w:t>
      </w:r>
      <w:r w:rsidR="00E31BF8">
        <w:rPr>
          <w:rFonts w:eastAsia="Arial"/>
        </w:rPr>
        <w:t xml:space="preserve">are </w:t>
      </w:r>
      <w:r w:rsidR="00E25812">
        <w:rPr>
          <w:rFonts w:eastAsia="Arial"/>
        </w:rPr>
        <w:t xml:space="preserve">built on, and future directions and policies </w:t>
      </w:r>
      <w:r w:rsidR="00E31BF8">
        <w:rPr>
          <w:rFonts w:eastAsia="Arial"/>
        </w:rPr>
        <w:t xml:space="preserve">are </w:t>
      </w:r>
      <w:r w:rsidR="00E25812">
        <w:rPr>
          <w:rFonts w:eastAsia="Arial"/>
        </w:rPr>
        <w:t>properly</w:t>
      </w:r>
      <w:r w:rsidR="00B624F1">
        <w:rPr>
          <w:rFonts w:eastAsia="Arial"/>
        </w:rPr>
        <w:t>-informed.</w:t>
      </w:r>
      <w:r w:rsidR="00097037">
        <w:rPr>
          <w:rFonts w:eastAsia="Arial"/>
        </w:rPr>
        <w:t xml:space="preserve"> </w:t>
      </w:r>
      <w:r w:rsidR="006B6ADF">
        <w:rPr>
          <w:rFonts w:eastAsia="Arial"/>
        </w:rPr>
        <w:t>Robust</w:t>
      </w:r>
      <w:r w:rsidR="00973760">
        <w:rPr>
          <w:rFonts w:eastAsia="Arial"/>
        </w:rPr>
        <w:t xml:space="preserve"> evaluation also ensures that the </w:t>
      </w:r>
      <w:r w:rsidR="00973760">
        <w:rPr>
          <w:rFonts w:eastAsia="Arial"/>
          <w:spacing w:val="-4"/>
        </w:rPr>
        <w:t>WA</w:t>
      </w:r>
      <w:r w:rsidR="00973760">
        <w:rPr>
          <w:rFonts w:eastAsia="Arial"/>
        </w:rPr>
        <w:t xml:space="preserve"> community is benefitting from the programs put in place.</w:t>
      </w:r>
    </w:p>
    <w:p w:rsidR="00973760" w:rsidRDefault="00973760" w:rsidP="00973760">
      <w:pPr>
        <w:rPr>
          <w:rFonts w:eastAsia="Arial"/>
        </w:rPr>
      </w:pPr>
    </w:p>
    <w:p w:rsidR="00973760" w:rsidRDefault="00F75F6B" w:rsidP="00973760">
      <w:pPr>
        <w:rPr>
          <w:rFonts w:eastAsia="Arial"/>
        </w:rPr>
      </w:pPr>
      <w:r w:rsidRPr="000853EC">
        <w:rPr>
          <w:rFonts w:eastAsia="Arial"/>
        </w:rPr>
        <w:t>T</w:t>
      </w:r>
      <w:r w:rsidR="00BE1284" w:rsidRPr="000853EC">
        <w:rPr>
          <w:rFonts w:eastAsia="Arial"/>
        </w:rPr>
        <w:t>he</w:t>
      </w:r>
      <w:r w:rsidR="00973760" w:rsidRPr="000853EC">
        <w:rPr>
          <w:rFonts w:eastAsia="Arial"/>
        </w:rPr>
        <w:t xml:space="preserve"> Department of Health</w:t>
      </w:r>
      <w:r w:rsidR="00097037" w:rsidRPr="000853EC">
        <w:rPr>
          <w:rFonts w:eastAsia="Arial"/>
        </w:rPr>
        <w:t>, with</w:t>
      </w:r>
      <w:r w:rsidR="00097037">
        <w:rPr>
          <w:rFonts w:eastAsia="Arial"/>
        </w:rPr>
        <w:t xml:space="preserve"> the assistance of </w:t>
      </w:r>
      <w:r w:rsidR="00973760">
        <w:rPr>
          <w:rFonts w:eastAsia="Arial"/>
        </w:rPr>
        <w:t>Edith Cowan University</w:t>
      </w:r>
      <w:r w:rsidR="00097037">
        <w:rPr>
          <w:rFonts w:eastAsia="Arial"/>
        </w:rPr>
        <w:t>, has</w:t>
      </w:r>
      <w:r w:rsidR="00973760">
        <w:rPr>
          <w:rFonts w:eastAsia="Arial"/>
        </w:rPr>
        <w:t xml:space="preserve"> developed the </w:t>
      </w:r>
      <w:r w:rsidR="00973760" w:rsidRPr="00A43585">
        <w:rPr>
          <w:rFonts w:eastAsia="Arial"/>
          <w:i/>
        </w:rPr>
        <w:t>Research and Evaluation Framework Implementation Guide</w:t>
      </w:r>
      <w:r w:rsidR="008E4A1B">
        <w:rPr>
          <w:rFonts w:eastAsia="Arial"/>
        </w:rPr>
        <w:fldChar w:fldCharType="begin"/>
      </w:r>
      <w:r w:rsidR="005B3C51">
        <w:rPr>
          <w:rFonts w:eastAsia="Arial"/>
        </w:rPr>
        <w:instrText xml:space="preserve"> ADDIN EN.CITE &lt;EndNote&gt;&lt;Cite&gt;&lt;Author&gt;Department of Health&lt;/Author&gt;&lt;Year&gt;2013&lt;/Year&gt;&lt;RecNum&gt;400&lt;/RecNum&gt;&lt;DisplayText&gt;&lt;style face="superscript"&gt;190&lt;/style&gt;&lt;/DisplayText&gt;&lt;record&gt;&lt;rec-number&gt;400&lt;/rec-number&gt;&lt;foreign-keys&gt;&lt;key app="EN" db-id="zxa00wf2opvf9oeeset50xz7ezpfwre2v20z"&gt;400&lt;/key&gt;&lt;/foreign-keys&gt;&lt;ref-type name="Report"&gt;27&lt;/ref-type&gt;&lt;contributors&gt;&lt;authors&gt;&lt;author&gt;Department of Health,&lt;/author&gt;&lt;author&gt;Western Australia,&lt;/author&gt;&lt;/authors&gt;&lt;/contributors&gt;&lt;titles&gt;&lt;title&gt;Research and evaluation framework and implementation guide&lt;/title&gt;&lt;/titles&gt;&lt;dates&gt;&lt;year&gt;2013&lt;/year&gt;&lt;/dates&gt;&lt;pub-location&gt;Perth&lt;/pub-location&gt;&lt;publisher&gt;Chronic Disease Prevention Directorate, Department of Health, Western Australia&lt;/publisher&gt;&lt;urls&gt;&lt;related-urls&gt;&lt;url&gt;http://www.public.health.wa.gov.au/2/1770/2/research_and_evaluation_framework.pm&lt;/url&gt;&lt;/related-urls&gt;&lt;/urls&gt;&lt;/record&gt;&lt;/Cite&gt;&lt;/EndNote&gt;</w:instrText>
      </w:r>
      <w:r w:rsidR="008E4A1B">
        <w:rPr>
          <w:rFonts w:eastAsia="Arial"/>
        </w:rPr>
        <w:fldChar w:fldCharType="separate"/>
      </w:r>
      <w:r w:rsidR="005B3C51" w:rsidRPr="005B3C51">
        <w:rPr>
          <w:rFonts w:eastAsia="Arial"/>
          <w:noProof/>
          <w:vertAlign w:val="superscript"/>
        </w:rPr>
        <w:t>190</w:t>
      </w:r>
      <w:r w:rsidR="008E4A1B">
        <w:rPr>
          <w:rFonts w:eastAsia="Arial"/>
        </w:rPr>
        <w:fldChar w:fldCharType="end"/>
      </w:r>
      <w:r w:rsidR="00577C0A" w:rsidRPr="00E9349E">
        <w:rPr>
          <w:rFonts w:eastAsia="Arial"/>
        </w:rPr>
        <w:fldChar w:fldCharType="begin"/>
      </w:r>
      <w:r w:rsidR="00577C0A" w:rsidRPr="00E9349E">
        <w:rPr>
          <w:rFonts w:eastAsia="Arial"/>
        </w:rPr>
        <w:fldChar w:fldCharType="separate"/>
      </w:r>
      <w:r w:rsidR="00577C0A" w:rsidRPr="00E9349E">
        <w:rPr>
          <w:rFonts w:eastAsia="Arial"/>
        </w:rPr>
        <w:t>{Department of Health, 2013 #400}</w:t>
      </w:r>
      <w:r w:rsidR="00577C0A" w:rsidRPr="00E9349E">
        <w:rPr>
          <w:rFonts w:eastAsia="Arial"/>
        </w:rPr>
        <w:fldChar w:fldCharType="end"/>
      </w:r>
      <w:r w:rsidR="00097037" w:rsidRPr="00E9349E">
        <w:rPr>
          <w:rFonts w:eastAsia="Arial"/>
        </w:rPr>
        <w:t xml:space="preserve"> </w:t>
      </w:r>
      <w:r w:rsidR="00973760" w:rsidRPr="00A43585">
        <w:rPr>
          <w:rFonts w:eastAsia="Arial"/>
        </w:rPr>
        <w:t>t</w:t>
      </w:r>
      <w:r w:rsidR="00973760">
        <w:rPr>
          <w:rFonts w:eastAsia="Arial"/>
        </w:rPr>
        <w:t>o assist with the delivery and reporting of health promotion program evaluation, including initiatives funded by the Department</w:t>
      </w:r>
      <w:r w:rsidR="00E9349E">
        <w:rPr>
          <w:rFonts w:eastAsia="Arial"/>
        </w:rPr>
        <w:t>.</w:t>
      </w:r>
    </w:p>
    <w:p w:rsidR="00973760" w:rsidRDefault="00973760" w:rsidP="00973760">
      <w:pPr>
        <w:rPr>
          <w:rFonts w:eastAsia="Arial"/>
        </w:rPr>
      </w:pPr>
    </w:p>
    <w:p w:rsidR="004A628E" w:rsidRDefault="004A628E" w:rsidP="004A628E">
      <w:pPr>
        <w:rPr>
          <w:rFonts w:eastAsia="Arial"/>
        </w:rPr>
      </w:pPr>
      <w:r>
        <w:rPr>
          <w:rFonts w:eastAsia="Arial"/>
        </w:rPr>
        <w:t xml:space="preserve">In order to inform future planning, </w:t>
      </w:r>
      <w:r>
        <w:rPr>
          <w:rFonts w:eastAsia="Arial"/>
          <w:spacing w:val="-9"/>
        </w:rPr>
        <w:t>W</w:t>
      </w:r>
      <w:r>
        <w:rPr>
          <w:rFonts w:eastAsia="Arial"/>
        </w:rPr>
        <w:t>A</w:t>
      </w:r>
      <w:r>
        <w:rPr>
          <w:rFonts w:eastAsia="Arial"/>
          <w:spacing w:val="-13"/>
        </w:rPr>
        <w:t xml:space="preserve"> </w:t>
      </w:r>
      <w:r>
        <w:rPr>
          <w:rFonts w:eastAsia="Arial"/>
        </w:rPr>
        <w:t>Health will also continue to monitor health promotion activity across the state to assist with identifying shortfalls and gaps in current programming as well as duplication and overlap.</w:t>
      </w:r>
    </w:p>
    <w:p w:rsidR="00973760" w:rsidRDefault="00973760" w:rsidP="00973760">
      <w:pPr>
        <w:rPr>
          <w:rFonts w:eastAsia="Arial"/>
        </w:rPr>
      </w:pPr>
    </w:p>
    <w:p w:rsidR="00E62A22" w:rsidRDefault="00E62A22" w:rsidP="00973760">
      <w:pPr>
        <w:rPr>
          <w:rFonts w:eastAsia="Arial"/>
        </w:rPr>
      </w:pPr>
    </w:p>
    <w:p w:rsidR="00F14C4A" w:rsidRDefault="00F14C4A" w:rsidP="00F14C4A">
      <w:pPr>
        <w:pStyle w:val="Heading2"/>
        <w:rPr>
          <w:rFonts w:eastAsia="Arial"/>
        </w:rPr>
      </w:pPr>
      <w:bookmarkStart w:id="64" w:name="_Toc462049345"/>
      <w:r w:rsidRPr="00413AC0">
        <w:rPr>
          <w:rFonts w:eastAsia="Arial"/>
        </w:rPr>
        <w:t>5.</w:t>
      </w:r>
      <w:r w:rsidR="00D72615" w:rsidRPr="00413AC0">
        <w:rPr>
          <w:rFonts w:eastAsia="Arial"/>
        </w:rPr>
        <w:t>3</w:t>
      </w:r>
      <w:r w:rsidRPr="00413AC0">
        <w:rPr>
          <w:rFonts w:eastAsia="Arial"/>
        </w:rPr>
        <w:t xml:space="preserve">  Promoting a priority-driven research agenda</w:t>
      </w:r>
      <w:bookmarkEnd w:id="64"/>
    </w:p>
    <w:p w:rsidR="00F14C4A" w:rsidRDefault="00F14C4A" w:rsidP="00F14C4A">
      <w:pPr>
        <w:rPr>
          <w:rFonts w:eastAsia="Arial"/>
        </w:rPr>
      </w:pPr>
    </w:p>
    <w:p w:rsidR="00F14C4A" w:rsidRDefault="003055FC" w:rsidP="00F14C4A">
      <w:pPr>
        <w:rPr>
          <w:rFonts w:eastAsia="Arial"/>
        </w:rPr>
      </w:pPr>
      <w:r w:rsidRPr="00855770">
        <w:rPr>
          <w:rFonts w:eastAsia="Arial"/>
        </w:rPr>
        <w:t>The National Health and Medical Research Council describes priority-driven research as work that contributes directl</w:t>
      </w:r>
      <w:r w:rsidRPr="00855770">
        <w:rPr>
          <w:rFonts w:eastAsia="Arial"/>
          <w:spacing w:val="-18"/>
        </w:rPr>
        <w:t>y</w:t>
      </w:r>
      <w:r w:rsidRPr="00855770">
        <w:rPr>
          <w:rFonts w:eastAsia="Arial"/>
        </w:rPr>
        <w:t xml:space="preserve">, in the short to medium term, to population </w:t>
      </w:r>
      <w:r w:rsidRPr="00855770">
        <w:rPr>
          <w:rFonts w:eastAsia="Arial"/>
        </w:rPr>
        <w:lastRenderedPageBreak/>
        <w:t>health and the e</w:t>
      </w:r>
      <w:r w:rsidRPr="00855770">
        <w:rPr>
          <w:rFonts w:eastAsia="Arial"/>
          <w:spacing w:val="-4"/>
        </w:rPr>
        <w:t>f</w:t>
      </w:r>
      <w:r w:rsidRPr="00855770">
        <w:rPr>
          <w:rFonts w:eastAsia="Arial"/>
        </w:rPr>
        <w:t>fectiveness, efficiency a</w:t>
      </w:r>
      <w:r w:rsidR="00855770" w:rsidRPr="00855770">
        <w:rPr>
          <w:rFonts w:eastAsia="Arial"/>
        </w:rPr>
        <w:t>nd equity of the health system.</w:t>
      </w:r>
      <w:r w:rsidR="008E4A1B">
        <w:rPr>
          <w:rFonts w:eastAsia="Arial"/>
        </w:rPr>
        <w:fldChar w:fldCharType="begin"/>
      </w:r>
      <w:r w:rsidR="005B3C51">
        <w:rPr>
          <w:rFonts w:eastAsia="Arial"/>
        </w:rPr>
        <w:instrText xml:space="preserve"> ADDIN EN.CITE &lt;EndNote&gt;&lt;Cite&gt;&lt;Author&gt;National Health and Medical Research Council&lt;/Author&gt;&lt;Year&gt;1998&lt;/Year&gt;&lt;RecNum&gt;657&lt;/RecNum&gt;&lt;DisplayText&gt;&lt;style face="superscript"&gt;191&lt;/style&gt;&lt;/DisplayText&gt;&lt;record&gt;&lt;rec-number&gt;657&lt;/rec-number&gt;&lt;foreign-keys&gt;&lt;key app="EN" db-id="zxa00wf2opvf9oeeset50xz7ezpfwre2v20z"&gt;657&lt;/key&gt;&lt;/foreign-keys&gt;&lt;ref-type name="Report"&gt;27&lt;/ref-type&gt;&lt;contributors&gt;&lt;authors&gt;&lt;author&gt;National Health and Medical Research Council, &lt;/author&gt;&lt;/authors&gt;&lt;/contributors&gt;&lt;titles&gt;&lt;title&gt;The virtuous cycle.  Working together for health and medical research.  Health and medical research strategic review:  summary&lt;/title&gt;&lt;/titles&gt;&lt;dates&gt;&lt;year&gt;1998&lt;/year&gt;&lt;/dates&gt;&lt;pub-location&gt;Canberra&lt;/pub-location&gt;&lt;publisher&gt;Commonwealth of Australia&lt;/publisher&gt;&lt;urls&gt;&lt;/urls&gt;&lt;/record&gt;&lt;/Cite&gt;&lt;/EndNote&gt;</w:instrText>
      </w:r>
      <w:r w:rsidR="008E4A1B">
        <w:rPr>
          <w:rFonts w:eastAsia="Arial"/>
        </w:rPr>
        <w:fldChar w:fldCharType="separate"/>
      </w:r>
      <w:r w:rsidR="005B3C51" w:rsidRPr="005B3C51">
        <w:rPr>
          <w:rFonts w:eastAsia="Arial"/>
          <w:noProof/>
          <w:vertAlign w:val="superscript"/>
        </w:rPr>
        <w:t>191</w:t>
      </w:r>
      <w:r w:rsidR="008E4A1B">
        <w:rPr>
          <w:rFonts w:eastAsia="Arial"/>
        </w:rPr>
        <w:fldChar w:fldCharType="end"/>
      </w:r>
      <w:r w:rsidR="006B41F5">
        <w:rPr>
          <w:rFonts w:eastAsia="Arial"/>
        </w:rPr>
        <w:fldChar w:fldCharType="begin"/>
      </w:r>
      <w:r w:rsidR="006B41F5">
        <w:rPr>
          <w:rFonts w:eastAsia="Arial"/>
        </w:rPr>
        <w:instrText xml:space="preserve"> </w:instrText>
      </w:r>
      <w:r w:rsidR="006B41F5">
        <w:rPr>
          <w:rFonts w:eastAsia="Arial"/>
        </w:rPr>
        <w:fldChar w:fldCharType="separate"/>
      </w:r>
      <w:r w:rsidR="006B41F5">
        <w:rPr>
          <w:rFonts w:eastAsia="Arial"/>
        </w:rPr>
        <w:t>{National Health and Medical Research Council, 1998 #657}</w:t>
      </w:r>
      <w:r w:rsidR="006B41F5">
        <w:rPr>
          <w:rFonts w:eastAsia="Arial"/>
        </w:rPr>
        <w:fldChar w:fldCharType="end"/>
      </w:r>
      <w:r w:rsidRPr="00855770">
        <w:rPr>
          <w:rFonts w:eastAsia="Arial"/>
          <w:spacing w:val="-4"/>
        </w:rPr>
        <w:t xml:space="preserve"> </w:t>
      </w:r>
      <w:r w:rsidR="00F14C4A">
        <w:rPr>
          <w:rFonts w:eastAsia="Arial"/>
        </w:rPr>
        <w:t>P</w:t>
      </w:r>
      <w:r w:rsidR="00F14C4A" w:rsidRPr="00DA5FEA">
        <w:rPr>
          <w:rFonts w:eastAsia="Arial"/>
        </w:rPr>
        <w:t xml:space="preserve">riority-driven research </w:t>
      </w:r>
      <w:r w:rsidR="00657514">
        <w:rPr>
          <w:rFonts w:eastAsia="Arial"/>
        </w:rPr>
        <w:t xml:space="preserve">helps </w:t>
      </w:r>
      <w:r w:rsidR="00F14C4A">
        <w:rPr>
          <w:rFonts w:eastAsia="Arial"/>
        </w:rPr>
        <w:t xml:space="preserve">to accelerate </w:t>
      </w:r>
      <w:r w:rsidR="00F14C4A" w:rsidRPr="00DA5FEA">
        <w:rPr>
          <w:rFonts w:eastAsia="Arial"/>
        </w:rPr>
        <w:t xml:space="preserve">necessary policy changes </w:t>
      </w:r>
      <w:r w:rsidR="00F14C4A">
        <w:rPr>
          <w:rFonts w:eastAsia="Arial"/>
        </w:rPr>
        <w:t>i</w:t>
      </w:r>
      <w:r w:rsidR="00F14C4A" w:rsidRPr="00DA5FEA">
        <w:rPr>
          <w:rFonts w:eastAsia="Arial"/>
        </w:rPr>
        <w:t>n appropriate</w:t>
      </w:r>
      <w:r w:rsidR="00F14C4A">
        <w:rPr>
          <w:rFonts w:eastAsia="Arial"/>
        </w:rPr>
        <w:t xml:space="preserve"> health promotion interventions</w:t>
      </w:r>
      <w:r w:rsidR="00023280">
        <w:rPr>
          <w:rFonts w:eastAsia="Arial"/>
        </w:rPr>
        <w:t>.</w:t>
      </w:r>
      <w:r w:rsidR="00F14C4A">
        <w:rPr>
          <w:rFonts w:eastAsia="Arial"/>
        </w:rPr>
        <w:t xml:space="preserve"> T</w:t>
      </w:r>
      <w:r w:rsidR="00F14C4A" w:rsidRPr="00DA5FEA">
        <w:rPr>
          <w:rFonts w:eastAsia="Arial"/>
        </w:rPr>
        <w:t xml:space="preserve">he </w:t>
      </w:r>
      <w:r w:rsidR="00F14C4A" w:rsidRPr="001C2A6F">
        <w:rPr>
          <w:rFonts w:eastAsia="Arial"/>
          <w:i/>
        </w:rPr>
        <w:t>National Preventive Health Research Strategy</w:t>
      </w:r>
      <w:r w:rsidR="008E4A1B">
        <w:rPr>
          <w:rFonts w:eastAsia="Arial"/>
        </w:rPr>
        <w:fldChar w:fldCharType="begin"/>
      </w:r>
      <w:r w:rsidR="005B3C51">
        <w:rPr>
          <w:rFonts w:eastAsia="Arial"/>
        </w:rPr>
        <w:instrText xml:space="preserve"> ADDIN EN.CITE &lt;EndNote&gt;&lt;Cite&gt;&lt;Author&gt;Australian National Preventive Health Agency&lt;/Author&gt;&lt;Year&gt;2013&lt;/Year&gt;&lt;RecNum&gt;1064&lt;/RecNum&gt;&lt;DisplayText&gt;&lt;style face="superscript"&gt;192&lt;/style&gt;&lt;/DisplayText&gt;&lt;record&gt;&lt;rec-number&gt;1064&lt;/rec-number&gt;&lt;foreign-keys&gt;&lt;key app="EN" db-id="zxa00wf2opvf9oeeset50xz7ezpfwre2v20z"&gt;1064&lt;/key&gt;&lt;/foreign-keys&gt;&lt;ref-type name="Report"&gt;27&lt;/ref-type&gt;&lt;contributors&gt;&lt;authors&gt;&lt;author&gt;Australian National Preventive Health Agency,&lt;/author&gt;&lt;/authors&gt;&lt;/contributors&gt;&lt;titles&gt;&lt;title&gt;National Preventive Health Research Strategy 2013-2018&lt;/title&gt;&lt;/titles&gt;&lt;dates&gt;&lt;year&gt;2013&lt;/year&gt;&lt;/dates&gt;&lt;pub-location&gt;Canberra&lt;/pub-location&gt;&lt;publisher&gt;Australian National Preventive Health Agency&lt;/publisher&gt;&lt;urls&gt;&lt;related-urls&gt;&lt;url&gt;http://www.saxinstitute.org.au/wp-content/uploads/ANPHA-Research-Strategy-2013-18.pdf&lt;/url&gt;&lt;/related-urls&gt;&lt;/urls&gt;&lt;/record&gt;&lt;/Cite&gt;&lt;/EndNote&gt;</w:instrText>
      </w:r>
      <w:r w:rsidR="008E4A1B">
        <w:rPr>
          <w:rFonts w:eastAsia="Arial"/>
        </w:rPr>
        <w:fldChar w:fldCharType="separate"/>
      </w:r>
      <w:r w:rsidR="005B3C51" w:rsidRPr="005B3C51">
        <w:rPr>
          <w:rFonts w:eastAsia="Arial"/>
          <w:noProof/>
          <w:vertAlign w:val="superscript"/>
        </w:rPr>
        <w:t>192</w:t>
      </w:r>
      <w:r w:rsidR="008E4A1B">
        <w:rPr>
          <w:rFonts w:eastAsia="Arial"/>
        </w:rPr>
        <w:fldChar w:fldCharType="end"/>
      </w:r>
      <w:r w:rsidR="00557022" w:rsidRPr="00507E83">
        <w:rPr>
          <w:rFonts w:eastAsia="Arial"/>
        </w:rPr>
        <w:fldChar w:fldCharType="begin"/>
      </w:r>
      <w:r w:rsidR="00557022" w:rsidRPr="00507E83">
        <w:rPr>
          <w:rFonts w:eastAsia="Arial"/>
        </w:rPr>
        <w:fldChar w:fldCharType="separate"/>
      </w:r>
      <w:r w:rsidR="00557022" w:rsidRPr="00507E83">
        <w:rPr>
          <w:rFonts w:eastAsia="Arial"/>
        </w:rPr>
        <w:t>{Australian National Preventive Health Agency, 2013 #1064}</w:t>
      </w:r>
      <w:r w:rsidR="00557022" w:rsidRPr="00507E83">
        <w:rPr>
          <w:rFonts w:eastAsia="Arial"/>
        </w:rPr>
        <w:fldChar w:fldCharType="end"/>
      </w:r>
      <w:r w:rsidR="000F3788" w:rsidRPr="00507E83">
        <w:rPr>
          <w:rFonts w:eastAsia="Arial"/>
        </w:rPr>
        <w:t xml:space="preserve"> </w:t>
      </w:r>
      <w:r w:rsidR="00F14C4A" w:rsidRPr="001C2A6F">
        <w:rPr>
          <w:rFonts w:eastAsia="Arial"/>
        </w:rPr>
        <w:t xml:space="preserve">provides a </w:t>
      </w:r>
      <w:r w:rsidR="00F14C4A">
        <w:rPr>
          <w:rFonts w:eastAsia="Arial"/>
        </w:rPr>
        <w:t xml:space="preserve">useful </w:t>
      </w:r>
      <w:r w:rsidR="00EB2B4B">
        <w:rPr>
          <w:rFonts w:eastAsia="Arial"/>
        </w:rPr>
        <w:t xml:space="preserve">guide to </w:t>
      </w:r>
      <w:r w:rsidR="006D1D2B">
        <w:rPr>
          <w:rFonts w:eastAsia="Arial"/>
        </w:rPr>
        <w:t xml:space="preserve">researchers on how to direct their research so that their work can make a practical </w:t>
      </w:r>
      <w:r w:rsidR="00EB2B4B">
        <w:rPr>
          <w:rFonts w:eastAsia="Arial"/>
        </w:rPr>
        <w:t>contribut</w:t>
      </w:r>
      <w:r w:rsidR="006D1D2B">
        <w:rPr>
          <w:rFonts w:eastAsia="Arial"/>
        </w:rPr>
        <w:t>ion</w:t>
      </w:r>
      <w:r w:rsidR="00EB2B4B">
        <w:rPr>
          <w:rFonts w:eastAsia="Arial"/>
        </w:rPr>
        <w:t xml:space="preserve"> to the evidence base </w:t>
      </w:r>
      <w:r w:rsidR="006D1D2B">
        <w:rPr>
          <w:rFonts w:eastAsia="Arial"/>
        </w:rPr>
        <w:t>for</w:t>
      </w:r>
      <w:r w:rsidR="00EB2B4B">
        <w:rPr>
          <w:rFonts w:eastAsia="Arial"/>
        </w:rPr>
        <w:t xml:space="preserve"> tobacco control, obesity prevention and prevention of alcohol-related harm.</w:t>
      </w:r>
    </w:p>
    <w:p w:rsidR="00657514" w:rsidRDefault="00657514" w:rsidP="00F14C4A">
      <w:pPr>
        <w:rPr>
          <w:rFonts w:eastAsia="Arial"/>
        </w:rPr>
      </w:pPr>
    </w:p>
    <w:p w:rsidR="00973760" w:rsidRDefault="00973760" w:rsidP="00973760">
      <w:pPr>
        <w:rPr>
          <w:rFonts w:eastAsia="Arial"/>
        </w:rPr>
      </w:pPr>
    </w:p>
    <w:p w:rsidR="00C558F3" w:rsidRPr="00413AC0" w:rsidRDefault="00C558F3" w:rsidP="00413AC0">
      <w:pPr>
        <w:pStyle w:val="Heading2"/>
      </w:pPr>
      <w:bookmarkStart w:id="65" w:name="_Toc462049346"/>
      <w:r w:rsidRPr="00413AC0">
        <w:t>5.</w:t>
      </w:r>
      <w:r w:rsidR="00D72615" w:rsidRPr="00413AC0">
        <w:t>4</w:t>
      </w:r>
      <w:r w:rsidRPr="00413AC0">
        <w:t xml:space="preserve">  </w:t>
      </w:r>
      <w:r w:rsidR="0033543B" w:rsidRPr="00413AC0">
        <w:t>Documenting</w:t>
      </w:r>
      <w:r w:rsidRPr="00413AC0">
        <w:t xml:space="preserve"> a more complete picture of progress</w:t>
      </w:r>
      <w:bookmarkEnd w:id="65"/>
    </w:p>
    <w:p w:rsidR="00C558F3" w:rsidRDefault="00C558F3" w:rsidP="00C558F3">
      <w:pPr>
        <w:rPr>
          <w:rFonts w:eastAsia="Arial"/>
          <w:color w:val="000000"/>
        </w:rPr>
      </w:pPr>
    </w:p>
    <w:p w:rsidR="00C558F3" w:rsidRDefault="00C558F3" w:rsidP="00C558F3">
      <w:pPr>
        <w:rPr>
          <w:rFonts w:eastAsia="Arial"/>
          <w:color w:val="000000"/>
        </w:rPr>
      </w:pPr>
      <w:r w:rsidRPr="00E677CA">
        <w:rPr>
          <w:rFonts w:eastAsia="Arial"/>
          <w:color w:val="000000"/>
        </w:rPr>
        <w:t>Monitoring progress</w:t>
      </w:r>
      <w:r>
        <w:rPr>
          <w:rFonts w:eastAsia="Arial"/>
          <w:color w:val="000000"/>
        </w:rPr>
        <w:t xml:space="preserve"> </w:t>
      </w:r>
      <w:r w:rsidRPr="00E677CA">
        <w:rPr>
          <w:rFonts w:eastAsia="Arial"/>
          <w:color w:val="000000"/>
        </w:rPr>
        <w:t xml:space="preserve">in </w:t>
      </w:r>
      <w:r>
        <w:rPr>
          <w:rFonts w:eastAsia="Arial"/>
          <w:color w:val="000000"/>
        </w:rPr>
        <w:t>chronic disease and injury prevention</w:t>
      </w:r>
      <w:r w:rsidRPr="00E677CA">
        <w:rPr>
          <w:rFonts w:eastAsia="Arial"/>
          <w:color w:val="000000"/>
        </w:rPr>
        <w:t xml:space="preserve"> </w:t>
      </w:r>
      <w:r>
        <w:rPr>
          <w:rFonts w:eastAsia="Arial"/>
          <w:color w:val="000000"/>
        </w:rPr>
        <w:t xml:space="preserve">is a complex task. The most widely-used measures of progress typically focus on trends in </w:t>
      </w:r>
      <w:r w:rsidRPr="001C2A6F">
        <w:rPr>
          <w:rFonts w:eastAsia="Arial"/>
          <w:color w:val="000000"/>
          <w:lang w:val="en-AU"/>
        </w:rPr>
        <w:t>behavioural</w:t>
      </w:r>
      <w:r>
        <w:rPr>
          <w:rFonts w:eastAsia="Arial"/>
          <w:color w:val="000000"/>
        </w:rPr>
        <w:t xml:space="preserve"> risk factors and health outcomes. While these indicators are important, they do not provide the whole picture. There is often considerable delay between health promotion activity and changes in behaviour or improvements in disease and injury outcomes. Consequently, progress in health promotion is typically only realised over the longer term and we are often left with an incomplete picture of progress in the interim.</w:t>
      </w:r>
    </w:p>
    <w:p w:rsidR="00C558F3" w:rsidRDefault="00C558F3" w:rsidP="00C558F3">
      <w:pPr>
        <w:rPr>
          <w:rFonts w:eastAsia="Arial"/>
          <w:color w:val="000000"/>
        </w:rPr>
      </w:pPr>
    </w:p>
    <w:p w:rsidR="00C558F3" w:rsidRDefault="00C558F3" w:rsidP="00C558F3">
      <w:pPr>
        <w:rPr>
          <w:rFonts w:eastAsia="Arial"/>
          <w:color w:val="000000"/>
        </w:rPr>
      </w:pPr>
      <w:r>
        <w:rPr>
          <w:rFonts w:eastAsia="Arial"/>
          <w:color w:val="000000"/>
        </w:rPr>
        <w:t xml:space="preserve">Mapping progress in chronic disease and injury prevention in WA requires a more complete approach </w:t>
      </w:r>
      <w:r w:rsidRPr="001C2A6F">
        <w:rPr>
          <w:rFonts w:eastAsia="Arial"/>
        </w:rPr>
        <w:t xml:space="preserve">that </w:t>
      </w:r>
      <w:r>
        <w:rPr>
          <w:rFonts w:eastAsia="Arial"/>
        </w:rPr>
        <w:t xml:space="preserve">also </w:t>
      </w:r>
      <w:r w:rsidRPr="001C2A6F">
        <w:rPr>
          <w:rFonts w:eastAsia="Arial"/>
        </w:rPr>
        <w:t xml:space="preserve">captures </w:t>
      </w:r>
      <w:r>
        <w:rPr>
          <w:rFonts w:eastAsia="Arial"/>
        </w:rPr>
        <w:t xml:space="preserve">the vast array of </w:t>
      </w:r>
      <w:r w:rsidRPr="001C2A6F">
        <w:rPr>
          <w:rFonts w:eastAsia="Arial"/>
        </w:rPr>
        <w:t>activit</w:t>
      </w:r>
      <w:r>
        <w:rPr>
          <w:rFonts w:eastAsia="Arial"/>
        </w:rPr>
        <w:t>ies</w:t>
      </w:r>
      <w:r w:rsidRPr="001C2A6F">
        <w:rPr>
          <w:rFonts w:eastAsia="Arial"/>
        </w:rPr>
        <w:t xml:space="preserve"> that precede</w:t>
      </w:r>
      <w:r>
        <w:rPr>
          <w:rFonts w:eastAsia="Arial"/>
        </w:rPr>
        <w:t xml:space="preserve"> and may precipitate</w:t>
      </w:r>
      <w:r w:rsidRPr="001C2A6F">
        <w:rPr>
          <w:rFonts w:eastAsia="Arial"/>
        </w:rPr>
        <w:t xml:space="preserve"> changes in health behaviour</w:t>
      </w:r>
      <w:r>
        <w:rPr>
          <w:rFonts w:eastAsia="Arial"/>
        </w:rPr>
        <w:t>s</w:t>
      </w:r>
      <w:r w:rsidR="0005244E">
        <w:rPr>
          <w:rFonts w:eastAsia="Arial"/>
        </w:rPr>
        <w:t>,</w:t>
      </w:r>
      <w:r w:rsidRPr="001C2A6F">
        <w:rPr>
          <w:rFonts w:eastAsia="Arial"/>
        </w:rPr>
        <w:t xml:space="preserve"> and </w:t>
      </w:r>
      <w:r>
        <w:rPr>
          <w:rFonts w:eastAsia="Arial"/>
        </w:rPr>
        <w:t xml:space="preserve">ultimately </w:t>
      </w:r>
      <w:r w:rsidRPr="001C2A6F">
        <w:rPr>
          <w:rFonts w:eastAsia="Arial"/>
        </w:rPr>
        <w:t>health outcomes</w:t>
      </w:r>
      <w:r>
        <w:rPr>
          <w:rFonts w:eastAsia="Arial"/>
        </w:rPr>
        <w:t xml:space="preserve">. Factors </w:t>
      </w:r>
      <w:r w:rsidR="00E434B0">
        <w:rPr>
          <w:rFonts w:eastAsia="Arial"/>
        </w:rPr>
        <w:t>that</w:t>
      </w:r>
      <w:r>
        <w:rPr>
          <w:rFonts w:eastAsia="Arial"/>
        </w:rPr>
        <w:t xml:space="preserve"> could be considered include:</w:t>
      </w:r>
    </w:p>
    <w:p w:rsidR="00C558F3" w:rsidRDefault="00C558F3" w:rsidP="00C558F3">
      <w:pPr>
        <w:rPr>
          <w:rFonts w:eastAsia="Arial"/>
          <w:color w:val="000000"/>
        </w:rPr>
      </w:pPr>
    </w:p>
    <w:p w:rsidR="00C558F3" w:rsidRDefault="00C558F3" w:rsidP="001D5171">
      <w:pPr>
        <w:pStyle w:val="ListParagraph"/>
        <w:numPr>
          <w:ilvl w:val="0"/>
          <w:numId w:val="22"/>
        </w:numPr>
        <w:ind w:left="567" w:hanging="567"/>
        <w:rPr>
          <w:rFonts w:eastAsia="Arial"/>
        </w:rPr>
      </w:pPr>
      <w:r>
        <w:rPr>
          <w:rFonts w:eastAsia="Arial"/>
        </w:rPr>
        <w:t>changes to</w:t>
      </w:r>
      <w:r w:rsidR="00E62A22">
        <w:rPr>
          <w:rFonts w:eastAsia="Arial"/>
        </w:rPr>
        <w:t>,</w:t>
      </w:r>
      <w:r>
        <w:rPr>
          <w:rFonts w:eastAsia="Arial"/>
        </w:rPr>
        <w:t xml:space="preserve"> and compliance with relevant policy and legislation</w:t>
      </w:r>
    </w:p>
    <w:p w:rsidR="00905998" w:rsidRPr="001C2A6F" w:rsidRDefault="00905998" w:rsidP="001D5171">
      <w:pPr>
        <w:pStyle w:val="ListParagraph"/>
        <w:numPr>
          <w:ilvl w:val="0"/>
          <w:numId w:val="22"/>
        </w:numPr>
        <w:ind w:left="567" w:hanging="567"/>
        <w:rPr>
          <w:rFonts w:eastAsia="Arial"/>
        </w:rPr>
      </w:pPr>
      <w:r>
        <w:rPr>
          <w:rFonts w:eastAsia="Arial"/>
        </w:rPr>
        <w:t xml:space="preserve">the </w:t>
      </w:r>
      <w:r w:rsidR="00942A73">
        <w:rPr>
          <w:rFonts w:eastAsia="Arial"/>
        </w:rPr>
        <w:t xml:space="preserve">broader </w:t>
      </w:r>
      <w:r>
        <w:rPr>
          <w:rFonts w:eastAsia="Arial"/>
        </w:rPr>
        <w:t xml:space="preserve">adoption of healthy policies across </w:t>
      </w:r>
      <w:r w:rsidR="007E3C43">
        <w:rPr>
          <w:rFonts w:eastAsia="Arial"/>
        </w:rPr>
        <w:t>Government</w:t>
      </w:r>
      <w:r w:rsidR="00942A73">
        <w:rPr>
          <w:rFonts w:eastAsia="Arial"/>
        </w:rPr>
        <w:t xml:space="preserve"> and other sectors</w:t>
      </w:r>
    </w:p>
    <w:p w:rsidR="00C558F3" w:rsidRPr="001C2A6F" w:rsidRDefault="00C558F3" w:rsidP="001D5171">
      <w:pPr>
        <w:pStyle w:val="ListParagraph"/>
        <w:numPr>
          <w:ilvl w:val="0"/>
          <w:numId w:val="22"/>
        </w:numPr>
        <w:ind w:left="567" w:hanging="567"/>
        <w:rPr>
          <w:rFonts w:eastAsia="Arial"/>
        </w:rPr>
      </w:pPr>
      <w:r>
        <w:rPr>
          <w:rFonts w:eastAsia="Arial"/>
        </w:rPr>
        <w:t>c</w:t>
      </w:r>
      <w:r w:rsidRPr="001C2A6F">
        <w:rPr>
          <w:rFonts w:eastAsia="Arial"/>
        </w:rPr>
        <w:t>hanges to the environment</w:t>
      </w:r>
      <w:r w:rsidR="00B536D4">
        <w:rPr>
          <w:rFonts w:eastAsia="Arial"/>
        </w:rPr>
        <w:t xml:space="preserve"> (built; natural; food and so forth)</w:t>
      </w:r>
      <w:r w:rsidR="00181A10">
        <w:rPr>
          <w:rFonts w:eastAsia="Arial"/>
        </w:rPr>
        <w:t xml:space="preserve"> </w:t>
      </w:r>
    </w:p>
    <w:p w:rsidR="00C558F3" w:rsidRPr="00F4099E" w:rsidRDefault="00C558F3" w:rsidP="001D5171">
      <w:pPr>
        <w:pStyle w:val="ListParagraph"/>
        <w:numPr>
          <w:ilvl w:val="0"/>
          <w:numId w:val="22"/>
        </w:numPr>
        <w:ind w:left="567" w:hanging="567"/>
        <w:rPr>
          <w:rFonts w:eastAsia="Arial"/>
        </w:rPr>
      </w:pPr>
      <w:r>
        <w:rPr>
          <w:rFonts w:eastAsia="Arial"/>
        </w:rPr>
        <w:t>p</w:t>
      </w:r>
      <w:r w:rsidRPr="001C2A6F">
        <w:rPr>
          <w:rFonts w:eastAsia="Arial"/>
        </w:rPr>
        <w:t>ublic knowledge, attitudes and beliefs</w:t>
      </w:r>
      <w:r w:rsidR="00B536D4">
        <w:rPr>
          <w:rFonts w:eastAsia="Arial"/>
        </w:rPr>
        <w:t xml:space="preserve">, and motivation to change </w:t>
      </w:r>
      <w:r w:rsidRPr="001C2A6F">
        <w:rPr>
          <w:rFonts w:eastAsia="Arial"/>
        </w:rPr>
        <w:t xml:space="preserve">health </w:t>
      </w:r>
      <w:r w:rsidRPr="00F4099E">
        <w:rPr>
          <w:rFonts w:eastAsia="Arial"/>
        </w:rPr>
        <w:t>behaviours</w:t>
      </w:r>
    </w:p>
    <w:p w:rsidR="00C558F3" w:rsidRPr="00F4099E" w:rsidRDefault="00C558F3" w:rsidP="001D5171">
      <w:pPr>
        <w:pStyle w:val="ListParagraph"/>
        <w:numPr>
          <w:ilvl w:val="0"/>
          <w:numId w:val="22"/>
        </w:numPr>
        <w:ind w:left="567" w:hanging="567"/>
        <w:rPr>
          <w:rFonts w:eastAsia="Arial"/>
        </w:rPr>
      </w:pPr>
      <w:r w:rsidRPr="00F4099E">
        <w:rPr>
          <w:rFonts w:eastAsia="Arial"/>
        </w:rPr>
        <w:t>reach</w:t>
      </w:r>
      <w:r w:rsidR="00A94A1A" w:rsidRPr="00F4099E">
        <w:rPr>
          <w:rFonts w:eastAsia="Arial"/>
        </w:rPr>
        <w:t xml:space="preserve"> (</w:t>
      </w:r>
      <w:r w:rsidR="00F4099E" w:rsidRPr="00F4099E">
        <w:rPr>
          <w:rFonts w:eastAsia="Arial"/>
        </w:rPr>
        <w:t>throughout</w:t>
      </w:r>
      <w:r w:rsidR="003A13B2" w:rsidRPr="00F4099E">
        <w:rPr>
          <w:rFonts w:eastAsia="Arial"/>
        </w:rPr>
        <w:t xml:space="preserve"> population</w:t>
      </w:r>
      <w:r w:rsidR="00F4099E" w:rsidRPr="00F4099E">
        <w:rPr>
          <w:rFonts w:eastAsia="Arial"/>
        </w:rPr>
        <w:t>/s</w:t>
      </w:r>
      <w:r w:rsidR="003A13B2" w:rsidRPr="00F4099E">
        <w:rPr>
          <w:rFonts w:eastAsia="Arial"/>
        </w:rPr>
        <w:t xml:space="preserve"> and geograph</w:t>
      </w:r>
      <w:r w:rsidR="00F4099E" w:rsidRPr="00F4099E">
        <w:rPr>
          <w:rFonts w:eastAsia="Arial"/>
        </w:rPr>
        <w:t>ically</w:t>
      </w:r>
      <w:r w:rsidR="003A13B2" w:rsidRPr="00F4099E">
        <w:rPr>
          <w:rFonts w:eastAsia="Arial"/>
        </w:rPr>
        <w:t>)</w:t>
      </w:r>
      <w:r w:rsidR="00D23698" w:rsidRPr="00F4099E">
        <w:rPr>
          <w:rFonts w:eastAsia="Arial"/>
        </w:rPr>
        <w:t>, appropriateness</w:t>
      </w:r>
      <w:r w:rsidRPr="00F4099E">
        <w:rPr>
          <w:rFonts w:eastAsia="Arial"/>
        </w:rPr>
        <w:t xml:space="preserve"> and effectiveness of preventive health programs</w:t>
      </w:r>
      <w:r w:rsidR="00D23698" w:rsidRPr="00F4099E">
        <w:rPr>
          <w:rFonts w:eastAsia="Arial"/>
        </w:rPr>
        <w:t xml:space="preserve"> and interventions</w:t>
      </w:r>
    </w:p>
    <w:p w:rsidR="00C558F3" w:rsidRDefault="00C558F3" w:rsidP="001D5171">
      <w:pPr>
        <w:pStyle w:val="ListParagraph"/>
        <w:numPr>
          <w:ilvl w:val="0"/>
          <w:numId w:val="22"/>
        </w:numPr>
        <w:ind w:left="567" w:hanging="567"/>
        <w:rPr>
          <w:rFonts w:eastAsia="Arial"/>
        </w:rPr>
      </w:pPr>
      <w:r>
        <w:rPr>
          <w:rFonts w:eastAsia="Arial"/>
        </w:rPr>
        <w:t xml:space="preserve">development of professional networks between </w:t>
      </w:r>
      <w:r w:rsidR="000C1427">
        <w:rPr>
          <w:rFonts w:eastAsia="Arial"/>
        </w:rPr>
        <w:t xml:space="preserve">relevant </w:t>
      </w:r>
      <w:r>
        <w:rPr>
          <w:rFonts w:eastAsia="Arial"/>
        </w:rPr>
        <w:t>stakeholders</w:t>
      </w:r>
    </w:p>
    <w:p w:rsidR="00A94A1A" w:rsidRPr="00A94A1A" w:rsidRDefault="00C558F3" w:rsidP="001D5171">
      <w:pPr>
        <w:pStyle w:val="ListParagraph"/>
        <w:numPr>
          <w:ilvl w:val="0"/>
          <w:numId w:val="22"/>
        </w:numPr>
        <w:ind w:left="567" w:hanging="567"/>
        <w:rPr>
          <w:rFonts w:eastAsia="Arial"/>
        </w:rPr>
      </w:pPr>
      <w:r>
        <w:rPr>
          <w:rFonts w:eastAsia="Arial"/>
        </w:rPr>
        <w:t>efforts</w:t>
      </w:r>
      <w:r w:rsidR="000C1427">
        <w:rPr>
          <w:rFonts w:eastAsia="Arial"/>
        </w:rPr>
        <w:t xml:space="preserve"> and outcomes in capacity-building</w:t>
      </w:r>
      <w:r w:rsidR="005B04FA">
        <w:rPr>
          <w:rFonts w:eastAsia="Arial"/>
        </w:rPr>
        <w:t xml:space="preserve"> in </w:t>
      </w:r>
      <w:r w:rsidR="005B04FA" w:rsidRPr="00E636E2">
        <w:rPr>
          <w:rFonts w:eastAsia="Arial"/>
        </w:rPr>
        <w:t xml:space="preserve">the </w:t>
      </w:r>
      <w:r w:rsidR="00E636E2">
        <w:rPr>
          <w:rFonts w:eastAsia="Arial"/>
        </w:rPr>
        <w:t xml:space="preserve">health </w:t>
      </w:r>
      <w:r w:rsidR="005B04FA" w:rsidRPr="00E636E2">
        <w:rPr>
          <w:rFonts w:eastAsia="Arial"/>
        </w:rPr>
        <w:t>and other</w:t>
      </w:r>
      <w:r w:rsidR="00E636E2">
        <w:rPr>
          <w:rFonts w:eastAsia="Arial"/>
        </w:rPr>
        <w:t xml:space="preserve"> </w:t>
      </w:r>
      <w:r w:rsidR="005B04FA">
        <w:rPr>
          <w:rFonts w:eastAsia="Arial"/>
        </w:rPr>
        <w:t>workforces</w:t>
      </w:r>
      <w:r w:rsidR="00E636E2">
        <w:rPr>
          <w:rFonts w:eastAsia="Arial"/>
        </w:rPr>
        <w:t xml:space="preserve"> as appropriate</w:t>
      </w:r>
      <w:r w:rsidR="005B04FA">
        <w:rPr>
          <w:rFonts w:eastAsia="Arial"/>
        </w:rPr>
        <w:t xml:space="preserve"> to support healthy behaviours</w:t>
      </w:r>
    </w:p>
    <w:p w:rsidR="00C558F3" w:rsidRPr="001C2A6F" w:rsidRDefault="00C558F3" w:rsidP="00C558F3"/>
    <w:p w:rsidR="00C558F3" w:rsidRDefault="00C558F3" w:rsidP="00C558F3">
      <w:pPr>
        <w:rPr>
          <w:rFonts w:eastAsia="Arial"/>
        </w:rPr>
      </w:pPr>
      <w:r>
        <w:rPr>
          <w:rFonts w:eastAsia="Arial"/>
        </w:rPr>
        <w:t xml:space="preserve">Developing a narrative describing what has been achieved in chronic disease and injury prevention, taking into account changes in the broader public health field will be a </w:t>
      </w:r>
      <w:r w:rsidRPr="001C2A6F">
        <w:rPr>
          <w:rFonts w:eastAsia="Arial"/>
        </w:rPr>
        <w:t xml:space="preserve">priority </w:t>
      </w:r>
      <w:r w:rsidR="002635DF">
        <w:rPr>
          <w:rFonts w:eastAsia="Arial"/>
        </w:rPr>
        <w:t xml:space="preserve">for the </w:t>
      </w:r>
      <w:r w:rsidR="00E47F11">
        <w:rPr>
          <w:rFonts w:eastAsia="Arial"/>
        </w:rPr>
        <w:t xml:space="preserve">WA </w:t>
      </w:r>
      <w:r w:rsidR="002635DF">
        <w:rPr>
          <w:rFonts w:eastAsia="Arial"/>
        </w:rPr>
        <w:t>Department of Health</w:t>
      </w:r>
      <w:r w:rsidR="00E47F11">
        <w:rPr>
          <w:rFonts w:eastAsia="Arial"/>
        </w:rPr>
        <w:t xml:space="preserve"> </w:t>
      </w:r>
      <w:r w:rsidRPr="001C2A6F">
        <w:rPr>
          <w:rFonts w:eastAsia="Arial"/>
        </w:rPr>
        <w:t>during the life of this Framework.</w:t>
      </w:r>
    </w:p>
    <w:p w:rsidR="00C558F3" w:rsidRPr="00F17955" w:rsidRDefault="00C558F3" w:rsidP="00C558F3">
      <w:pPr>
        <w:rPr>
          <w:rFonts w:eastAsia="Arial"/>
        </w:rPr>
      </w:pPr>
    </w:p>
    <w:p w:rsidR="0020731D" w:rsidRDefault="00F17955" w:rsidP="002F0E10">
      <w:pPr>
        <w:rPr>
          <w:rFonts w:eastAsia="Arial"/>
        </w:rPr>
      </w:pPr>
      <w:r w:rsidRPr="004F3A43">
        <w:rPr>
          <w:rFonts w:eastAsia="Arial"/>
        </w:rPr>
        <w:t>In parallel, the Department</w:t>
      </w:r>
      <w:r w:rsidR="004F3A43">
        <w:rPr>
          <w:rFonts w:eastAsia="Arial"/>
        </w:rPr>
        <w:t xml:space="preserve"> </w:t>
      </w:r>
      <w:r w:rsidRPr="004F3A43">
        <w:rPr>
          <w:rFonts w:eastAsia="Arial"/>
        </w:rPr>
        <w:t xml:space="preserve">will </w:t>
      </w:r>
      <w:r w:rsidR="00830BA3" w:rsidRPr="004F3A43">
        <w:rPr>
          <w:rFonts w:eastAsia="Arial"/>
        </w:rPr>
        <w:t>monitor various lifestyle and behavioural risk factors, biomedical states and injury events, and morbidity and mortality outcomes relating to chronic disease and injury</w:t>
      </w:r>
      <w:r w:rsidR="007409A5" w:rsidRPr="004F3A43">
        <w:rPr>
          <w:rFonts w:eastAsia="Arial"/>
        </w:rPr>
        <w:t xml:space="preserve">, using State and national data collections. </w:t>
      </w:r>
      <w:r w:rsidR="002F0E10" w:rsidRPr="004F3A43">
        <w:rPr>
          <w:rFonts w:eastAsia="Arial"/>
        </w:rPr>
        <w:t>An early example of th</w:t>
      </w:r>
      <w:r w:rsidR="00B17A72" w:rsidRPr="004F3A43">
        <w:rPr>
          <w:rFonts w:eastAsia="Arial"/>
        </w:rPr>
        <w:t>is evolving</w:t>
      </w:r>
      <w:r w:rsidR="002F0E10" w:rsidRPr="004F3A43">
        <w:rPr>
          <w:rFonts w:eastAsia="Arial"/>
        </w:rPr>
        <w:t xml:space="preserve"> data set is provided </w:t>
      </w:r>
      <w:r w:rsidR="00267AE6">
        <w:rPr>
          <w:rFonts w:eastAsia="Arial"/>
        </w:rPr>
        <w:t xml:space="preserve">in </w:t>
      </w:r>
      <w:r w:rsidR="002F0E10" w:rsidRPr="00830BA3">
        <w:rPr>
          <w:rFonts w:eastAsia="Arial"/>
        </w:rPr>
        <w:t>Appendix 2.</w:t>
      </w:r>
    </w:p>
    <w:p w:rsidR="0020731D" w:rsidRDefault="0020731D">
      <w:pPr>
        <w:widowControl/>
        <w:spacing w:after="200" w:line="276" w:lineRule="auto"/>
        <w:rPr>
          <w:rFonts w:eastAsia="Arial"/>
        </w:rPr>
      </w:pPr>
      <w:r>
        <w:rPr>
          <w:rFonts w:eastAsia="Arial"/>
        </w:rPr>
        <w:br w:type="page"/>
      </w:r>
    </w:p>
    <w:p w:rsidR="00213A32" w:rsidRDefault="00213A32" w:rsidP="002413BE">
      <w:pPr>
        <w:pStyle w:val="Heading1"/>
      </w:pPr>
      <w:bookmarkStart w:id="66" w:name="_Toc462049347"/>
      <w:r>
        <w:lastRenderedPageBreak/>
        <w:t xml:space="preserve">Appendix </w:t>
      </w:r>
      <w:r w:rsidR="00FC6229">
        <w:t>1</w:t>
      </w:r>
      <w:r w:rsidR="00892D48">
        <w:t xml:space="preserve">: </w:t>
      </w:r>
      <w:r>
        <w:t xml:space="preserve">State, </w:t>
      </w:r>
      <w:r w:rsidR="0009191F">
        <w:t>C</w:t>
      </w:r>
      <w:r w:rsidR="002413BE">
        <w:t>ommonwealth and international frameworks and policies</w:t>
      </w:r>
      <w:bookmarkEnd w:id="66"/>
      <w:r>
        <w:t xml:space="preserve"> </w:t>
      </w:r>
    </w:p>
    <w:p w:rsidR="000116B8" w:rsidRDefault="000116B8" w:rsidP="0009191F">
      <w:pPr>
        <w:ind w:right="-20"/>
        <w:rPr>
          <w:rFonts w:eastAsia="Arial"/>
          <w:b/>
          <w:bCs/>
          <w:color w:val="6D6E71"/>
          <w:sz w:val="30"/>
          <w:szCs w:val="30"/>
        </w:rPr>
      </w:pPr>
    </w:p>
    <w:p w:rsidR="007C7BCA" w:rsidRDefault="007C7BCA" w:rsidP="007C7BCA">
      <w:pPr>
        <w:ind w:right="-20"/>
        <w:rPr>
          <w:rFonts w:eastAsia="Arial"/>
          <w:sz w:val="30"/>
          <w:szCs w:val="30"/>
        </w:rPr>
      </w:pPr>
      <w:r>
        <w:rPr>
          <w:rFonts w:eastAsia="Arial"/>
          <w:b/>
          <w:bCs/>
          <w:color w:val="6D6E71"/>
          <w:sz w:val="30"/>
          <w:szCs w:val="30"/>
        </w:rPr>
        <w:t>General</w:t>
      </w:r>
    </w:p>
    <w:p w:rsidR="007C7BCA" w:rsidRPr="00525D18" w:rsidRDefault="007C7BCA" w:rsidP="007C7BCA">
      <w:pPr>
        <w:ind w:right="-20"/>
      </w:pPr>
    </w:p>
    <w:p w:rsidR="007C7BCA" w:rsidRPr="00CB44CA" w:rsidRDefault="007C7BCA" w:rsidP="007C7BCA">
      <w:pPr>
        <w:ind w:right="-20"/>
        <w:rPr>
          <w:rFonts w:eastAsia="Arial"/>
          <w:color w:val="808080" w:themeColor="background1" w:themeShade="80"/>
          <w:sz w:val="26"/>
          <w:szCs w:val="26"/>
        </w:rPr>
      </w:pPr>
      <w:r w:rsidRPr="00CB44CA">
        <w:rPr>
          <w:rFonts w:eastAsia="Arial"/>
          <w:b/>
          <w:bCs/>
          <w:color w:val="808080" w:themeColor="background1" w:themeShade="80"/>
          <w:sz w:val="26"/>
          <w:szCs w:val="26"/>
        </w:rPr>
        <w:t>State</w:t>
      </w:r>
    </w:p>
    <w:p w:rsidR="007C7BCA" w:rsidRDefault="007C7BCA" w:rsidP="007C7BCA">
      <w:pPr>
        <w:ind w:right="-20"/>
        <w:rPr>
          <w:rFonts w:eastAsia="Arial"/>
          <w:spacing w:val="-9"/>
        </w:rPr>
      </w:pPr>
    </w:p>
    <w:p w:rsidR="007C7BCA" w:rsidRPr="00DE3A59" w:rsidRDefault="007C7BCA" w:rsidP="007C7BCA">
      <w:pPr>
        <w:ind w:left="284" w:right="-20"/>
        <w:rPr>
          <w:rFonts w:eastAsia="Arial"/>
        </w:rPr>
      </w:pPr>
      <w:r w:rsidRPr="00DE3A59">
        <w:rPr>
          <w:rFonts w:eastAsia="Arial"/>
          <w:spacing w:val="-9"/>
        </w:rPr>
        <w:t>W</w:t>
      </w:r>
      <w:r w:rsidRPr="00DE3A59">
        <w:rPr>
          <w:rFonts w:eastAsia="Arial"/>
        </w:rPr>
        <w:t>A</w:t>
      </w:r>
      <w:r w:rsidRPr="00DE3A59">
        <w:rPr>
          <w:rFonts w:eastAsia="Arial"/>
          <w:spacing w:val="-13"/>
        </w:rPr>
        <w:t xml:space="preserve"> </w:t>
      </w:r>
      <w:r w:rsidRPr="00DE3A59">
        <w:rPr>
          <w:rFonts w:eastAsia="Arial"/>
        </w:rPr>
        <w:t>Health Strategic Intent 2015–2020</w:t>
      </w:r>
    </w:p>
    <w:p w:rsidR="007C7BCA" w:rsidRPr="00F74F71" w:rsidRDefault="00C71FCC" w:rsidP="007C7BCA">
      <w:pPr>
        <w:ind w:left="284" w:right="-20"/>
        <w:rPr>
          <w:rFonts w:eastAsia="Arial"/>
          <w:color w:val="004B8D"/>
        </w:rPr>
      </w:pPr>
      <w:hyperlink r:id="rId26" w:history="1">
        <w:r w:rsidR="007C7BCA" w:rsidRPr="00F74F71">
          <w:rPr>
            <w:rFonts w:eastAsia="Arial"/>
            <w:color w:val="004B8D"/>
          </w:rPr>
          <w:t>http://ww2.health.wa.gov.au/Reports-and-publications/WA-Health-Strategic-Intent-2015-2020</w:t>
        </w:r>
      </w:hyperlink>
    </w:p>
    <w:p w:rsidR="007C7BCA" w:rsidRPr="00525D18" w:rsidRDefault="007C7BCA" w:rsidP="007C7BCA">
      <w:pPr>
        <w:ind w:right="-20"/>
        <w:rPr>
          <w:rFonts w:eastAsia="Arial"/>
          <w:spacing w:val="-9"/>
        </w:rPr>
      </w:pPr>
    </w:p>
    <w:p w:rsidR="007C7BCA" w:rsidRPr="00DE3A59" w:rsidRDefault="007C7BCA" w:rsidP="007C7BCA">
      <w:pPr>
        <w:ind w:left="284" w:right="-20"/>
        <w:rPr>
          <w:rFonts w:eastAsia="Arial"/>
        </w:rPr>
      </w:pPr>
      <w:r w:rsidRPr="00DE3A59">
        <w:rPr>
          <w:rFonts w:eastAsia="Arial"/>
        </w:rPr>
        <w:t>WA Aboriginal Health and Wellbeing Framework 2015</w:t>
      </w:r>
      <w:r w:rsidR="00127233">
        <w:rPr>
          <w:rFonts w:eastAsia="Arial"/>
        </w:rPr>
        <w:t>–</w:t>
      </w:r>
      <w:r w:rsidRPr="00DE3A59">
        <w:rPr>
          <w:rFonts w:eastAsia="Arial"/>
        </w:rPr>
        <w:t>2030</w:t>
      </w:r>
    </w:p>
    <w:p w:rsidR="007C7BCA" w:rsidRPr="00523697" w:rsidRDefault="00C71FCC" w:rsidP="007C7BCA">
      <w:pPr>
        <w:ind w:left="284" w:right="-20"/>
        <w:rPr>
          <w:rFonts w:eastAsia="Arial"/>
          <w:color w:val="004B8D"/>
        </w:rPr>
      </w:pPr>
      <w:hyperlink r:id="rId27" w:history="1">
        <w:r w:rsidR="007C7BCA" w:rsidRPr="009C36DA">
          <w:rPr>
            <w:rFonts w:eastAsia="Arial"/>
            <w:color w:val="004B8D"/>
          </w:rPr>
          <w:t>http://ww2.health.wa.gov.au/Improving-WA-Health/About-Aboriginal-Health/WA-Aboriginal-Health-and-Wellbeing-Framework-2015-2030</w:t>
        </w:r>
      </w:hyperlink>
    </w:p>
    <w:p w:rsidR="007C7BCA" w:rsidRPr="00525D18" w:rsidRDefault="007C7BCA" w:rsidP="007C7BCA">
      <w:pPr>
        <w:ind w:right="-20"/>
        <w:rPr>
          <w:rFonts w:eastAsia="Arial"/>
          <w:spacing w:val="-9"/>
        </w:rPr>
      </w:pPr>
    </w:p>
    <w:p w:rsidR="007C7BCA" w:rsidRPr="00CB44CA" w:rsidRDefault="007C7BCA" w:rsidP="007C7BCA">
      <w:pPr>
        <w:ind w:right="-20"/>
        <w:rPr>
          <w:rFonts w:eastAsia="Arial"/>
          <w:color w:val="808080" w:themeColor="background1" w:themeShade="80"/>
          <w:sz w:val="26"/>
          <w:szCs w:val="26"/>
        </w:rPr>
      </w:pPr>
      <w:r w:rsidRPr="00CB44CA">
        <w:rPr>
          <w:rFonts w:eastAsia="Arial"/>
          <w:b/>
          <w:bCs/>
          <w:color w:val="808080" w:themeColor="background1" w:themeShade="80"/>
          <w:sz w:val="26"/>
          <w:szCs w:val="26"/>
        </w:rPr>
        <w:t>National</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Australia: The healthiest country by 2020. National Preventative Health Strategy—the roadmap for action (2009)</w:t>
      </w:r>
    </w:p>
    <w:p w:rsidR="007C7BCA" w:rsidRPr="00523697" w:rsidRDefault="00C71FCC" w:rsidP="007C7BCA">
      <w:pPr>
        <w:ind w:left="284" w:right="-20"/>
        <w:rPr>
          <w:rFonts w:eastAsia="Arial"/>
          <w:color w:val="004B8D"/>
        </w:rPr>
      </w:pPr>
      <w:hyperlink r:id="rId28">
        <w:r w:rsidR="007C7BCA">
          <w:rPr>
            <w:rFonts w:eastAsia="Arial"/>
            <w:color w:val="004B8D"/>
          </w:rPr>
          <w:t>http://ww</w:t>
        </w:r>
        <w:r w:rsidR="007C7BCA" w:rsidRPr="00523697">
          <w:rPr>
            <w:rFonts w:eastAsia="Arial"/>
            <w:color w:val="004B8D"/>
          </w:rPr>
          <w:t>w</w:t>
        </w:r>
        <w:r w:rsidR="007C7BCA">
          <w:rPr>
            <w:rFonts w:eastAsia="Arial"/>
            <w:color w:val="004B8D"/>
          </w:rPr>
          <w:t>.health.go</w:t>
        </w:r>
        <w:r w:rsidR="007C7BCA" w:rsidRPr="00523697">
          <w:rPr>
            <w:rFonts w:eastAsia="Arial"/>
            <w:color w:val="004B8D"/>
          </w:rPr>
          <w:t>v</w:t>
        </w:r>
      </w:hyperlink>
      <w:hyperlink r:id="rId29">
        <w:r w:rsidR="007C7BCA">
          <w:rPr>
            <w:rFonts w:eastAsia="Arial"/>
            <w:color w:val="004B8D"/>
          </w:rPr>
          <w:t>.au/internet/preventativehealth/publishing.nsf/Content/nphs-roadmap</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National</w:t>
      </w:r>
      <w:r>
        <w:rPr>
          <w:rFonts w:eastAsia="Arial"/>
          <w:spacing w:val="-13"/>
        </w:rPr>
        <w:t xml:space="preserve"> </w:t>
      </w:r>
      <w:r>
        <w:rPr>
          <w:rFonts w:eastAsia="Arial"/>
        </w:rPr>
        <w:t>Aboriginal and</w:t>
      </w:r>
      <w:r>
        <w:rPr>
          <w:rFonts w:eastAsia="Arial"/>
          <w:spacing w:val="-4"/>
        </w:rPr>
        <w:t xml:space="preserve"> </w:t>
      </w:r>
      <w:r>
        <w:rPr>
          <w:rFonts w:eastAsia="Arial"/>
          <w:spacing w:val="-27"/>
        </w:rPr>
        <w:t>T</w:t>
      </w:r>
      <w:r>
        <w:rPr>
          <w:rFonts w:eastAsia="Arial"/>
        </w:rPr>
        <w:t>orres Strait Islander Health Plan 2013</w:t>
      </w:r>
      <w:r w:rsidR="00127233">
        <w:rPr>
          <w:rFonts w:eastAsia="Arial"/>
        </w:rPr>
        <w:t>–</w:t>
      </w:r>
      <w:r>
        <w:rPr>
          <w:rFonts w:eastAsia="Arial"/>
        </w:rPr>
        <w:t>2023</w:t>
      </w:r>
    </w:p>
    <w:p w:rsidR="007C7BCA" w:rsidRDefault="00C71FCC" w:rsidP="007C7BCA">
      <w:pPr>
        <w:ind w:left="284" w:right="-20"/>
        <w:rPr>
          <w:rFonts w:eastAsia="Arial"/>
          <w:color w:val="004B8D"/>
        </w:rPr>
      </w:pPr>
      <w:hyperlink r:id="rId30">
        <w:r w:rsidR="007C7BCA">
          <w:rPr>
            <w:rFonts w:eastAsia="Arial"/>
            <w:color w:val="004B8D"/>
          </w:rPr>
          <w:t>http://ww</w:t>
        </w:r>
        <w:r w:rsidR="007C7BCA">
          <w:rPr>
            <w:rFonts w:eastAsia="Arial"/>
            <w:color w:val="004B8D"/>
            <w:spacing w:val="-13"/>
          </w:rPr>
          <w:t>w</w:t>
        </w:r>
        <w:r w:rsidR="007C7BCA">
          <w:rPr>
            <w:rFonts w:eastAsia="Arial"/>
            <w:color w:val="004B8D"/>
          </w:rPr>
          <w:t>.health.go</w:t>
        </w:r>
        <w:r w:rsidR="007C7BCA">
          <w:rPr>
            <w:rFonts w:eastAsia="Arial"/>
            <w:color w:val="004B8D"/>
            <w:spacing w:val="-18"/>
          </w:rPr>
          <w:t>v</w:t>
        </w:r>
        <w:r w:rsidR="007C7BCA">
          <w:rPr>
            <w:rFonts w:eastAsia="Arial"/>
            <w:color w:val="004B8D"/>
          </w:rPr>
          <w:t>.au/internet/main/publishing.nsf/Content/natsih-plan</w:t>
        </w:r>
      </w:hyperlink>
    </w:p>
    <w:p w:rsidR="000A0C40" w:rsidRDefault="000A0C40" w:rsidP="007C7BCA">
      <w:pPr>
        <w:ind w:left="284" w:right="-20"/>
        <w:rPr>
          <w:rFonts w:eastAsia="Arial"/>
          <w:color w:val="004B8D"/>
        </w:rPr>
      </w:pPr>
    </w:p>
    <w:p w:rsidR="000A0C40" w:rsidRPr="00DA66D4" w:rsidRDefault="000A0C40" w:rsidP="000A0C40">
      <w:pPr>
        <w:ind w:left="284" w:right="-20"/>
        <w:rPr>
          <w:rFonts w:eastAsia="Arial"/>
        </w:rPr>
      </w:pPr>
      <w:r w:rsidRPr="00DA66D4">
        <w:rPr>
          <w:rFonts w:eastAsia="Arial"/>
        </w:rPr>
        <w:t>National Arts and Health Framework (2013</w:t>
      </w:r>
      <w:r>
        <w:rPr>
          <w:rFonts w:eastAsia="Arial"/>
        </w:rPr>
        <w:t>;</w:t>
      </w:r>
      <w:r w:rsidRPr="00DA66D4">
        <w:rPr>
          <w:rFonts w:eastAsia="Arial"/>
        </w:rPr>
        <w:t xml:space="preserve"> updated annually)</w:t>
      </w:r>
    </w:p>
    <w:p w:rsidR="000A0C40" w:rsidRDefault="00C71FCC" w:rsidP="000A0C40">
      <w:pPr>
        <w:ind w:left="284" w:right="-20"/>
        <w:rPr>
          <w:rFonts w:eastAsia="Arial"/>
          <w:spacing w:val="-9"/>
        </w:rPr>
      </w:pPr>
      <w:hyperlink r:id="rId31" w:history="1">
        <w:r w:rsidR="000A0C40" w:rsidRPr="00343ADD">
          <w:rPr>
            <w:rStyle w:val="Hyperlink"/>
            <w:rFonts w:eastAsia="Arial"/>
            <w:spacing w:val="-9"/>
          </w:rPr>
          <w:t>http://mcm.arts.gov.au/national-arts-and-health-framework</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National Chronic Disease Strategy (2006)</w:t>
      </w:r>
    </w:p>
    <w:p w:rsidR="007C7BCA" w:rsidRDefault="00C71FCC" w:rsidP="007C7BCA">
      <w:pPr>
        <w:ind w:left="284" w:right="-20"/>
        <w:rPr>
          <w:rFonts w:eastAsia="Arial"/>
        </w:rPr>
      </w:pPr>
      <w:hyperlink r:id="rId32">
        <w:r w:rsidR="007C7BCA">
          <w:rPr>
            <w:rFonts w:eastAsia="Arial"/>
            <w:color w:val="004B8D"/>
          </w:rPr>
          <w:t>http://ww</w:t>
        </w:r>
        <w:r w:rsidR="007C7BCA">
          <w:rPr>
            <w:rFonts w:eastAsia="Arial"/>
            <w:color w:val="004B8D"/>
            <w:spacing w:val="-13"/>
          </w:rPr>
          <w:t>w</w:t>
        </w:r>
        <w:r w:rsidR="007C7BCA">
          <w:rPr>
            <w:rFonts w:eastAsia="Arial"/>
            <w:color w:val="004B8D"/>
          </w:rPr>
          <w:t>.health.go</w:t>
        </w:r>
        <w:r w:rsidR="007C7BCA">
          <w:rPr>
            <w:rFonts w:eastAsia="Arial"/>
            <w:color w:val="004B8D"/>
            <w:spacing w:val="-18"/>
          </w:rPr>
          <w:t>v</w:t>
        </w:r>
        <w:r w:rsidR="007C7BCA">
          <w:rPr>
            <w:rFonts w:eastAsia="Arial"/>
            <w:color w:val="004B8D"/>
          </w:rPr>
          <w:t>.au/internet/main/publishing.nsf/content/7E7E9140A3D3A3BCCA25714</w:t>
        </w:r>
      </w:hyperlink>
      <w:hyperlink r:id="rId33">
        <w:r w:rsidR="007C7BCA">
          <w:rPr>
            <w:rFonts w:eastAsia="Arial"/>
            <w:color w:val="004B8D"/>
          </w:rPr>
          <w:t>0007AB32B/$File/stratal3.pdf</w:t>
        </w:r>
      </w:hyperlink>
    </w:p>
    <w:p w:rsidR="007C7BCA" w:rsidRPr="00525D18" w:rsidRDefault="007C7BCA" w:rsidP="007C7BCA">
      <w:pPr>
        <w:ind w:right="-20"/>
        <w:rPr>
          <w:rFonts w:eastAsia="Arial"/>
          <w:spacing w:val="-9"/>
        </w:rPr>
      </w:pPr>
    </w:p>
    <w:p w:rsidR="007C7BCA" w:rsidRPr="003E614D" w:rsidRDefault="007C7BCA" w:rsidP="007C7BCA">
      <w:pPr>
        <w:ind w:left="284" w:right="-20"/>
        <w:rPr>
          <w:rFonts w:eastAsia="Arial"/>
          <w:i/>
        </w:rPr>
      </w:pPr>
      <w:r w:rsidRPr="003E614D">
        <w:rPr>
          <w:rFonts w:eastAsia="Arial"/>
          <w:i/>
        </w:rPr>
        <w:t>Note</w:t>
      </w:r>
      <w:r>
        <w:rPr>
          <w:rFonts w:eastAsia="Arial"/>
          <w:i/>
        </w:rPr>
        <w:t xml:space="preserve"> – </w:t>
      </w:r>
      <w:r w:rsidRPr="003E614D">
        <w:rPr>
          <w:rFonts w:eastAsia="Arial"/>
          <w:i/>
        </w:rPr>
        <w:t>the</w:t>
      </w:r>
      <w:r>
        <w:rPr>
          <w:rFonts w:eastAsia="Arial"/>
          <w:i/>
        </w:rPr>
        <w:t xml:space="preserve"> </w:t>
      </w:r>
      <w:r w:rsidRPr="003E614D">
        <w:rPr>
          <w:rFonts w:eastAsia="Arial"/>
          <w:i/>
        </w:rPr>
        <w:t>above strategy will be superseded by:</w:t>
      </w:r>
    </w:p>
    <w:p w:rsidR="007C7BCA" w:rsidRDefault="007C7BCA" w:rsidP="007C7BCA">
      <w:pPr>
        <w:ind w:left="284" w:right="-20"/>
        <w:rPr>
          <w:rFonts w:eastAsia="Arial"/>
        </w:rPr>
      </w:pPr>
      <w:r>
        <w:rPr>
          <w:rFonts w:eastAsia="Arial"/>
        </w:rPr>
        <w:t xml:space="preserve">National Strategic Framework for Chronic Conditions </w:t>
      </w:r>
      <w:r w:rsidRPr="00127233">
        <w:rPr>
          <w:rFonts w:eastAsia="Arial"/>
          <w:color w:val="FF0000"/>
        </w:rPr>
        <w:t>(</w:t>
      </w:r>
      <w:r w:rsidR="004B503E">
        <w:rPr>
          <w:rFonts w:eastAsia="Arial"/>
          <w:color w:val="FF0000"/>
        </w:rPr>
        <w:t>under</w:t>
      </w:r>
      <w:r w:rsidRPr="00127233">
        <w:rPr>
          <w:rFonts w:eastAsia="Arial"/>
          <w:color w:val="FF0000"/>
        </w:rPr>
        <w:t xml:space="preserve"> development</w:t>
      </w:r>
      <w:r w:rsidR="004B503E">
        <w:rPr>
          <w:rFonts w:eastAsia="Arial"/>
          <w:color w:val="FF0000"/>
        </w:rPr>
        <w:t>)</w:t>
      </w:r>
    </w:p>
    <w:p w:rsidR="007C7BCA" w:rsidRDefault="00C71FCC" w:rsidP="007C7BCA">
      <w:pPr>
        <w:ind w:left="284" w:right="-20"/>
        <w:rPr>
          <w:rFonts w:eastAsia="Arial"/>
          <w:color w:val="004B8D"/>
        </w:rPr>
      </w:pPr>
      <w:hyperlink r:id="rId34" w:history="1">
        <w:r w:rsidR="007C7BCA" w:rsidRPr="005A0C00">
          <w:rPr>
            <w:rFonts w:eastAsia="Arial"/>
            <w:color w:val="004B8D"/>
          </w:rPr>
          <w:t>http://www.health.gov.au/internet/main/publishing.nsf/Content/nsfcc</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National Healthcare</w:t>
      </w:r>
      <w:r>
        <w:rPr>
          <w:rFonts w:eastAsia="Arial"/>
          <w:spacing w:val="-13"/>
        </w:rPr>
        <w:t xml:space="preserve"> </w:t>
      </w:r>
      <w:r>
        <w:rPr>
          <w:rFonts w:eastAsia="Arial"/>
        </w:rPr>
        <w:t>Agreement (2016)</w:t>
      </w:r>
    </w:p>
    <w:p w:rsidR="007C7BCA" w:rsidRDefault="00C71FCC" w:rsidP="007C7BCA">
      <w:pPr>
        <w:ind w:left="284" w:right="-20"/>
        <w:rPr>
          <w:rFonts w:eastAsia="Arial"/>
          <w:color w:val="004B8D"/>
        </w:rPr>
      </w:pPr>
      <w:hyperlink r:id="rId35" w:history="1">
        <w:r w:rsidR="007C7BCA" w:rsidRPr="005A0C00">
          <w:rPr>
            <w:rFonts w:eastAsia="Arial"/>
            <w:color w:val="004B8D"/>
          </w:rPr>
          <w:t>http://meteor.aihw.gov.au/content/index.phtml/itemId/598643</w:t>
        </w:r>
      </w:hyperlink>
    </w:p>
    <w:p w:rsidR="000A0C40" w:rsidRDefault="000A0C40" w:rsidP="007C7BCA">
      <w:pPr>
        <w:ind w:left="284" w:right="-20"/>
        <w:rPr>
          <w:rFonts w:eastAsia="Arial"/>
          <w:color w:val="004B8D"/>
        </w:rPr>
      </w:pPr>
    </w:p>
    <w:p w:rsidR="000A0C40" w:rsidRPr="000A0C40" w:rsidRDefault="000A0C40" w:rsidP="007C7BCA">
      <w:pPr>
        <w:ind w:left="284" w:right="-20"/>
        <w:rPr>
          <w:rFonts w:eastAsia="Arial"/>
        </w:rPr>
      </w:pPr>
      <w:r w:rsidRPr="000A0C40">
        <w:rPr>
          <w:rFonts w:eastAsia="Arial"/>
        </w:rPr>
        <w:t>National Preventive Health Research Strategy 2013</w:t>
      </w:r>
      <w:r>
        <w:rPr>
          <w:rFonts w:eastAsia="Arial"/>
        </w:rPr>
        <w:t>–</w:t>
      </w:r>
      <w:r w:rsidRPr="000A0C40">
        <w:rPr>
          <w:rFonts w:eastAsia="Arial"/>
        </w:rPr>
        <w:t>2018</w:t>
      </w:r>
    </w:p>
    <w:p w:rsidR="000A0C40" w:rsidRDefault="00C71FCC" w:rsidP="007C7BCA">
      <w:pPr>
        <w:ind w:left="284" w:right="-20"/>
        <w:rPr>
          <w:rFonts w:eastAsia="Arial"/>
          <w:color w:val="004B8D"/>
        </w:rPr>
      </w:pPr>
      <w:hyperlink r:id="rId36" w:history="1">
        <w:r w:rsidR="000A0C40" w:rsidRPr="00D56205">
          <w:rPr>
            <w:rStyle w:val="Hyperlink"/>
            <w:rFonts w:eastAsia="Arial"/>
          </w:rPr>
          <w:t>https://www.saxinstitute.org.au/wp-content/uploads/ANPHA-Research-Strategy-2013-18.pdf</w:t>
        </w:r>
      </w:hyperlink>
    </w:p>
    <w:p w:rsidR="000A0C40" w:rsidRDefault="000A0C40" w:rsidP="007C7BCA">
      <w:pPr>
        <w:ind w:left="284" w:right="-20"/>
        <w:rPr>
          <w:rFonts w:eastAsia="Arial"/>
          <w:color w:val="004B8D"/>
        </w:rPr>
      </w:pPr>
    </w:p>
    <w:p w:rsidR="000A0C40" w:rsidRDefault="000A0C40" w:rsidP="007C7BCA">
      <w:pPr>
        <w:ind w:left="284" w:right="-20"/>
        <w:rPr>
          <w:rFonts w:eastAsia="Arial"/>
          <w:color w:val="004B8D"/>
        </w:rPr>
      </w:pPr>
    </w:p>
    <w:p w:rsidR="0048578A" w:rsidRDefault="0048578A" w:rsidP="007C7BCA">
      <w:pPr>
        <w:ind w:left="284" w:right="-20"/>
        <w:rPr>
          <w:rFonts w:eastAsia="Arial"/>
          <w:color w:val="004B8D"/>
        </w:rPr>
      </w:pPr>
    </w:p>
    <w:p w:rsidR="00A14936" w:rsidRDefault="00A14936">
      <w:pPr>
        <w:widowControl/>
        <w:spacing w:after="200" w:line="276" w:lineRule="auto"/>
        <w:rPr>
          <w:rFonts w:eastAsia="Arial"/>
          <w:spacing w:val="-9"/>
        </w:rPr>
      </w:pPr>
      <w:r>
        <w:rPr>
          <w:rFonts w:eastAsia="Arial"/>
          <w:spacing w:val="-9"/>
        </w:rPr>
        <w:br w:type="page"/>
      </w:r>
    </w:p>
    <w:p w:rsidR="007C7BCA" w:rsidRPr="00CB44CA" w:rsidRDefault="007C7BCA" w:rsidP="007C7BCA">
      <w:pPr>
        <w:ind w:right="-20"/>
        <w:rPr>
          <w:rFonts w:eastAsia="Arial"/>
          <w:color w:val="808080" w:themeColor="background1" w:themeShade="80"/>
          <w:sz w:val="26"/>
          <w:szCs w:val="26"/>
        </w:rPr>
      </w:pPr>
      <w:r w:rsidRPr="00CB44CA">
        <w:rPr>
          <w:rFonts w:eastAsia="Arial"/>
          <w:b/>
          <w:bCs/>
          <w:color w:val="808080" w:themeColor="background1" w:themeShade="80"/>
          <w:sz w:val="26"/>
          <w:szCs w:val="26"/>
        </w:rPr>
        <w:lastRenderedPageBreak/>
        <w:t>International</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 xml:space="preserve">WHO </w:t>
      </w:r>
      <w:r w:rsidRPr="002E6749">
        <w:rPr>
          <w:rFonts w:eastAsia="Arial"/>
        </w:rPr>
        <w:t>Global</w:t>
      </w:r>
      <w:r>
        <w:rPr>
          <w:rFonts w:eastAsia="Arial"/>
        </w:rPr>
        <w:t xml:space="preserve"> Action Pl</w:t>
      </w:r>
      <w:r w:rsidRPr="002E6749">
        <w:rPr>
          <w:rFonts w:eastAsia="Arial"/>
        </w:rPr>
        <w:t xml:space="preserve">an for the </w:t>
      </w:r>
      <w:r>
        <w:rPr>
          <w:rFonts w:eastAsia="Arial"/>
        </w:rPr>
        <w:t>Prevention and Control of Noncommunicable Diseases 2013</w:t>
      </w:r>
      <w:r w:rsidR="00127233">
        <w:rPr>
          <w:rFonts w:eastAsia="Arial"/>
        </w:rPr>
        <w:t>–</w:t>
      </w:r>
      <w:r>
        <w:rPr>
          <w:rFonts w:eastAsia="Arial"/>
        </w:rPr>
        <w:t>2020</w:t>
      </w:r>
    </w:p>
    <w:p w:rsidR="007C7BCA" w:rsidRDefault="00C71FCC" w:rsidP="007C7BCA">
      <w:pPr>
        <w:ind w:left="284" w:right="-20"/>
        <w:rPr>
          <w:rFonts w:eastAsia="Arial"/>
          <w:color w:val="004B8D"/>
        </w:rPr>
      </w:pPr>
      <w:hyperlink r:id="rId37" w:history="1">
        <w:r w:rsidR="007C7BCA" w:rsidRPr="002E6749">
          <w:rPr>
            <w:rFonts w:eastAsia="Arial"/>
            <w:color w:val="004B8D"/>
          </w:rPr>
          <w:t>http://www.who.int/nmh/events/ncd_action_plan/en/</w:t>
        </w:r>
      </w:hyperlink>
    </w:p>
    <w:p w:rsidR="00236F28" w:rsidRPr="002E6749" w:rsidRDefault="00236F28" w:rsidP="007C7BCA">
      <w:pPr>
        <w:ind w:left="284" w:right="-20"/>
        <w:rPr>
          <w:rFonts w:eastAsia="Arial"/>
          <w:color w:val="004B8D"/>
        </w:rPr>
      </w:pPr>
    </w:p>
    <w:p w:rsidR="007C7BCA" w:rsidRDefault="007C7BCA" w:rsidP="007C7BCA">
      <w:pPr>
        <w:ind w:right="-20"/>
        <w:rPr>
          <w:rFonts w:eastAsia="Arial"/>
          <w:spacing w:val="-9"/>
        </w:rPr>
      </w:pPr>
    </w:p>
    <w:p w:rsidR="007C7BCA" w:rsidRDefault="007C7BCA" w:rsidP="007C7BCA">
      <w:pPr>
        <w:ind w:right="-20"/>
        <w:rPr>
          <w:rFonts w:eastAsia="Arial"/>
          <w:sz w:val="30"/>
          <w:szCs w:val="30"/>
        </w:rPr>
      </w:pPr>
      <w:r>
        <w:rPr>
          <w:rFonts w:eastAsia="Arial"/>
          <w:b/>
          <w:bCs/>
          <w:color w:val="6D6E71"/>
          <w:sz w:val="30"/>
          <w:szCs w:val="30"/>
        </w:rPr>
        <w:t>Eating for better health</w:t>
      </w:r>
    </w:p>
    <w:p w:rsidR="007C7BCA" w:rsidRPr="00525D18" w:rsidRDefault="007C7BCA" w:rsidP="007C7BCA">
      <w:pPr>
        <w:ind w:right="-20"/>
        <w:rPr>
          <w:rFonts w:eastAsia="Arial"/>
          <w:spacing w:val="-9"/>
        </w:rPr>
      </w:pPr>
    </w:p>
    <w:p w:rsidR="007C7BCA" w:rsidRPr="00CB44CA" w:rsidRDefault="007C7BCA" w:rsidP="007C7BCA">
      <w:pPr>
        <w:ind w:right="-20"/>
        <w:rPr>
          <w:rFonts w:eastAsia="Arial"/>
          <w:color w:val="808080" w:themeColor="background1" w:themeShade="80"/>
          <w:sz w:val="26"/>
          <w:szCs w:val="26"/>
        </w:rPr>
      </w:pPr>
      <w:r w:rsidRPr="00CB44CA">
        <w:rPr>
          <w:rFonts w:eastAsia="Arial"/>
          <w:b/>
          <w:bCs/>
          <w:color w:val="808080" w:themeColor="background1" w:themeShade="80"/>
          <w:sz w:val="26"/>
          <w:szCs w:val="26"/>
        </w:rPr>
        <w:t>National</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Australian Dietary Guidelines (2013)</w:t>
      </w:r>
    </w:p>
    <w:p w:rsidR="007C7BCA" w:rsidRDefault="00C71FCC" w:rsidP="007C7BCA">
      <w:pPr>
        <w:ind w:left="284" w:right="-20"/>
        <w:rPr>
          <w:rFonts w:eastAsia="Arial"/>
          <w:color w:val="004B8D"/>
        </w:rPr>
      </w:pPr>
      <w:hyperlink r:id="rId38" w:history="1">
        <w:r w:rsidR="007C7BCA" w:rsidRPr="005A0C00">
          <w:rPr>
            <w:rFonts w:eastAsia="Arial"/>
            <w:color w:val="004B8D"/>
          </w:rPr>
          <w:t>https://www.nhmrc.gov.au/guidelines-publications/n55</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 xml:space="preserve">Australian National Breastfeeding Strategy 2010–2015 </w:t>
      </w:r>
      <w:hyperlink r:id="rId39">
        <w:r>
          <w:rPr>
            <w:rFonts w:eastAsia="Arial"/>
            <w:color w:val="004B8D"/>
          </w:rPr>
          <w:t>http://ww</w:t>
        </w:r>
        <w:r>
          <w:rPr>
            <w:rFonts w:eastAsia="Arial"/>
            <w:color w:val="004B8D"/>
            <w:spacing w:val="-13"/>
          </w:rPr>
          <w:t>w</w:t>
        </w:r>
        <w:r>
          <w:rPr>
            <w:rFonts w:eastAsia="Arial"/>
            <w:color w:val="004B8D"/>
          </w:rPr>
          <w:t>.health.go</w:t>
        </w:r>
        <w:r>
          <w:rPr>
            <w:rFonts w:eastAsia="Arial"/>
            <w:color w:val="004B8D"/>
            <w:spacing w:val="-18"/>
          </w:rPr>
          <w:t>v</w:t>
        </w:r>
        <w:r>
          <w:rPr>
            <w:rFonts w:eastAsia="Arial"/>
            <w:color w:val="004B8D"/>
          </w:rPr>
          <w:t>.au/internet/main/publishing.nsf/Content/aust-breastfeeding-</w:t>
        </w:r>
      </w:hyperlink>
      <w:hyperlink r:id="rId40">
        <w:r>
          <w:rPr>
            <w:rFonts w:eastAsia="Arial"/>
            <w:color w:val="004B8D"/>
          </w:rPr>
          <w:t xml:space="preserve"> strategy-2010-2015</w:t>
        </w:r>
      </w:hyperlink>
      <w:r>
        <w:rPr>
          <w:rFonts w:eastAsia="Arial"/>
          <w:color w:val="004B8D"/>
        </w:rPr>
        <w:t xml:space="preserve"> (currently being updated, due for release 2017)</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 xml:space="preserve">Infant Feeding Guidelines for Health </w:t>
      </w:r>
      <w:r>
        <w:rPr>
          <w:rFonts w:eastAsia="Arial"/>
          <w:spacing w:val="-4"/>
        </w:rPr>
        <w:t>W</w:t>
      </w:r>
      <w:r>
        <w:rPr>
          <w:rFonts w:eastAsia="Arial"/>
        </w:rPr>
        <w:t>orkers (2013)</w:t>
      </w:r>
    </w:p>
    <w:p w:rsidR="007C7BCA" w:rsidRDefault="00C71FCC" w:rsidP="007C7BCA">
      <w:pPr>
        <w:ind w:left="284" w:right="-20"/>
        <w:rPr>
          <w:rFonts w:eastAsia="Arial"/>
          <w:color w:val="004B8D"/>
        </w:rPr>
      </w:pPr>
      <w:hyperlink r:id="rId41" w:history="1">
        <w:r w:rsidR="007C7BCA" w:rsidRPr="00535787">
          <w:rPr>
            <w:rFonts w:eastAsia="Arial"/>
            <w:color w:val="004B8D"/>
          </w:rPr>
          <w:t>https://www.nhmrc.gov.au/guidelines-publications/n56</w:t>
        </w:r>
      </w:hyperlink>
    </w:p>
    <w:p w:rsidR="007C7BCA" w:rsidRPr="00525D18" w:rsidRDefault="007C7BCA" w:rsidP="007C7BCA">
      <w:pPr>
        <w:ind w:right="-20"/>
        <w:rPr>
          <w:rFonts w:eastAsia="Arial"/>
          <w:spacing w:val="-9"/>
        </w:rPr>
      </w:pPr>
    </w:p>
    <w:p w:rsidR="007C7BCA" w:rsidRPr="00525D18" w:rsidRDefault="007C7BCA" w:rsidP="007C7BCA">
      <w:pPr>
        <w:ind w:right="-20"/>
        <w:rPr>
          <w:rFonts w:eastAsia="Arial"/>
          <w:spacing w:val="-9"/>
        </w:rPr>
      </w:pPr>
    </w:p>
    <w:p w:rsidR="007C7BCA" w:rsidRDefault="007C7BCA" w:rsidP="007C7BCA">
      <w:pPr>
        <w:ind w:right="-20"/>
        <w:rPr>
          <w:rFonts w:eastAsia="Arial"/>
          <w:sz w:val="30"/>
          <w:szCs w:val="30"/>
        </w:rPr>
      </w:pPr>
      <w:r>
        <w:rPr>
          <w:rFonts w:eastAsia="Arial"/>
          <w:b/>
          <w:bCs/>
          <w:color w:val="6D6E71"/>
          <w:sz w:val="30"/>
          <w:szCs w:val="30"/>
        </w:rPr>
        <w:t>A</w:t>
      </w:r>
      <w:r>
        <w:rPr>
          <w:rFonts w:eastAsia="Arial"/>
          <w:b/>
          <w:bCs/>
          <w:color w:val="6D6E71"/>
          <w:spacing w:val="-11"/>
          <w:sz w:val="30"/>
          <w:szCs w:val="30"/>
        </w:rPr>
        <w:t xml:space="preserve"> </w:t>
      </w:r>
      <w:r>
        <w:rPr>
          <w:rFonts w:eastAsia="Arial"/>
          <w:b/>
          <w:bCs/>
          <w:color w:val="6D6E71"/>
          <w:sz w:val="30"/>
          <w:szCs w:val="30"/>
        </w:rPr>
        <w:t xml:space="preserve">more active </w:t>
      </w:r>
      <w:r>
        <w:rPr>
          <w:rFonts w:eastAsia="Arial"/>
          <w:b/>
          <w:bCs/>
          <w:color w:val="6D6E71"/>
          <w:spacing w:val="-16"/>
          <w:sz w:val="30"/>
          <w:szCs w:val="30"/>
        </w:rPr>
        <w:t>W</w:t>
      </w:r>
      <w:r>
        <w:rPr>
          <w:rFonts w:eastAsia="Arial"/>
          <w:b/>
          <w:bCs/>
          <w:color w:val="6D6E71"/>
          <w:sz w:val="30"/>
          <w:szCs w:val="30"/>
        </w:rPr>
        <w:t>A</w:t>
      </w:r>
    </w:p>
    <w:p w:rsidR="007C7BCA" w:rsidRPr="00525D18" w:rsidRDefault="007C7BCA" w:rsidP="007C7BCA">
      <w:pPr>
        <w:ind w:right="-20"/>
        <w:rPr>
          <w:rFonts w:eastAsia="Arial"/>
          <w:spacing w:val="-9"/>
        </w:rPr>
      </w:pPr>
    </w:p>
    <w:p w:rsidR="007C7BCA" w:rsidRPr="00AB6010" w:rsidRDefault="007C7BCA" w:rsidP="007C7BCA">
      <w:pPr>
        <w:ind w:right="-20"/>
        <w:rPr>
          <w:rFonts w:eastAsia="Arial"/>
          <w:b/>
          <w:bCs/>
          <w:color w:val="808080" w:themeColor="background1" w:themeShade="80"/>
          <w:sz w:val="26"/>
          <w:szCs w:val="26"/>
        </w:rPr>
      </w:pPr>
      <w:r w:rsidRPr="00AB6010">
        <w:rPr>
          <w:rFonts w:eastAsia="Arial"/>
          <w:b/>
          <w:bCs/>
          <w:color w:val="808080" w:themeColor="background1" w:themeShade="80"/>
          <w:sz w:val="26"/>
          <w:szCs w:val="26"/>
        </w:rPr>
        <w:t>State</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An</w:t>
      </w:r>
      <w:r>
        <w:rPr>
          <w:rFonts w:eastAsia="Arial"/>
          <w:spacing w:val="-13"/>
        </w:rPr>
        <w:t xml:space="preserve"> </w:t>
      </w:r>
      <w:r>
        <w:rPr>
          <w:rFonts w:eastAsia="Arial"/>
        </w:rPr>
        <w:t xml:space="preserve">Age-friendly </w:t>
      </w:r>
      <w:r>
        <w:rPr>
          <w:rFonts w:eastAsia="Arial"/>
          <w:spacing w:val="-9"/>
        </w:rPr>
        <w:t>W</w:t>
      </w:r>
      <w:r>
        <w:rPr>
          <w:rFonts w:eastAsia="Arial"/>
        </w:rPr>
        <w:t xml:space="preserve">A: the Seniors Strategic Planning Framework 2012–2017 </w:t>
      </w:r>
    </w:p>
    <w:p w:rsidR="007C7BCA" w:rsidRPr="00525D18" w:rsidRDefault="00C71FCC" w:rsidP="007C7BCA">
      <w:pPr>
        <w:ind w:left="284" w:right="-20"/>
        <w:rPr>
          <w:rFonts w:eastAsia="Arial"/>
          <w:spacing w:val="-9"/>
        </w:rPr>
      </w:pPr>
      <w:hyperlink r:id="rId42" w:history="1">
        <w:r w:rsidR="007C7BCA" w:rsidRPr="00715554">
          <w:rPr>
            <w:rStyle w:val="Hyperlink"/>
            <w:rFonts w:eastAsia="Arial"/>
          </w:rPr>
          <w:t>http://www.dlgc.wa.gov.au/Publications/Pages/Seniors-Strategic-Planning-Framework.aspx</w:t>
        </w:r>
      </w:hyperlink>
      <w:r w:rsidR="00181A10">
        <w:rPr>
          <w:rFonts w:eastAsia="Arial"/>
        </w:rPr>
        <w:t xml:space="preserve"> </w:t>
      </w:r>
    </w:p>
    <w:p w:rsidR="007C7BCA" w:rsidRDefault="007C7BCA" w:rsidP="007C7BCA">
      <w:pPr>
        <w:ind w:left="284" w:right="-20"/>
        <w:rPr>
          <w:rFonts w:eastAsia="Arial"/>
        </w:rPr>
      </w:pPr>
    </w:p>
    <w:p w:rsidR="007C7BCA" w:rsidRDefault="007C7BCA" w:rsidP="007C7BCA">
      <w:pPr>
        <w:ind w:left="284" w:right="-20"/>
        <w:rPr>
          <w:rFonts w:eastAsia="Arial"/>
        </w:rPr>
      </w:pPr>
      <w:r>
        <w:rPr>
          <w:rFonts w:eastAsia="Arial"/>
        </w:rPr>
        <w:t>Directions 2031 and Beyond: Metropolitan planning beyond the horizon (2010)</w:t>
      </w:r>
    </w:p>
    <w:p w:rsidR="007C7BCA" w:rsidRDefault="00C71FCC" w:rsidP="007C7BCA">
      <w:pPr>
        <w:ind w:left="284" w:right="-20"/>
        <w:rPr>
          <w:rFonts w:eastAsia="Arial"/>
        </w:rPr>
      </w:pPr>
      <w:hyperlink r:id="rId43">
        <w:r w:rsidR="007C7BCA">
          <w:rPr>
            <w:rFonts w:eastAsia="Arial"/>
            <w:color w:val="004B8D"/>
          </w:rPr>
          <w:t>http://ww</w:t>
        </w:r>
        <w:r w:rsidR="007C7BCA">
          <w:rPr>
            <w:rFonts w:eastAsia="Arial"/>
            <w:color w:val="004B8D"/>
            <w:spacing w:val="-13"/>
          </w:rPr>
          <w:t>w</w:t>
        </w:r>
        <w:r w:rsidR="007C7BCA">
          <w:rPr>
            <w:rFonts w:eastAsia="Arial"/>
            <w:color w:val="004B8D"/>
          </w:rPr>
          <w:t>.planning.wa.go</w:t>
        </w:r>
        <w:r w:rsidR="007C7BCA">
          <w:rPr>
            <w:rFonts w:eastAsia="Arial"/>
            <w:color w:val="004B8D"/>
            <w:spacing w:val="-18"/>
          </w:rPr>
          <w:t>v</w:t>
        </w:r>
        <w:r w:rsidR="007C7BCA">
          <w:rPr>
            <w:rFonts w:eastAsia="Arial"/>
            <w:color w:val="004B8D"/>
          </w:rPr>
          <w:t>.au/publications/826.asp</w:t>
        </w:r>
      </w:hyperlink>
      <w:r w:rsidR="007C7BCA">
        <w:rPr>
          <w:rFonts w:eastAsia="Arial"/>
          <w:color w:val="004B8D"/>
        </w:rPr>
        <w:t xml:space="preserve"> </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sidRPr="00523697">
        <w:rPr>
          <w:rFonts w:eastAsia="Arial"/>
          <w:lang w:val="en-AU"/>
        </w:rPr>
        <w:t>Liveable</w:t>
      </w:r>
      <w:r>
        <w:rPr>
          <w:rFonts w:eastAsia="Arial"/>
        </w:rPr>
        <w:t xml:space="preserve"> </w:t>
      </w:r>
      <w:r w:rsidR="002A7ADB">
        <w:rPr>
          <w:rFonts w:eastAsia="Arial"/>
          <w:lang w:val="en-AU"/>
        </w:rPr>
        <w:t>N</w:t>
      </w:r>
      <w:r w:rsidRPr="00523697">
        <w:rPr>
          <w:rFonts w:eastAsia="Arial"/>
          <w:lang w:val="en-AU"/>
        </w:rPr>
        <w:t>eighbourhoods</w:t>
      </w:r>
      <w:r>
        <w:rPr>
          <w:rFonts w:eastAsia="Arial"/>
        </w:rPr>
        <w:t xml:space="preserve"> (currently under review)</w:t>
      </w:r>
    </w:p>
    <w:p w:rsidR="007C7BCA" w:rsidRDefault="00C71FCC" w:rsidP="007C7BCA">
      <w:pPr>
        <w:ind w:left="284" w:right="-20"/>
        <w:rPr>
          <w:rFonts w:eastAsia="Arial"/>
        </w:rPr>
      </w:pPr>
      <w:hyperlink r:id="rId44">
        <w:r w:rsidR="007C7BCA">
          <w:rPr>
            <w:rFonts w:eastAsia="Arial"/>
            <w:color w:val="004B8D"/>
          </w:rPr>
          <w:t>http://planning.wa.go</w:t>
        </w:r>
        <w:r w:rsidR="007C7BCA">
          <w:rPr>
            <w:rFonts w:eastAsia="Arial"/>
            <w:color w:val="004B8D"/>
            <w:spacing w:val="-18"/>
          </w:rPr>
          <w:t>v</w:t>
        </w:r>
        <w:r w:rsidR="007C7BCA">
          <w:rPr>
            <w:rFonts w:eastAsia="Arial"/>
            <w:color w:val="004B8D"/>
          </w:rPr>
          <w:t>.au/650.asp</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Public</w:t>
      </w:r>
      <w:r>
        <w:rPr>
          <w:rFonts w:eastAsia="Arial"/>
          <w:spacing w:val="-4"/>
        </w:rPr>
        <w:t xml:space="preserve"> </w:t>
      </w:r>
      <w:r>
        <w:rPr>
          <w:rFonts w:eastAsia="Arial"/>
          <w:spacing w:val="-9"/>
        </w:rPr>
        <w:t>T</w:t>
      </w:r>
      <w:r>
        <w:rPr>
          <w:rFonts w:eastAsia="Arial"/>
        </w:rPr>
        <w:t>ransport Plan for Perth 20</w:t>
      </w:r>
      <w:r>
        <w:rPr>
          <w:rFonts w:eastAsia="Arial"/>
          <w:spacing w:val="-18"/>
        </w:rPr>
        <w:t>3</w:t>
      </w:r>
      <w:r>
        <w:rPr>
          <w:rFonts w:eastAsia="Arial"/>
        </w:rPr>
        <w:t>1</w:t>
      </w:r>
    </w:p>
    <w:p w:rsidR="007C7BCA" w:rsidRDefault="00C71FCC" w:rsidP="007C7BCA">
      <w:pPr>
        <w:ind w:left="284" w:right="-20"/>
        <w:rPr>
          <w:rFonts w:eastAsia="Arial"/>
          <w:color w:val="004B8D"/>
        </w:rPr>
      </w:pPr>
      <w:hyperlink r:id="rId45" w:history="1">
        <w:r w:rsidR="007C7BCA" w:rsidRPr="00523697">
          <w:rPr>
            <w:rFonts w:eastAsia="Arial"/>
            <w:color w:val="004B8D"/>
          </w:rPr>
          <w:t>http://www.transport.wa.gov.au/projects/public-transport-plan-2031.asp</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spacing w:val="-4"/>
        </w:rPr>
        <w:t>SD6 Strategic Directions for the W</w:t>
      </w:r>
      <w:r>
        <w:rPr>
          <w:rFonts w:eastAsia="Arial"/>
        </w:rPr>
        <w:t>estern</w:t>
      </w:r>
      <w:r>
        <w:rPr>
          <w:rFonts w:eastAsia="Arial"/>
          <w:spacing w:val="-13"/>
        </w:rPr>
        <w:t xml:space="preserve"> </w:t>
      </w:r>
      <w:r>
        <w:rPr>
          <w:rFonts w:eastAsia="Arial"/>
        </w:rPr>
        <w:t>Australian Sport and Recreation Industry 20</w:t>
      </w:r>
      <w:r>
        <w:rPr>
          <w:rFonts w:eastAsia="Arial"/>
          <w:spacing w:val="-18"/>
        </w:rPr>
        <w:t>16</w:t>
      </w:r>
      <w:r>
        <w:rPr>
          <w:rFonts w:eastAsia="Arial"/>
        </w:rPr>
        <w:t>–2020</w:t>
      </w:r>
    </w:p>
    <w:p w:rsidR="007C7BCA" w:rsidRDefault="00C71FCC" w:rsidP="007C7BCA">
      <w:pPr>
        <w:ind w:left="284" w:right="-20"/>
        <w:rPr>
          <w:rFonts w:eastAsia="Arial"/>
        </w:rPr>
      </w:pPr>
      <w:hyperlink r:id="rId46" w:history="1">
        <w:r w:rsidR="007C7BCA" w:rsidRPr="00715554">
          <w:rPr>
            <w:rStyle w:val="Hyperlink"/>
            <w:rFonts w:eastAsia="Arial"/>
          </w:rPr>
          <w:t>http://www.dsr.wa.gov.au/about/plan-for-the-future/industry-strategic-plan</w:t>
        </w:r>
      </w:hyperlink>
      <w:r w:rsidR="007C7BCA">
        <w:rPr>
          <w:rFonts w:eastAsia="Arial"/>
          <w:color w:val="004B8D"/>
        </w:rPr>
        <w:t xml:space="preserve"> </w:t>
      </w:r>
    </w:p>
    <w:p w:rsidR="007C7BCA" w:rsidRDefault="007C7BCA" w:rsidP="007C7BCA">
      <w:pPr>
        <w:ind w:left="284" w:right="-20"/>
        <w:rPr>
          <w:rFonts w:eastAsia="Arial"/>
        </w:rPr>
      </w:pPr>
    </w:p>
    <w:p w:rsidR="007C7BCA" w:rsidRDefault="007C7BCA" w:rsidP="007C7BCA">
      <w:pPr>
        <w:ind w:left="284" w:right="-20"/>
        <w:rPr>
          <w:rFonts w:eastAsia="Arial"/>
        </w:rPr>
      </w:pPr>
      <w:r w:rsidRPr="001143D2">
        <w:rPr>
          <w:rFonts w:eastAsia="Arial"/>
        </w:rPr>
        <w:t>State Planning Strategy 2050</w:t>
      </w:r>
    </w:p>
    <w:p w:rsidR="007C7BCA" w:rsidRPr="001143D2" w:rsidRDefault="00C71FCC" w:rsidP="007C7BCA">
      <w:pPr>
        <w:ind w:left="284" w:right="-20"/>
        <w:rPr>
          <w:rFonts w:eastAsia="Arial"/>
          <w:color w:val="004B8D"/>
        </w:rPr>
      </w:pPr>
      <w:hyperlink r:id="rId47" w:history="1">
        <w:r w:rsidR="007C7BCA" w:rsidRPr="001143D2">
          <w:rPr>
            <w:rFonts w:eastAsia="Arial"/>
            <w:color w:val="004B8D"/>
          </w:rPr>
          <w:t>http://www.planning.wa.gov.au/6561.asp</w:t>
        </w:r>
      </w:hyperlink>
    </w:p>
    <w:p w:rsidR="007C7BCA" w:rsidRDefault="007C7BCA" w:rsidP="007C7BCA">
      <w:pPr>
        <w:ind w:right="-20"/>
        <w:rPr>
          <w:rFonts w:eastAsia="Arial"/>
          <w:spacing w:val="-9"/>
        </w:rPr>
      </w:pPr>
    </w:p>
    <w:p w:rsidR="007C7BCA" w:rsidRDefault="007C7BCA" w:rsidP="007C7BCA">
      <w:pPr>
        <w:ind w:left="284" w:right="-20"/>
        <w:rPr>
          <w:rFonts w:eastAsia="Arial"/>
          <w:color w:val="004B8D"/>
        </w:rPr>
      </w:pPr>
      <w:r>
        <w:rPr>
          <w:rFonts w:eastAsia="Arial"/>
          <w:spacing w:val="-9"/>
        </w:rPr>
        <w:t>W</w:t>
      </w:r>
      <w:r>
        <w:rPr>
          <w:rFonts w:eastAsia="Arial"/>
        </w:rPr>
        <w:t xml:space="preserve">alk </w:t>
      </w:r>
      <w:r>
        <w:rPr>
          <w:rFonts w:eastAsia="Arial"/>
          <w:spacing w:val="-9"/>
        </w:rPr>
        <w:t>W</w:t>
      </w:r>
      <w:r>
        <w:rPr>
          <w:rFonts w:eastAsia="Arial"/>
        </w:rPr>
        <w:t>A:</w:t>
      </w:r>
      <w:r>
        <w:rPr>
          <w:rFonts w:eastAsia="Arial"/>
          <w:spacing w:val="-13"/>
        </w:rPr>
        <w:t xml:space="preserve"> </w:t>
      </w:r>
      <w:r>
        <w:rPr>
          <w:rFonts w:eastAsia="Arial"/>
        </w:rPr>
        <w:t>A</w:t>
      </w:r>
      <w:r>
        <w:rPr>
          <w:rFonts w:eastAsia="Arial"/>
          <w:spacing w:val="-13"/>
        </w:rPr>
        <w:t xml:space="preserve"> </w:t>
      </w:r>
      <w:r>
        <w:rPr>
          <w:rFonts w:eastAsia="Arial"/>
          <w:spacing w:val="-9"/>
        </w:rPr>
        <w:t>W</w:t>
      </w:r>
      <w:r>
        <w:rPr>
          <w:rFonts w:eastAsia="Arial"/>
        </w:rPr>
        <w:t xml:space="preserve">alking Strategy for </w:t>
      </w:r>
      <w:r>
        <w:rPr>
          <w:rFonts w:eastAsia="Arial"/>
          <w:spacing w:val="-4"/>
        </w:rPr>
        <w:t>W</w:t>
      </w:r>
      <w:r>
        <w:rPr>
          <w:rFonts w:eastAsia="Arial"/>
        </w:rPr>
        <w:t>estern</w:t>
      </w:r>
      <w:r>
        <w:rPr>
          <w:rFonts w:eastAsia="Arial"/>
          <w:spacing w:val="-13"/>
        </w:rPr>
        <w:t xml:space="preserve"> </w:t>
      </w:r>
      <w:r>
        <w:rPr>
          <w:rFonts w:eastAsia="Arial"/>
        </w:rPr>
        <w:t xml:space="preserve">Australia 2007–2020 </w:t>
      </w:r>
      <w:hyperlink r:id="rId48">
        <w:r>
          <w:rPr>
            <w:rFonts w:eastAsia="Arial"/>
            <w:color w:val="004B8D"/>
          </w:rPr>
          <w:t>http://ww</w:t>
        </w:r>
        <w:r>
          <w:rPr>
            <w:rFonts w:eastAsia="Arial"/>
            <w:color w:val="004B8D"/>
            <w:spacing w:val="-13"/>
          </w:rPr>
          <w:t>w</w:t>
        </w:r>
        <w:r>
          <w:rPr>
            <w:rFonts w:eastAsia="Arial"/>
            <w:color w:val="004B8D"/>
          </w:rPr>
          <w:t>.beactive.wa.go</w:t>
        </w:r>
        <w:r>
          <w:rPr>
            <w:rFonts w:eastAsia="Arial"/>
            <w:color w:val="004B8D"/>
            <w:spacing w:val="-18"/>
          </w:rPr>
          <w:t>v</w:t>
        </w:r>
        <w:r>
          <w:rPr>
            <w:rFonts w:eastAsia="Arial"/>
            <w:color w:val="004B8D"/>
          </w:rPr>
          <w:t>.au/index.php?id=350</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spacing w:val="-4"/>
        </w:rPr>
        <w:lastRenderedPageBreak/>
        <w:t>W</w:t>
      </w:r>
      <w:r>
        <w:rPr>
          <w:rFonts w:eastAsia="Arial"/>
        </w:rPr>
        <w:t>estern</w:t>
      </w:r>
      <w:r>
        <w:rPr>
          <w:rFonts w:eastAsia="Arial"/>
          <w:spacing w:val="-13"/>
        </w:rPr>
        <w:t xml:space="preserve"> </w:t>
      </w:r>
      <w:r>
        <w:rPr>
          <w:rFonts w:eastAsia="Arial"/>
        </w:rPr>
        <w:t>Australian Bicycle Network Plan 2014–2031</w:t>
      </w:r>
    </w:p>
    <w:p w:rsidR="007C7BCA" w:rsidRDefault="00C71FCC" w:rsidP="007C7BCA">
      <w:pPr>
        <w:ind w:left="284" w:right="-20"/>
        <w:rPr>
          <w:rFonts w:eastAsia="Arial"/>
          <w:color w:val="004B8D"/>
        </w:rPr>
      </w:pPr>
      <w:hyperlink r:id="rId49" w:history="1">
        <w:r w:rsidR="007C7BCA" w:rsidRPr="00523697">
          <w:rPr>
            <w:rFonts w:eastAsia="Arial"/>
            <w:color w:val="004B8D"/>
          </w:rPr>
          <w:t>http://www.transport.wa.gov.au/mediaFiles/active-transport/AT_CYC_P_WABN_Plan.pdf</w:t>
        </w:r>
      </w:hyperlink>
    </w:p>
    <w:p w:rsidR="007C7BCA" w:rsidRDefault="007C7BCA" w:rsidP="007C7BCA">
      <w:pPr>
        <w:ind w:right="-20"/>
        <w:rPr>
          <w:rFonts w:eastAsia="Arial"/>
          <w:spacing w:val="-9"/>
        </w:rPr>
      </w:pPr>
    </w:p>
    <w:p w:rsidR="00C11E51" w:rsidRPr="00525D18" w:rsidRDefault="00C11E51" w:rsidP="007C7BCA">
      <w:pPr>
        <w:ind w:right="-20"/>
        <w:rPr>
          <w:rFonts w:eastAsia="Arial"/>
          <w:spacing w:val="-9"/>
        </w:rPr>
      </w:pPr>
    </w:p>
    <w:p w:rsidR="007C7BCA" w:rsidRPr="00AB6010" w:rsidRDefault="007C7BCA" w:rsidP="007C7BCA">
      <w:pPr>
        <w:ind w:right="-20"/>
        <w:rPr>
          <w:rFonts w:eastAsia="Arial"/>
          <w:color w:val="808080" w:themeColor="background1" w:themeShade="80"/>
          <w:sz w:val="26"/>
          <w:szCs w:val="26"/>
        </w:rPr>
      </w:pPr>
      <w:r w:rsidRPr="00AB6010">
        <w:rPr>
          <w:rFonts w:eastAsia="Arial"/>
          <w:b/>
          <w:bCs/>
          <w:color w:val="808080" w:themeColor="background1" w:themeShade="80"/>
          <w:sz w:val="26"/>
          <w:szCs w:val="26"/>
        </w:rPr>
        <w:t>National</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Blueprint for an Active Australia 2014–2017</w:t>
      </w:r>
    </w:p>
    <w:p w:rsidR="007C7BCA" w:rsidRPr="00852D7E" w:rsidRDefault="00C71FCC" w:rsidP="007C7BCA">
      <w:pPr>
        <w:ind w:left="284" w:right="-20"/>
        <w:rPr>
          <w:rFonts w:eastAsia="Arial"/>
          <w:color w:val="004B8D"/>
        </w:rPr>
      </w:pPr>
      <w:hyperlink r:id="rId50" w:history="1">
        <w:r w:rsidR="007C7BCA" w:rsidRPr="00852D7E">
          <w:rPr>
            <w:rFonts w:eastAsia="Arial"/>
            <w:color w:val="004B8D"/>
          </w:rPr>
          <w:t>https://heartfoundation.org.au/images/uploads/publications/Blueprint-for-an-active-Australia-second-edition.pdf</w:t>
        </w:r>
      </w:hyperlink>
      <w:r w:rsidR="007C7BCA">
        <w:rPr>
          <w:rFonts w:eastAsia="Arial"/>
          <w:color w:val="004B8D"/>
        </w:rPr>
        <w:t xml:space="preserve"> </w:t>
      </w:r>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National Cycling Strategy 2011</w:t>
      </w:r>
      <w:r w:rsidR="00A35DBB">
        <w:rPr>
          <w:rFonts w:eastAsia="Arial"/>
        </w:rPr>
        <w:t>–</w:t>
      </w:r>
      <w:r>
        <w:rPr>
          <w:rFonts w:eastAsia="Arial"/>
        </w:rPr>
        <w:t>2016</w:t>
      </w:r>
    </w:p>
    <w:p w:rsidR="007C7BCA" w:rsidRDefault="00C71FCC" w:rsidP="007C7BCA">
      <w:pPr>
        <w:ind w:left="284" w:right="-20"/>
        <w:rPr>
          <w:rFonts w:eastAsia="Arial"/>
          <w:color w:val="004B8D"/>
        </w:rPr>
      </w:pPr>
      <w:hyperlink r:id="rId51" w:history="1">
        <w:r w:rsidR="00052649" w:rsidRPr="00D56205">
          <w:rPr>
            <w:rStyle w:val="Hyperlink"/>
            <w:rFonts w:eastAsia="Arial"/>
          </w:rPr>
          <w:t>http://www.bicyclecouncil.com.au/files/publication/National-Cycling-Strategy-2011-2016.pdf</w:t>
        </w:r>
      </w:hyperlink>
    </w:p>
    <w:p w:rsidR="007C7BCA" w:rsidRPr="00525D18" w:rsidRDefault="007C7BCA" w:rsidP="007C7BCA">
      <w:pPr>
        <w:ind w:right="-20"/>
        <w:rPr>
          <w:rFonts w:eastAsia="Arial"/>
          <w:spacing w:val="-9"/>
        </w:rPr>
      </w:pPr>
    </w:p>
    <w:p w:rsidR="007C7BCA" w:rsidRDefault="007C7BCA" w:rsidP="007C7BCA">
      <w:pPr>
        <w:ind w:left="284" w:right="-20"/>
        <w:rPr>
          <w:rFonts w:eastAsia="Arial"/>
          <w:color w:val="004B8D"/>
        </w:rPr>
      </w:pPr>
      <w:r>
        <w:rPr>
          <w:rFonts w:eastAsia="Arial"/>
        </w:rPr>
        <w:t xml:space="preserve">Australia’s Physical Activity and Sedentary Behaviour Guidelines </w:t>
      </w:r>
      <w:hyperlink r:id="rId52" w:history="1">
        <w:r w:rsidRPr="00CE293E">
          <w:rPr>
            <w:rFonts w:eastAsia="Arial"/>
            <w:color w:val="004B8D"/>
          </w:rPr>
          <w:t>http://www.health.gov.au/internet/main/publishing.nsf/content/health-pubhlth-strateg-phys-act-guidelines</w:t>
        </w:r>
      </w:hyperlink>
    </w:p>
    <w:p w:rsidR="007C7BCA" w:rsidRPr="00525D18" w:rsidRDefault="007C7BCA" w:rsidP="007C7BCA">
      <w:pPr>
        <w:ind w:right="-20"/>
        <w:rPr>
          <w:rFonts w:eastAsia="Arial"/>
          <w:spacing w:val="-9"/>
        </w:rPr>
      </w:pPr>
    </w:p>
    <w:p w:rsidR="007C7BCA" w:rsidRDefault="007C7BCA" w:rsidP="007C7BCA">
      <w:pPr>
        <w:ind w:left="284" w:right="-20"/>
        <w:rPr>
          <w:rFonts w:eastAsia="Arial"/>
        </w:rPr>
      </w:pPr>
      <w:r>
        <w:rPr>
          <w:rFonts w:eastAsia="Arial"/>
        </w:rPr>
        <w:t>Our Cities Our Future—A</w:t>
      </w:r>
      <w:r>
        <w:rPr>
          <w:rFonts w:eastAsia="Arial"/>
          <w:spacing w:val="-13"/>
        </w:rPr>
        <w:t xml:space="preserve"> </w:t>
      </w:r>
      <w:r>
        <w:rPr>
          <w:rFonts w:eastAsia="Arial"/>
        </w:rPr>
        <w:t xml:space="preserve">National Urban Policy for a </w:t>
      </w:r>
      <w:r w:rsidR="002A7ADB">
        <w:rPr>
          <w:rFonts w:eastAsia="Arial"/>
        </w:rPr>
        <w:t>P</w:t>
      </w:r>
      <w:r>
        <w:rPr>
          <w:rFonts w:eastAsia="Arial"/>
        </w:rPr>
        <w:t xml:space="preserve">roductive, </w:t>
      </w:r>
      <w:r w:rsidR="002A7ADB">
        <w:rPr>
          <w:rFonts w:eastAsia="Arial"/>
        </w:rPr>
        <w:t>S</w:t>
      </w:r>
      <w:r>
        <w:rPr>
          <w:rFonts w:eastAsia="Arial"/>
        </w:rPr>
        <w:t xml:space="preserve">ustainable and </w:t>
      </w:r>
      <w:r w:rsidR="002A7ADB">
        <w:rPr>
          <w:rFonts w:eastAsia="Arial"/>
          <w:lang w:val="en-AU"/>
        </w:rPr>
        <w:t>L</w:t>
      </w:r>
      <w:r w:rsidRPr="00FA7D46">
        <w:rPr>
          <w:rFonts w:eastAsia="Arial"/>
          <w:lang w:val="en-AU"/>
        </w:rPr>
        <w:t>iveable</w:t>
      </w:r>
      <w:r>
        <w:rPr>
          <w:rFonts w:eastAsia="Arial"/>
        </w:rPr>
        <w:t xml:space="preserve"> </w:t>
      </w:r>
      <w:r w:rsidR="002A7ADB">
        <w:rPr>
          <w:rFonts w:eastAsia="Arial"/>
        </w:rPr>
        <w:t>F</w:t>
      </w:r>
      <w:r>
        <w:rPr>
          <w:rFonts w:eastAsia="Arial"/>
        </w:rPr>
        <w:t>uture (20</w:t>
      </w:r>
      <w:r>
        <w:rPr>
          <w:rFonts w:eastAsia="Arial"/>
          <w:spacing w:val="-18"/>
        </w:rPr>
        <w:t>1</w:t>
      </w:r>
      <w:r>
        <w:rPr>
          <w:rFonts w:eastAsia="Arial"/>
        </w:rPr>
        <w:t>1)</w:t>
      </w:r>
    </w:p>
    <w:p w:rsidR="007C7BCA" w:rsidRDefault="00C71FCC" w:rsidP="007C7BCA">
      <w:pPr>
        <w:ind w:left="284" w:right="-20"/>
        <w:rPr>
          <w:rFonts w:eastAsia="Arial"/>
          <w:color w:val="004B8D"/>
        </w:rPr>
      </w:pPr>
      <w:hyperlink r:id="rId53" w:history="1">
        <w:r w:rsidR="007C7BCA" w:rsidRPr="00CE293E">
          <w:rPr>
            <w:rFonts w:eastAsia="Arial"/>
            <w:color w:val="004B8D"/>
          </w:rPr>
          <w:t>https://infrastructure.gov.au/infrastructure/pab/files/Our_Cities_National_Urban_Policy_Paper_2011.pdf</w:t>
        </w:r>
      </w:hyperlink>
    </w:p>
    <w:p w:rsidR="006A1028" w:rsidRDefault="006A1028" w:rsidP="007C7BCA">
      <w:pPr>
        <w:ind w:left="284" w:right="-20"/>
        <w:rPr>
          <w:rFonts w:eastAsia="Arial"/>
          <w:color w:val="004B8D"/>
        </w:rPr>
      </w:pPr>
    </w:p>
    <w:p w:rsidR="007C7BCA" w:rsidRPr="00525D18" w:rsidRDefault="007C7BCA" w:rsidP="007C7BCA">
      <w:pPr>
        <w:ind w:right="-20"/>
        <w:rPr>
          <w:rFonts w:eastAsia="Arial"/>
          <w:spacing w:val="-9"/>
        </w:rPr>
      </w:pPr>
    </w:p>
    <w:p w:rsidR="007C7BCA" w:rsidRDefault="00052649" w:rsidP="007C7BCA">
      <w:pPr>
        <w:ind w:right="-20"/>
        <w:rPr>
          <w:rFonts w:eastAsia="Arial"/>
          <w:sz w:val="30"/>
          <w:szCs w:val="30"/>
        </w:rPr>
      </w:pPr>
      <w:r>
        <w:rPr>
          <w:rFonts w:eastAsia="Arial"/>
          <w:b/>
          <w:bCs/>
          <w:color w:val="6D6E71"/>
          <w:sz w:val="30"/>
          <w:szCs w:val="30"/>
        </w:rPr>
        <w:t>Preventing overweight and obesity</w:t>
      </w:r>
    </w:p>
    <w:p w:rsidR="007C7BCA" w:rsidRPr="00525D18" w:rsidRDefault="007C7BCA" w:rsidP="007C7BCA">
      <w:pPr>
        <w:ind w:right="-20"/>
        <w:rPr>
          <w:rFonts w:eastAsia="Arial"/>
          <w:spacing w:val="-9"/>
        </w:rPr>
      </w:pPr>
    </w:p>
    <w:p w:rsidR="007C7BCA" w:rsidRPr="006D3318" w:rsidRDefault="007C7BCA" w:rsidP="007C7BCA">
      <w:pPr>
        <w:ind w:right="-20"/>
        <w:rPr>
          <w:rFonts w:eastAsia="Arial"/>
          <w:i/>
        </w:rPr>
      </w:pPr>
      <w:r w:rsidRPr="006D3318">
        <w:rPr>
          <w:rFonts w:eastAsia="Arial"/>
          <w:i/>
        </w:rPr>
        <w:t>Note</w:t>
      </w:r>
      <w:r w:rsidR="00371E93">
        <w:rPr>
          <w:rFonts w:eastAsia="Arial"/>
          <w:i/>
        </w:rPr>
        <w:t>:</w:t>
      </w:r>
      <w:r w:rsidR="00181A10">
        <w:rPr>
          <w:rFonts w:eastAsia="Arial"/>
          <w:i/>
        </w:rPr>
        <w:t xml:space="preserve"> </w:t>
      </w:r>
      <w:r w:rsidR="00FB7857">
        <w:rPr>
          <w:rFonts w:eastAsia="Arial"/>
          <w:i/>
        </w:rPr>
        <w:t xml:space="preserve">Policies for </w:t>
      </w:r>
      <w:r w:rsidRPr="006D3318">
        <w:rPr>
          <w:rFonts w:eastAsia="Arial"/>
          <w:i/>
        </w:rPr>
        <w:t xml:space="preserve">maintaining a healthy weight overlap </w:t>
      </w:r>
      <w:r w:rsidR="008F7D64">
        <w:rPr>
          <w:rFonts w:eastAsia="Arial"/>
          <w:i/>
        </w:rPr>
        <w:t xml:space="preserve">with </w:t>
      </w:r>
      <w:r w:rsidR="00FB7857">
        <w:rPr>
          <w:rFonts w:eastAsia="Arial"/>
          <w:i/>
        </w:rPr>
        <w:t xml:space="preserve">policies for </w:t>
      </w:r>
      <w:r w:rsidRPr="006D3318">
        <w:rPr>
          <w:rFonts w:eastAsia="Arial"/>
          <w:i/>
        </w:rPr>
        <w:t>physical activity and dietary factors</w:t>
      </w:r>
      <w:r w:rsidR="008F7D64">
        <w:rPr>
          <w:rFonts w:eastAsia="Arial"/>
          <w:i/>
        </w:rPr>
        <w:t>, listed above.</w:t>
      </w:r>
      <w:r w:rsidRPr="006D3318">
        <w:rPr>
          <w:rFonts w:eastAsia="Arial"/>
          <w:i/>
        </w:rPr>
        <w:t xml:space="preserve"> </w:t>
      </w:r>
    </w:p>
    <w:p w:rsidR="007C7BCA" w:rsidRPr="00525D18" w:rsidRDefault="007C7BCA" w:rsidP="007C7BCA">
      <w:pPr>
        <w:ind w:right="-20"/>
        <w:rPr>
          <w:rFonts w:eastAsia="Arial"/>
          <w:spacing w:val="-9"/>
        </w:rPr>
      </w:pPr>
    </w:p>
    <w:p w:rsidR="007C7BCA" w:rsidRPr="00AB6010" w:rsidRDefault="007C7BCA" w:rsidP="007C7BCA">
      <w:pPr>
        <w:ind w:right="-20"/>
        <w:rPr>
          <w:rFonts w:eastAsia="Arial"/>
          <w:color w:val="808080" w:themeColor="background1" w:themeShade="80"/>
          <w:sz w:val="26"/>
          <w:szCs w:val="26"/>
        </w:rPr>
      </w:pPr>
      <w:r w:rsidRPr="00AB6010">
        <w:rPr>
          <w:rFonts w:eastAsia="Arial"/>
          <w:b/>
          <w:bCs/>
          <w:color w:val="808080" w:themeColor="background1" w:themeShade="80"/>
          <w:sz w:val="26"/>
          <w:szCs w:val="26"/>
        </w:rPr>
        <w:t>National</w:t>
      </w:r>
    </w:p>
    <w:p w:rsidR="007C7BCA" w:rsidRPr="00525D18" w:rsidRDefault="007C7BCA" w:rsidP="007C7BCA">
      <w:pPr>
        <w:ind w:right="-20"/>
        <w:rPr>
          <w:rFonts w:eastAsia="Arial"/>
          <w:spacing w:val="-9"/>
        </w:rPr>
      </w:pPr>
    </w:p>
    <w:p w:rsidR="007C7BCA" w:rsidRDefault="007C7BCA" w:rsidP="007C7BCA">
      <w:pPr>
        <w:ind w:left="284" w:right="-20"/>
        <w:rPr>
          <w:rFonts w:eastAsia="Arial"/>
          <w:spacing w:val="-4"/>
        </w:rPr>
      </w:pPr>
      <w:r>
        <w:rPr>
          <w:rFonts w:eastAsia="Arial"/>
          <w:spacing w:val="-4"/>
        </w:rPr>
        <w:t>Clinical Practice Guidelines for the Management of Overweight and Obesity in Adults, Adolescents and Children in Australia (2013)</w:t>
      </w:r>
    </w:p>
    <w:p w:rsidR="007C7BCA" w:rsidRPr="004571AF" w:rsidRDefault="00C71FCC" w:rsidP="007C7BCA">
      <w:pPr>
        <w:ind w:left="284" w:right="-20"/>
        <w:rPr>
          <w:rFonts w:eastAsia="Arial"/>
          <w:color w:val="004B8D"/>
        </w:rPr>
      </w:pPr>
      <w:hyperlink r:id="rId54" w:history="1">
        <w:r w:rsidR="007C7BCA" w:rsidRPr="004571AF">
          <w:rPr>
            <w:rFonts w:eastAsia="Arial"/>
            <w:color w:val="004B8D"/>
          </w:rPr>
          <w:t>https://www.nhmrc.gov.au/guidelines-publications/n57</w:t>
        </w:r>
      </w:hyperlink>
    </w:p>
    <w:p w:rsidR="007C7BCA" w:rsidRPr="00525D18" w:rsidRDefault="007C7BCA" w:rsidP="007C7BCA">
      <w:pPr>
        <w:ind w:right="-20"/>
        <w:rPr>
          <w:rFonts w:eastAsia="Arial"/>
          <w:spacing w:val="-9"/>
        </w:rPr>
      </w:pPr>
    </w:p>
    <w:p w:rsidR="007C7BCA" w:rsidRPr="00525D18" w:rsidRDefault="007C7BCA" w:rsidP="007C7BCA">
      <w:pPr>
        <w:ind w:right="-20"/>
        <w:rPr>
          <w:rFonts w:eastAsia="Arial"/>
          <w:spacing w:val="-9"/>
        </w:rPr>
      </w:pPr>
    </w:p>
    <w:p w:rsidR="007C7BCA" w:rsidRPr="00AB6010" w:rsidRDefault="007C7BCA" w:rsidP="001A2225">
      <w:pPr>
        <w:ind w:right="-20"/>
        <w:rPr>
          <w:rFonts w:eastAsia="Arial"/>
          <w:b/>
          <w:bCs/>
          <w:color w:val="808080" w:themeColor="background1" w:themeShade="80"/>
          <w:sz w:val="26"/>
          <w:szCs w:val="26"/>
        </w:rPr>
      </w:pPr>
      <w:r w:rsidRPr="00AB6010">
        <w:rPr>
          <w:rFonts w:eastAsia="Arial"/>
          <w:b/>
          <w:bCs/>
          <w:color w:val="808080" w:themeColor="background1" w:themeShade="80"/>
          <w:sz w:val="26"/>
          <w:szCs w:val="26"/>
        </w:rPr>
        <w:t>International</w:t>
      </w:r>
    </w:p>
    <w:p w:rsidR="001A2225" w:rsidRPr="001A2225" w:rsidRDefault="001A2225" w:rsidP="001A2225">
      <w:pPr>
        <w:ind w:right="-20"/>
        <w:rPr>
          <w:rFonts w:eastAsia="Arial"/>
          <w:b/>
          <w:bCs/>
          <w:color w:val="00929F"/>
          <w:sz w:val="26"/>
          <w:szCs w:val="26"/>
        </w:rPr>
      </w:pPr>
    </w:p>
    <w:p w:rsidR="007C7BCA" w:rsidRDefault="007C7BCA" w:rsidP="007C7BCA">
      <w:pPr>
        <w:ind w:left="284" w:right="-20"/>
        <w:rPr>
          <w:rFonts w:eastAsia="Arial"/>
          <w:color w:val="004B8D"/>
        </w:rPr>
      </w:pPr>
      <w:r w:rsidRPr="00A35DBB">
        <w:rPr>
          <w:rFonts w:eastAsia="Arial"/>
        </w:rPr>
        <w:t xml:space="preserve">Report of the Commission on Ending Childhood Obesity (2016) </w:t>
      </w:r>
      <w:hyperlink r:id="rId55" w:history="1">
        <w:r w:rsidRPr="00510B57">
          <w:rPr>
            <w:rStyle w:val="Hyperlink"/>
            <w:rFonts w:eastAsia="Arial"/>
          </w:rPr>
          <w:t>http://www.who.int/end-childhood-obesity/en/</w:t>
        </w:r>
      </w:hyperlink>
      <w:r>
        <w:rPr>
          <w:rFonts w:eastAsia="Arial"/>
          <w:color w:val="004B8D"/>
        </w:rPr>
        <w:t xml:space="preserve"> </w:t>
      </w:r>
    </w:p>
    <w:p w:rsidR="007C7BCA" w:rsidRDefault="007C7BCA" w:rsidP="007C7BCA">
      <w:pPr>
        <w:ind w:right="-20"/>
        <w:rPr>
          <w:rFonts w:eastAsia="Arial"/>
          <w:color w:val="004B8D"/>
        </w:rPr>
      </w:pPr>
    </w:p>
    <w:p w:rsidR="00C11E51" w:rsidRDefault="00C11E51" w:rsidP="007C7BCA">
      <w:pPr>
        <w:ind w:right="-20"/>
        <w:rPr>
          <w:rFonts w:eastAsia="Arial"/>
          <w:color w:val="004B8D"/>
        </w:rPr>
      </w:pPr>
    </w:p>
    <w:p w:rsidR="00855CC3" w:rsidRDefault="00855CC3">
      <w:pPr>
        <w:widowControl/>
        <w:spacing w:after="200" w:line="276" w:lineRule="auto"/>
        <w:rPr>
          <w:rFonts w:eastAsia="Arial"/>
          <w:b/>
          <w:bCs/>
          <w:color w:val="6D6E71"/>
          <w:sz w:val="30"/>
          <w:szCs w:val="30"/>
        </w:rPr>
      </w:pPr>
      <w:r>
        <w:rPr>
          <w:rFonts w:eastAsia="Arial"/>
          <w:b/>
          <w:bCs/>
          <w:color w:val="6D6E71"/>
          <w:sz w:val="30"/>
          <w:szCs w:val="30"/>
        </w:rPr>
        <w:br w:type="page"/>
      </w:r>
    </w:p>
    <w:p w:rsidR="007C7BCA" w:rsidRDefault="007C7BCA" w:rsidP="007C7BCA">
      <w:pPr>
        <w:ind w:right="-20"/>
        <w:rPr>
          <w:rFonts w:eastAsia="Arial"/>
          <w:sz w:val="30"/>
          <w:szCs w:val="30"/>
        </w:rPr>
      </w:pPr>
      <w:r>
        <w:rPr>
          <w:rFonts w:eastAsia="Arial"/>
          <w:b/>
          <w:bCs/>
          <w:color w:val="6D6E71"/>
          <w:sz w:val="30"/>
          <w:szCs w:val="30"/>
        </w:rPr>
        <w:lastRenderedPageBreak/>
        <w:t>Making smoking history</w:t>
      </w:r>
    </w:p>
    <w:p w:rsidR="007C7BCA" w:rsidRPr="00525D18" w:rsidRDefault="007C7BCA" w:rsidP="007C7BCA">
      <w:pPr>
        <w:ind w:right="-20"/>
        <w:rPr>
          <w:rFonts w:eastAsia="Arial"/>
          <w:color w:val="004B8D"/>
        </w:rPr>
      </w:pPr>
    </w:p>
    <w:p w:rsidR="007C7BCA" w:rsidRDefault="007C7BCA" w:rsidP="007C7BCA">
      <w:pPr>
        <w:ind w:right="-20"/>
        <w:rPr>
          <w:rFonts w:eastAsia="Arial"/>
          <w:sz w:val="26"/>
          <w:szCs w:val="26"/>
        </w:rPr>
      </w:pPr>
      <w:r w:rsidRPr="00AB6010">
        <w:rPr>
          <w:rFonts w:eastAsia="Arial"/>
          <w:b/>
          <w:bCs/>
          <w:color w:val="808080" w:themeColor="background1" w:themeShade="80"/>
          <w:sz w:val="26"/>
          <w:szCs w:val="26"/>
        </w:rPr>
        <w:t>National</w:t>
      </w:r>
    </w:p>
    <w:p w:rsidR="007C7BCA" w:rsidRPr="00525D18" w:rsidRDefault="007C7BCA" w:rsidP="007C7BCA">
      <w:pPr>
        <w:ind w:right="-20"/>
        <w:rPr>
          <w:rFonts w:eastAsia="Arial"/>
          <w:color w:val="004B8D"/>
        </w:rPr>
      </w:pPr>
    </w:p>
    <w:p w:rsidR="007C7BCA" w:rsidRPr="00523697" w:rsidRDefault="007C7BCA" w:rsidP="007C7BCA">
      <w:pPr>
        <w:ind w:left="284" w:right="-20"/>
        <w:rPr>
          <w:rFonts w:eastAsia="Arial"/>
          <w:color w:val="004B8D"/>
        </w:rPr>
      </w:pPr>
      <w:r>
        <w:rPr>
          <w:rFonts w:eastAsia="Arial"/>
        </w:rPr>
        <w:t xml:space="preserve">National Drug Strategy 2010–2015 </w:t>
      </w:r>
      <w:hyperlink r:id="rId56">
        <w:r>
          <w:rPr>
            <w:rFonts w:eastAsia="Arial"/>
            <w:color w:val="004B8D"/>
          </w:rPr>
          <w:t>http://ww</w:t>
        </w:r>
        <w:r w:rsidRPr="00523697">
          <w:rPr>
            <w:rFonts w:eastAsia="Arial"/>
            <w:color w:val="004B8D"/>
          </w:rPr>
          <w:t>w</w:t>
        </w:r>
        <w:r>
          <w:rPr>
            <w:rFonts w:eastAsia="Arial"/>
            <w:color w:val="004B8D"/>
          </w:rPr>
          <w:t>.nationaldrugstrateg</w:t>
        </w:r>
        <w:r w:rsidRPr="00523697">
          <w:rPr>
            <w:rFonts w:eastAsia="Arial"/>
            <w:color w:val="004B8D"/>
          </w:rPr>
          <w:t>y</w:t>
        </w:r>
        <w:r>
          <w:rPr>
            <w:rFonts w:eastAsia="Arial"/>
            <w:color w:val="004B8D"/>
          </w:rPr>
          <w:t>.go</w:t>
        </w:r>
        <w:r w:rsidRPr="00523697">
          <w:rPr>
            <w:rFonts w:eastAsia="Arial"/>
            <w:color w:val="004B8D"/>
          </w:rPr>
          <w:t>v</w:t>
        </w:r>
        <w:r>
          <w:rPr>
            <w:rFonts w:eastAsia="Arial"/>
            <w:color w:val="004B8D"/>
          </w:rPr>
          <w:t>.au/internet/drugstrategy/publishing.nsf/Content/nds2015</w:t>
        </w:r>
      </w:hyperlink>
    </w:p>
    <w:p w:rsidR="007C7BCA" w:rsidRPr="00525D18" w:rsidRDefault="007C7BCA" w:rsidP="007C7BCA">
      <w:pPr>
        <w:ind w:right="-20"/>
        <w:rPr>
          <w:rFonts w:eastAsia="Arial"/>
          <w:color w:val="004B8D"/>
        </w:rPr>
      </w:pPr>
    </w:p>
    <w:p w:rsidR="007C7BCA" w:rsidRPr="003E614D" w:rsidRDefault="007C7BCA" w:rsidP="007C7BCA">
      <w:pPr>
        <w:ind w:left="284" w:right="-20"/>
        <w:rPr>
          <w:rFonts w:eastAsia="Arial"/>
          <w:i/>
        </w:rPr>
      </w:pPr>
      <w:r>
        <w:rPr>
          <w:rFonts w:eastAsia="Arial"/>
          <w:i/>
        </w:rPr>
        <w:t>Note</w:t>
      </w:r>
      <w:r w:rsidR="00532BDD">
        <w:rPr>
          <w:rFonts w:eastAsia="Arial"/>
          <w:i/>
        </w:rPr>
        <w:t>—</w:t>
      </w:r>
      <w:r w:rsidRPr="003E614D">
        <w:rPr>
          <w:rFonts w:eastAsia="Arial"/>
          <w:i/>
        </w:rPr>
        <w:t>the</w:t>
      </w:r>
      <w:r>
        <w:rPr>
          <w:rFonts w:eastAsia="Arial"/>
          <w:i/>
        </w:rPr>
        <w:t xml:space="preserve"> </w:t>
      </w:r>
      <w:r w:rsidRPr="003E614D">
        <w:rPr>
          <w:rFonts w:eastAsia="Arial"/>
          <w:i/>
        </w:rPr>
        <w:t>above strategy will be superseded by:</w:t>
      </w:r>
    </w:p>
    <w:p w:rsidR="007C7BCA" w:rsidRDefault="007C7BCA" w:rsidP="007C7BCA">
      <w:pPr>
        <w:ind w:left="284" w:right="-20"/>
        <w:rPr>
          <w:rFonts w:eastAsia="Arial"/>
        </w:rPr>
      </w:pPr>
      <w:r>
        <w:rPr>
          <w:rFonts w:eastAsia="Arial"/>
        </w:rPr>
        <w:t xml:space="preserve">National Drug Strategy 2016–2025 </w:t>
      </w:r>
      <w:r w:rsidRPr="00A35DBB">
        <w:rPr>
          <w:rFonts w:eastAsia="Arial"/>
          <w:color w:val="FF0000"/>
        </w:rPr>
        <w:t>(</w:t>
      </w:r>
      <w:r w:rsidR="00532BDD">
        <w:rPr>
          <w:rFonts w:eastAsia="Arial"/>
          <w:color w:val="FF0000"/>
        </w:rPr>
        <w:t>i</w:t>
      </w:r>
      <w:r w:rsidRPr="00A35DBB">
        <w:rPr>
          <w:rFonts w:eastAsia="Arial"/>
          <w:color w:val="FF0000"/>
        </w:rPr>
        <w:t>n draft)</w:t>
      </w:r>
    </w:p>
    <w:p w:rsidR="007C7BCA" w:rsidRDefault="00C71FCC" w:rsidP="007C7BCA">
      <w:pPr>
        <w:ind w:left="284" w:right="-20"/>
        <w:rPr>
          <w:rFonts w:eastAsia="Arial"/>
          <w:color w:val="004B8D"/>
        </w:rPr>
      </w:pPr>
      <w:hyperlink r:id="rId57" w:history="1">
        <w:r w:rsidR="007C7BCA" w:rsidRPr="005F641F">
          <w:rPr>
            <w:rFonts w:eastAsia="Arial"/>
            <w:color w:val="004B8D"/>
          </w:rPr>
          <w:t>http://www.nationaldrugstrategy.gov.au/internet/drugstrategy/Publishing.nsf/content/draftnds</w:t>
        </w:r>
      </w:hyperlink>
    </w:p>
    <w:p w:rsidR="007C7BCA" w:rsidRPr="00525D18" w:rsidRDefault="007C7BCA" w:rsidP="007C7BCA">
      <w:pPr>
        <w:ind w:right="-20"/>
        <w:rPr>
          <w:rFonts w:eastAsia="Arial"/>
          <w:color w:val="004B8D"/>
        </w:rPr>
      </w:pPr>
    </w:p>
    <w:p w:rsidR="007C7BCA" w:rsidRDefault="007C7BCA" w:rsidP="007C7BCA">
      <w:pPr>
        <w:ind w:left="284" w:right="-20"/>
        <w:rPr>
          <w:rFonts w:eastAsia="Arial"/>
          <w:color w:val="004B8D"/>
        </w:rPr>
      </w:pPr>
      <w:r>
        <w:rPr>
          <w:rFonts w:eastAsia="Arial"/>
        </w:rPr>
        <w:t>National</w:t>
      </w:r>
      <w:r>
        <w:rPr>
          <w:rFonts w:eastAsia="Arial"/>
          <w:spacing w:val="-4"/>
        </w:rPr>
        <w:t xml:space="preserve"> </w:t>
      </w:r>
      <w:r>
        <w:rPr>
          <w:rFonts w:eastAsia="Arial"/>
          <w:spacing w:val="-27"/>
        </w:rPr>
        <w:t>T</w:t>
      </w:r>
      <w:r>
        <w:rPr>
          <w:rFonts w:eastAsia="Arial"/>
        </w:rPr>
        <w:t xml:space="preserve">obacco Strategy 2012–2018 </w:t>
      </w:r>
      <w:hyperlink r:id="rId58" w:history="1">
        <w:r w:rsidRPr="00CE293E">
          <w:rPr>
            <w:rFonts w:eastAsia="Arial"/>
            <w:color w:val="004B8D"/>
          </w:rPr>
          <w:t>http://www.nationaldrugstrategy.gov.au/internet/drugstrategy/publishing.nsf/content/D4E3727950BDBAE4CA257AE70003730C/$File/National%20Tobacco%20Strategy%202012-2018.pdf</w:t>
        </w:r>
      </w:hyperlink>
    </w:p>
    <w:p w:rsidR="00696509" w:rsidRDefault="00696509" w:rsidP="007C7BCA">
      <w:pPr>
        <w:ind w:left="284" w:right="-20"/>
        <w:rPr>
          <w:rFonts w:eastAsia="Arial"/>
          <w:color w:val="004B8D"/>
        </w:rPr>
      </w:pPr>
    </w:p>
    <w:p w:rsidR="00950D50" w:rsidRPr="00525D18" w:rsidRDefault="00950D50" w:rsidP="007C7BCA">
      <w:pPr>
        <w:ind w:right="-20"/>
        <w:rPr>
          <w:rFonts w:eastAsia="Arial"/>
          <w:color w:val="004B8D"/>
        </w:rPr>
      </w:pPr>
    </w:p>
    <w:p w:rsidR="007C7BCA" w:rsidRPr="00AB6010" w:rsidRDefault="007C7BCA" w:rsidP="007C7BCA">
      <w:pPr>
        <w:ind w:right="-20"/>
        <w:rPr>
          <w:rFonts w:eastAsia="Arial"/>
          <w:color w:val="808080" w:themeColor="background1" w:themeShade="80"/>
          <w:sz w:val="26"/>
          <w:szCs w:val="26"/>
        </w:rPr>
      </w:pPr>
      <w:r w:rsidRPr="00AB6010">
        <w:rPr>
          <w:rFonts w:eastAsia="Arial"/>
          <w:b/>
          <w:bCs/>
          <w:color w:val="808080" w:themeColor="background1" w:themeShade="80"/>
          <w:sz w:val="26"/>
          <w:szCs w:val="26"/>
        </w:rPr>
        <w:t>International</w:t>
      </w:r>
    </w:p>
    <w:p w:rsidR="007C7BCA" w:rsidRPr="00525D18" w:rsidRDefault="007C7BCA" w:rsidP="007C7BCA">
      <w:pPr>
        <w:ind w:right="-20"/>
        <w:rPr>
          <w:rFonts w:eastAsia="Arial"/>
          <w:color w:val="004B8D"/>
        </w:rPr>
      </w:pPr>
    </w:p>
    <w:p w:rsidR="007C7BCA" w:rsidRDefault="007C7BCA" w:rsidP="007C7BCA">
      <w:pPr>
        <w:ind w:left="284" w:right="-20"/>
        <w:rPr>
          <w:sz w:val="26"/>
          <w:szCs w:val="26"/>
        </w:rPr>
      </w:pPr>
      <w:r>
        <w:rPr>
          <w:sz w:val="26"/>
          <w:szCs w:val="26"/>
        </w:rPr>
        <w:t>WHO Framework Convention on Tobacco Control (2003)</w:t>
      </w:r>
    </w:p>
    <w:p w:rsidR="007C7BCA" w:rsidRPr="004755F8" w:rsidRDefault="00C71FCC" w:rsidP="007C7BCA">
      <w:pPr>
        <w:ind w:left="284" w:right="-20"/>
        <w:rPr>
          <w:rFonts w:eastAsia="Arial"/>
          <w:color w:val="004B8D"/>
        </w:rPr>
      </w:pPr>
      <w:hyperlink r:id="rId59" w:history="1">
        <w:r w:rsidR="007C7BCA" w:rsidRPr="004755F8">
          <w:rPr>
            <w:rFonts w:eastAsia="Arial"/>
            <w:color w:val="004B8D"/>
          </w:rPr>
          <w:t>http://www.who.int/fctc/en/</w:t>
        </w:r>
      </w:hyperlink>
    </w:p>
    <w:p w:rsidR="007C7BCA" w:rsidRDefault="007C7BCA" w:rsidP="007C7BCA">
      <w:pPr>
        <w:ind w:right="-20"/>
        <w:rPr>
          <w:rFonts w:eastAsia="Arial"/>
          <w:color w:val="004B8D"/>
        </w:rPr>
      </w:pPr>
    </w:p>
    <w:p w:rsidR="00C11E51" w:rsidRPr="00525D18" w:rsidRDefault="00C11E51" w:rsidP="007C7BCA">
      <w:pPr>
        <w:ind w:right="-20"/>
        <w:rPr>
          <w:rFonts w:eastAsia="Arial"/>
          <w:color w:val="004B8D"/>
        </w:rPr>
      </w:pPr>
    </w:p>
    <w:p w:rsidR="007C7BCA" w:rsidRDefault="007C7BCA" w:rsidP="007C7BCA">
      <w:pPr>
        <w:ind w:right="-20"/>
        <w:rPr>
          <w:rFonts w:eastAsia="Arial"/>
          <w:sz w:val="30"/>
          <w:szCs w:val="30"/>
        </w:rPr>
      </w:pPr>
      <w:r>
        <w:rPr>
          <w:rFonts w:eastAsia="Arial"/>
          <w:b/>
          <w:bCs/>
          <w:color w:val="6D6E71"/>
          <w:sz w:val="30"/>
          <w:szCs w:val="30"/>
        </w:rPr>
        <w:t>Reducing harmful alcohol use</w:t>
      </w:r>
    </w:p>
    <w:p w:rsidR="007C7BCA" w:rsidRPr="00525D18" w:rsidRDefault="007C7BCA" w:rsidP="007C7BCA">
      <w:pPr>
        <w:ind w:right="-20"/>
        <w:rPr>
          <w:rFonts w:eastAsia="Arial"/>
          <w:color w:val="004B8D"/>
        </w:rPr>
      </w:pPr>
    </w:p>
    <w:p w:rsidR="007C7BCA" w:rsidRPr="00AB6010" w:rsidRDefault="007C7BCA" w:rsidP="007C7BCA">
      <w:pPr>
        <w:ind w:right="-20"/>
        <w:rPr>
          <w:rFonts w:eastAsia="Arial"/>
          <w:color w:val="808080" w:themeColor="background1" w:themeShade="80"/>
          <w:sz w:val="26"/>
          <w:szCs w:val="26"/>
        </w:rPr>
      </w:pPr>
      <w:r w:rsidRPr="00AB6010">
        <w:rPr>
          <w:rFonts w:eastAsia="Arial"/>
          <w:b/>
          <w:bCs/>
          <w:color w:val="808080" w:themeColor="background1" w:themeShade="80"/>
          <w:sz w:val="26"/>
          <w:szCs w:val="26"/>
        </w:rPr>
        <w:t>State</w:t>
      </w:r>
    </w:p>
    <w:p w:rsidR="007C7BCA" w:rsidRPr="00525D18" w:rsidRDefault="007C7BCA" w:rsidP="007C7BCA">
      <w:pPr>
        <w:ind w:right="-20"/>
        <w:rPr>
          <w:rFonts w:eastAsia="Arial"/>
          <w:color w:val="004B8D"/>
        </w:rPr>
      </w:pPr>
    </w:p>
    <w:p w:rsidR="007F7BC8" w:rsidRDefault="007C7BCA" w:rsidP="007C7BCA">
      <w:pPr>
        <w:ind w:left="284" w:right="-20"/>
        <w:rPr>
          <w:rFonts w:eastAsia="Arial"/>
        </w:rPr>
      </w:pPr>
      <w:r>
        <w:rPr>
          <w:rFonts w:eastAsia="Arial"/>
        </w:rPr>
        <w:t>Drug and</w:t>
      </w:r>
      <w:r>
        <w:rPr>
          <w:rFonts w:eastAsia="Arial"/>
          <w:spacing w:val="-13"/>
        </w:rPr>
        <w:t xml:space="preserve"> </w:t>
      </w:r>
      <w:r>
        <w:rPr>
          <w:rFonts w:eastAsia="Arial"/>
        </w:rPr>
        <w:t xml:space="preserve">Alcohol Interagency Strategic Framework for </w:t>
      </w:r>
      <w:r>
        <w:rPr>
          <w:rFonts w:eastAsia="Arial"/>
          <w:spacing w:val="-4"/>
        </w:rPr>
        <w:t>W</w:t>
      </w:r>
      <w:r>
        <w:rPr>
          <w:rFonts w:eastAsia="Arial"/>
        </w:rPr>
        <w:t>estern</w:t>
      </w:r>
      <w:r>
        <w:rPr>
          <w:rFonts w:eastAsia="Arial"/>
          <w:spacing w:val="-13"/>
        </w:rPr>
        <w:t xml:space="preserve"> </w:t>
      </w:r>
      <w:r>
        <w:rPr>
          <w:rFonts w:eastAsia="Arial"/>
        </w:rPr>
        <w:t>Australia 20</w:t>
      </w:r>
      <w:r>
        <w:rPr>
          <w:rFonts w:eastAsia="Arial"/>
          <w:spacing w:val="-18"/>
        </w:rPr>
        <w:t>1</w:t>
      </w:r>
      <w:r w:rsidR="007F7BC8">
        <w:rPr>
          <w:rFonts w:eastAsia="Arial"/>
        </w:rPr>
        <w:t xml:space="preserve">1–2015 </w:t>
      </w:r>
      <w:r w:rsidR="004E5D30" w:rsidRPr="004E5D30">
        <w:rPr>
          <w:rFonts w:eastAsia="Arial"/>
          <w:color w:val="FF0000"/>
        </w:rPr>
        <w:t>(</w:t>
      </w:r>
      <w:r w:rsidR="00A35DBB">
        <w:rPr>
          <w:rFonts w:eastAsia="Arial"/>
          <w:color w:val="FF0000"/>
        </w:rPr>
        <w:t>under review</w:t>
      </w:r>
      <w:r w:rsidR="004E5D30" w:rsidRPr="004E5D30">
        <w:rPr>
          <w:rFonts w:eastAsia="Arial"/>
          <w:color w:val="FF0000"/>
        </w:rPr>
        <w:t>)</w:t>
      </w:r>
    </w:p>
    <w:p w:rsidR="007C7BCA" w:rsidRDefault="00C71FCC" w:rsidP="007C7BCA">
      <w:pPr>
        <w:ind w:left="284" w:right="-20"/>
        <w:rPr>
          <w:rFonts w:eastAsia="Arial"/>
          <w:color w:val="004B8D"/>
        </w:rPr>
      </w:pPr>
      <w:hyperlink r:id="rId60" w:history="1">
        <w:r w:rsidR="007C7BCA" w:rsidRPr="00CE293E">
          <w:rPr>
            <w:rFonts w:eastAsia="Arial"/>
            <w:color w:val="004B8D"/>
          </w:rPr>
          <w:t>http://www.dao.health.wa.gov.au/Informationandresources/Nationalandstatepolicies.aspx</w:t>
        </w:r>
      </w:hyperlink>
    </w:p>
    <w:p w:rsidR="007C7BCA" w:rsidRDefault="007C7BCA" w:rsidP="007C7BCA">
      <w:pPr>
        <w:ind w:right="-20"/>
        <w:rPr>
          <w:rFonts w:eastAsia="Arial"/>
          <w:color w:val="004B8D"/>
        </w:rPr>
      </w:pPr>
    </w:p>
    <w:p w:rsidR="00215758" w:rsidRPr="00215758" w:rsidRDefault="00215758" w:rsidP="00215758">
      <w:pPr>
        <w:ind w:left="284"/>
      </w:pPr>
      <w:r w:rsidRPr="00215758">
        <w:t>Better Choices. Better Lives (the WA Mental Health, Alcohol, and other Drug Services Plan 2015–2025)</w:t>
      </w:r>
    </w:p>
    <w:p w:rsidR="00215758" w:rsidRDefault="00C71FCC" w:rsidP="00215758">
      <w:pPr>
        <w:spacing w:after="120"/>
        <w:ind w:left="284"/>
        <w:rPr>
          <w:rStyle w:val="Hyperlink"/>
        </w:rPr>
      </w:pPr>
      <w:hyperlink r:id="rId61" w:history="1">
        <w:r w:rsidR="00215758" w:rsidRPr="002F10A2">
          <w:rPr>
            <w:rStyle w:val="Hyperlink"/>
          </w:rPr>
          <w:t>http://www.mentalhealth.wa.gov.au/ThePlan.aspx</w:t>
        </w:r>
      </w:hyperlink>
    </w:p>
    <w:p w:rsidR="00215758" w:rsidRPr="00523697" w:rsidRDefault="00215758" w:rsidP="007C7BCA">
      <w:pPr>
        <w:ind w:right="-20"/>
        <w:rPr>
          <w:rFonts w:eastAsia="Arial"/>
          <w:color w:val="004B8D"/>
        </w:rPr>
      </w:pPr>
    </w:p>
    <w:p w:rsidR="007C7BCA" w:rsidRDefault="007C7BCA" w:rsidP="007C7BCA">
      <w:pPr>
        <w:ind w:left="284" w:right="-20"/>
        <w:rPr>
          <w:rFonts w:eastAsia="Arial"/>
        </w:rPr>
      </w:pPr>
      <w:r>
        <w:rPr>
          <w:rFonts w:eastAsia="Arial"/>
        </w:rPr>
        <w:t>Strong Spirit Strong Mind—Aboriginal Drug and</w:t>
      </w:r>
      <w:r>
        <w:rPr>
          <w:rFonts w:eastAsia="Arial"/>
          <w:spacing w:val="-13"/>
        </w:rPr>
        <w:t xml:space="preserve"> </w:t>
      </w:r>
      <w:r>
        <w:rPr>
          <w:rFonts w:eastAsia="Arial"/>
        </w:rPr>
        <w:t xml:space="preserve">Alcohol Framework for </w:t>
      </w:r>
      <w:r>
        <w:rPr>
          <w:rFonts w:eastAsia="Arial"/>
          <w:spacing w:val="-4"/>
        </w:rPr>
        <w:t>W</w:t>
      </w:r>
      <w:r>
        <w:rPr>
          <w:rFonts w:eastAsia="Arial"/>
        </w:rPr>
        <w:t>estern</w:t>
      </w:r>
      <w:r>
        <w:rPr>
          <w:rFonts w:eastAsia="Arial"/>
          <w:spacing w:val="-13"/>
        </w:rPr>
        <w:t xml:space="preserve"> </w:t>
      </w:r>
      <w:r>
        <w:rPr>
          <w:rFonts w:eastAsia="Arial"/>
        </w:rPr>
        <w:t>Australia</w:t>
      </w:r>
    </w:p>
    <w:p w:rsidR="007C7BCA" w:rsidRPr="00523697" w:rsidRDefault="007C7BCA" w:rsidP="007C7BCA">
      <w:pPr>
        <w:ind w:left="284" w:right="-20"/>
        <w:rPr>
          <w:rFonts w:eastAsia="Arial"/>
          <w:color w:val="004B8D"/>
        </w:rPr>
      </w:pPr>
      <w:r>
        <w:rPr>
          <w:rFonts w:eastAsia="Arial"/>
        </w:rPr>
        <w:t>20</w:t>
      </w:r>
      <w:r>
        <w:rPr>
          <w:rFonts w:eastAsia="Arial"/>
          <w:spacing w:val="-18"/>
        </w:rPr>
        <w:t>1</w:t>
      </w:r>
      <w:r>
        <w:rPr>
          <w:rFonts w:eastAsia="Arial"/>
        </w:rPr>
        <w:t xml:space="preserve">1–2015 </w:t>
      </w:r>
      <w:hyperlink r:id="rId62" w:history="1">
        <w:r w:rsidRPr="00A35DB4">
          <w:rPr>
            <w:rFonts w:eastAsia="Arial"/>
            <w:color w:val="004B8D"/>
          </w:rPr>
          <w:t>http://www.dao.health.wa.gov.au/Informationandresources/Nationalandstatepoliciesaspx</w:t>
        </w:r>
      </w:hyperlink>
    </w:p>
    <w:p w:rsidR="007C7BCA" w:rsidRDefault="007C7BCA" w:rsidP="007C7BCA">
      <w:pPr>
        <w:ind w:right="-20"/>
        <w:rPr>
          <w:rFonts w:eastAsia="Arial"/>
          <w:color w:val="004B8D"/>
        </w:rPr>
      </w:pPr>
    </w:p>
    <w:p w:rsidR="0017552B" w:rsidRPr="00525D18" w:rsidRDefault="0017552B" w:rsidP="007C7BCA">
      <w:pPr>
        <w:ind w:right="-20"/>
        <w:rPr>
          <w:rFonts w:eastAsia="Arial"/>
          <w:color w:val="004B8D"/>
        </w:rPr>
      </w:pPr>
    </w:p>
    <w:p w:rsidR="00855CC3" w:rsidRDefault="00855CC3">
      <w:pPr>
        <w:widowControl/>
        <w:spacing w:after="200" w:line="276" w:lineRule="auto"/>
        <w:rPr>
          <w:rFonts w:eastAsia="Arial"/>
          <w:b/>
          <w:bCs/>
          <w:color w:val="00929F"/>
          <w:sz w:val="26"/>
          <w:szCs w:val="26"/>
        </w:rPr>
      </w:pPr>
      <w:r>
        <w:rPr>
          <w:rFonts w:eastAsia="Arial"/>
          <w:b/>
          <w:bCs/>
          <w:color w:val="00929F"/>
          <w:sz w:val="26"/>
          <w:szCs w:val="26"/>
        </w:rPr>
        <w:br w:type="page"/>
      </w:r>
    </w:p>
    <w:p w:rsidR="007C7BCA" w:rsidRPr="00AB6010" w:rsidRDefault="007C7BCA" w:rsidP="007C7BCA">
      <w:pPr>
        <w:ind w:right="-20"/>
        <w:rPr>
          <w:rFonts w:eastAsia="Arial"/>
          <w:color w:val="808080" w:themeColor="background1" w:themeShade="80"/>
          <w:sz w:val="26"/>
          <w:szCs w:val="26"/>
        </w:rPr>
      </w:pPr>
      <w:r w:rsidRPr="00AB6010">
        <w:rPr>
          <w:rFonts w:eastAsia="Arial"/>
          <w:b/>
          <w:bCs/>
          <w:color w:val="808080" w:themeColor="background1" w:themeShade="80"/>
          <w:sz w:val="26"/>
          <w:szCs w:val="26"/>
        </w:rPr>
        <w:lastRenderedPageBreak/>
        <w:t>National</w:t>
      </w:r>
    </w:p>
    <w:p w:rsidR="007C7BCA" w:rsidRPr="00525D18" w:rsidRDefault="007C7BCA" w:rsidP="007C7BCA">
      <w:pPr>
        <w:ind w:right="-20"/>
        <w:rPr>
          <w:rFonts w:eastAsia="Arial"/>
          <w:color w:val="004B8D"/>
        </w:rPr>
      </w:pPr>
    </w:p>
    <w:p w:rsidR="007C7BCA" w:rsidRDefault="007C7BCA" w:rsidP="007C7BCA">
      <w:pPr>
        <w:ind w:left="284" w:right="-20"/>
        <w:rPr>
          <w:rFonts w:eastAsia="Arial"/>
          <w:spacing w:val="-18"/>
        </w:rPr>
      </w:pPr>
      <w:r>
        <w:rPr>
          <w:rFonts w:eastAsia="Arial"/>
        </w:rPr>
        <w:t>National</w:t>
      </w:r>
      <w:r>
        <w:rPr>
          <w:rFonts w:eastAsia="Arial"/>
          <w:spacing w:val="-13"/>
        </w:rPr>
        <w:t xml:space="preserve"> </w:t>
      </w:r>
      <w:r>
        <w:rPr>
          <w:rFonts w:eastAsia="Arial"/>
        </w:rPr>
        <w:t>Alcohol Strategy 2016–202</w:t>
      </w:r>
      <w:r>
        <w:rPr>
          <w:rFonts w:eastAsia="Arial"/>
          <w:spacing w:val="-18"/>
        </w:rPr>
        <w:t>1</w:t>
      </w:r>
      <w:r w:rsidR="00585131">
        <w:rPr>
          <w:rFonts w:eastAsia="Arial"/>
          <w:spacing w:val="-18"/>
        </w:rPr>
        <w:t xml:space="preserve"> </w:t>
      </w:r>
      <w:r w:rsidR="00585131" w:rsidRPr="00585131">
        <w:rPr>
          <w:rFonts w:eastAsia="Arial"/>
          <w:color w:val="FF0000"/>
        </w:rPr>
        <w:t>(under development)</w:t>
      </w:r>
    </w:p>
    <w:p w:rsidR="007C7BCA" w:rsidRDefault="00C71FCC" w:rsidP="00585131">
      <w:pPr>
        <w:ind w:left="284" w:right="-20"/>
        <w:rPr>
          <w:rFonts w:eastAsia="Arial"/>
        </w:rPr>
      </w:pPr>
      <w:hyperlink r:id="rId63" w:history="1">
        <w:r w:rsidR="00585131" w:rsidRPr="00CA6E78">
          <w:rPr>
            <w:rStyle w:val="Hyperlink"/>
            <w:rFonts w:eastAsia="Arial"/>
          </w:rPr>
          <w:t>http://www.health.gov.au/internet/main/publishing.nsf/Content/health-pubhlth-strateg-drugs-alcohol-index.htm</w:t>
        </w:r>
      </w:hyperlink>
    </w:p>
    <w:p w:rsidR="00585131" w:rsidRPr="00525D18" w:rsidRDefault="00585131" w:rsidP="007C7BCA">
      <w:pPr>
        <w:ind w:right="-20"/>
        <w:rPr>
          <w:rFonts w:eastAsia="Arial"/>
          <w:color w:val="004B8D"/>
        </w:rPr>
      </w:pPr>
    </w:p>
    <w:p w:rsidR="00696509" w:rsidRPr="00523697" w:rsidRDefault="00696509" w:rsidP="00696509">
      <w:pPr>
        <w:ind w:left="284" w:right="-20"/>
        <w:rPr>
          <w:rFonts w:eastAsia="Arial"/>
          <w:color w:val="004B8D"/>
        </w:rPr>
      </w:pPr>
      <w:r>
        <w:rPr>
          <w:rFonts w:eastAsia="Arial"/>
        </w:rPr>
        <w:t xml:space="preserve">National Drug Strategy 2010–2015 </w:t>
      </w:r>
      <w:hyperlink r:id="rId64">
        <w:r>
          <w:rPr>
            <w:rFonts w:eastAsia="Arial"/>
            <w:color w:val="004B8D"/>
          </w:rPr>
          <w:t>http://ww</w:t>
        </w:r>
        <w:r w:rsidRPr="00523697">
          <w:rPr>
            <w:rFonts w:eastAsia="Arial"/>
            <w:color w:val="004B8D"/>
          </w:rPr>
          <w:t>w</w:t>
        </w:r>
        <w:r>
          <w:rPr>
            <w:rFonts w:eastAsia="Arial"/>
            <w:color w:val="004B8D"/>
          </w:rPr>
          <w:t>.nationaldrugstrateg</w:t>
        </w:r>
        <w:r w:rsidRPr="00523697">
          <w:rPr>
            <w:rFonts w:eastAsia="Arial"/>
            <w:color w:val="004B8D"/>
          </w:rPr>
          <w:t>y</w:t>
        </w:r>
        <w:r>
          <w:rPr>
            <w:rFonts w:eastAsia="Arial"/>
            <w:color w:val="004B8D"/>
          </w:rPr>
          <w:t>.go</w:t>
        </w:r>
        <w:r w:rsidRPr="00523697">
          <w:rPr>
            <w:rFonts w:eastAsia="Arial"/>
            <w:color w:val="004B8D"/>
          </w:rPr>
          <w:t>v</w:t>
        </w:r>
        <w:r>
          <w:rPr>
            <w:rFonts w:eastAsia="Arial"/>
            <w:color w:val="004B8D"/>
          </w:rPr>
          <w:t>.au/internet/drugstrategy/publishing.nsf/Content/nds2015</w:t>
        </w:r>
      </w:hyperlink>
    </w:p>
    <w:p w:rsidR="00696509" w:rsidRPr="00525D18" w:rsidRDefault="00696509" w:rsidP="00696509">
      <w:pPr>
        <w:ind w:right="-20"/>
        <w:rPr>
          <w:rFonts w:eastAsia="Arial"/>
          <w:color w:val="004B8D"/>
        </w:rPr>
      </w:pPr>
    </w:p>
    <w:p w:rsidR="00696509" w:rsidRPr="003E614D" w:rsidRDefault="00696509" w:rsidP="00696509">
      <w:pPr>
        <w:ind w:left="284" w:right="-20"/>
        <w:rPr>
          <w:rFonts w:eastAsia="Arial"/>
          <w:i/>
        </w:rPr>
      </w:pPr>
      <w:r>
        <w:rPr>
          <w:rFonts w:eastAsia="Arial"/>
          <w:i/>
        </w:rPr>
        <w:t>Note</w:t>
      </w:r>
      <w:r w:rsidRPr="003E614D">
        <w:rPr>
          <w:rFonts w:eastAsia="Arial"/>
          <w:i/>
        </w:rPr>
        <w:t xml:space="preserve"> </w:t>
      </w:r>
      <w:r>
        <w:rPr>
          <w:rFonts w:eastAsia="Arial"/>
          <w:i/>
        </w:rPr>
        <w:t xml:space="preserve">– </w:t>
      </w:r>
      <w:r w:rsidRPr="003E614D">
        <w:rPr>
          <w:rFonts w:eastAsia="Arial"/>
          <w:i/>
        </w:rPr>
        <w:t>the</w:t>
      </w:r>
      <w:r>
        <w:rPr>
          <w:rFonts w:eastAsia="Arial"/>
          <w:i/>
        </w:rPr>
        <w:t xml:space="preserve"> </w:t>
      </w:r>
      <w:r w:rsidRPr="003E614D">
        <w:rPr>
          <w:rFonts w:eastAsia="Arial"/>
          <w:i/>
        </w:rPr>
        <w:t>above strategy will be superseded by:</w:t>
      </w:r>
    </w:p>
    <w:p w:rsidR="00696509" w:rsidRDefault="00696509" w:rsidP="00696509">
      <w:pPr>
        <w:ind w:left="284" w:right="-20"/>
        <w:rPr>
          <w:rFonts w:eastAsia="Arial"/>
        </w:rPr>
      </w:pPr>
      <w:r>
        <w:rPr>
          <w:rFonts w:eastAsia="Arial"/>
        </w:rPr>
        <w:t xml:space="preserve">National Drug Strategy 2016–2025 </w:t>
      </w:r>
      <w:r w:rsidRPr="00217A52">
        <w:rPr>
          <w:rFonts w:eastAsia="Arial"/>
          <w:color w:val="FF0000"/>
        </w:rPr>
        <w:t>(Currently in draft)</w:t>
      </w:r>
    </w:p>
    <w:p w:rsidR="00696509" w:rsidRDefault="00C71FCC" w:rsidP="00696509">
      <w:pPr>
        <w:ind w:left="284" w:right="-20"/>
        <w:rPr>
          <w:rFonts w:eastAsia="Arial"/>
          <w:color w:val="004B8D"/>
        </w:rPr>
      </w:pPr>
      <w:hyperlink r:id="rId65" w:history="1">
        <w:r w:rsidR="00696509" w:rsidRPr="005F641F">
          <w:rPr>
            <w:rFonts w:eastAsia="Arial"/>
            <w:color w:val="004B8D"/>
          </w:rPr>
          <w:t>http://www.nationaldrugstrategy.gov.au/internet/drugstrategy/Publishing.nsf/content/draftnds</w:t>
        </w:r>
      </w:hyperlink>
    </w:p>
    <w:p w:rsidR="007C7BCA" w:rsidRPr="00525D18" w:rsidRDefault="007C7BCA" w:rsidP="007C7BCA">
      <w:pPr>
        <w:ind w:right="-20"/>
        <w:rPr>
          <w:rFonts w:eastAsia="Arial"/>
          <w:color w:val="004B8D"/>
        </w:rPr>
      </w:pPr>
    </w:p>
    <w:p w:rsidR="007C7BCA" w:rsidRDefault="007C7BCA" w:rsidP="007C7BCA">
      <w:pPr>
        <w:ind w:left="284" w:right="-20"/>
        <w:rPr>
          <w:rFonts w:eastAsia="Arial"/>
        </w:rPr>
      </w:pPr>
      <w:r>
        <w:rPr>
          <w:rFonts w:eastAsia="Arial"/>
        </w:rPr>
        <w:t>Australian Guidelines to Reduce Health Risks from Drinking</w:t>
      </w:r>
      <w:r>
        <w:rPr>
          <w:rFonts w:eastAsia="Arial"/>
          <w:spacing w:val="-13"/>
        </w:rPr>
        <w:t xml:space="preserve"> </w:t>
      </w:r>
      <w:r>
        <w:rPr>
          <w:rFonts w:eastAsia="Arial"/>
        </w:rPr>
        <w:t>Alcohol (2009)</w:t>
      </w:r>
    </w:p>
    <w:p w:rsidR="007C7BCA" w:rsidRDefault="00C71FCC" w:rsidP="007C7BCA">
      <w:pPr>
        <w:ind w:left="284" w:right="-20"/>
        <w:rPr>
          <w:rFonts w:eastAsia="Arial"/>
          <w:color w:val="004B8D"/>
        </w:rPr>
      </w:pPr>
      <w:hyperlink r:id="rId66">
        <w:r w:rsidR="007C7BCA">
          <w:rPr>
            <w:rFonts w:eastAsia="Arial"/>
            <w:color w:val="004B8D"/>
          </w:rPr>
          <w:t>http://ww</w:t>
        </w:r>
        <w:r w:rsidR="007C7BCA" w:rsidRPr="00523697">
          <w:rPr>
            <w:rFonts w:eastAsia="Arial"/>
            <w:color w:val="004B8D"/>
          </w:rPr>
          <w:t>w</w:t>
        </w:r>
        <w:r w:rsidR="007C7BCA">
          <w:rPr>
            <w:rFonts w:eastAsia="Arial"/>
            <w:color w:val="004B8D"/>
          </w:rPr>
          <w:t>.nhmrc.go</w:t>
        </w:r>
        <w:r w:rsidR="007C7BCA" w:rsidRPr="00523697">
          <w:rPr>
            <w:rFonts w:eastAsia="Arial"/>
            <w:color w:val="004B8D"/>
          </w:rPr>
          <w:t>v</w:t>
        </w:r>
        <w:r w:rsidR="007C7BCA">
          <w:rPr>
            <w:rFonts w:eastAsia="Arial"/>
            <w:color w:val="004B8D"/>
          </w:rPr>
          <w:t>.au/publications/synopses/ds10syn.htm</w:t>
        </w:r>
      </w:hyperlink>
    </w:p>
    <w:p w:rsidR="0017552B" w:rsidRDefault="0017552B" w:rsidP="007C7BCA">
      <w:pPr>
        <w:ind w:left="284" w:right="-20"/>
        <w:rPr>
          <w:rFonts w:eastAsia="Arial"/>
          <w:color w:val="004B8D"/>
        </w:rPr>
      </w:pPr>
    </w:p>
    <w:p w:rsidR="00045236" w:rsidRPr="00523697" w:rsidRDefault="00045236" w:rsidP="007C7BCA">
      <w:pPr>
        <w:ind w:left="284" w:right="-20"/>
        <w:rPr>
          <w:rFonts w:eastAsia="Arial"/>
          <w:color w:val="004B8D"/>
        </w:rPr>
      </w:pPr>
    </w:p>
    <w:p w:rsidR="007C7BCA" w:rsidRDefault="00512C63" w:rsidP="007C7BCA">
      <w:pPr>
        <w:ind w:right="-20"/>
        <w:rPr>
          <w:rFonts w:eastAsia="Arial"/>
          <w:sz w:val="30"/>
          <w:szCs w:val="30"/>
        </w:rPr>
      </w:pPr>
      <w:r>
        <w:rPr>
          <w:rFonts w:eastAsia="Arial"/>
          <w:b/>
          <w:bCs/>
          <w:color w:val="6D6E71"/>
          <w:sz w:val="30"/>
          <w:szCs w:val="30"/>
        </w:rPr>
        <w:t>Injury prevention and promoting</w:t>
      </w:r>
      <w:r w:rsidR="007C7BCA">
        <w:rPr>
          <w:rFonts w:eastAsia="Arial"/>
          <w:b/>
          <w:bCs/>
          <w:color w:val="6D6E71"/>
          <w:sz w:val="30"/>
          <w:szCs w:val="30"/>
        </w:rPr>
        <w:t xml:space="preserve"> safer communities</w:t>
      </w:r>
    </w:p>
    <w:p w:rsidR="007C7BCA" w:rsidRPr="00525D18" w:rsidRDefault="007C7BCA" w:rsidP="007C7BCA">
      <w:pPr>
        <w:ind w:right="-20"/>
        <w:rPr>
          <w:rFonts w:eastAsia="Arial"/>
          <w:color w:val="004B8D"/>
        </w:rPr>
      </w:pPr>
    </w:p>
    <w:p w:rsidR="007C7BCA" w:rsidRDefault="007C7BCA" w:rsidP="007C7BCA">
      <w:pPr>
        <w:ind w:right="-20"/>
        <w:rPr>
          <w:rFonts w:eastAsia="Arial"/>
          <w:sz w:val="26"/>
          <w:szCs w:val="26"/>
        </w:rPr>
      </w:pPr>
      <w:r w:rsidRPr="00AB6010">
        <w:rPr>
          <w:rFonts w:eastAsia="Arial"/>
          <w:b/>
          <w:bCs/>
          <w:color w:val="808080" w:themeColor="background1" w:themeShade="80"/>
          <w:sz w:val="26"/>
          <w:szCs w:val="26"/>
        </w:rPr>
        <w:t>State</w:t>
      </w:r>
    </w:p>
    <w:p w:rsidR="007C7BCA" w:rsidRPr="00525D18" w:rsidRDefault="007C7BCA" w:rsidP="007C7BCA">
      <w:pPr>
        <w:ind w:right="-20"/>
        <w:rPr>
          <w:rFonts w:eastAsia="Arial"/>
          <w:color w:val="004B8D"/>
        </w:rPr>
      </w:pPr>
    </w:p>
    <w:p w:rsidR="007C7BCA" w:rsidRDefault="007C7BCA" w:rsidP="007C7BCA">
      <w:pPr>
        <w:ind w:left="284" w:right="-20"/>
        <w:rPr>
          <w:rFonts w:eastAsia="Arial"/>
        </w:rPr>
      </w:pPr>
      <w:r>
        <w:rPr>
          <w:rFonts w:eastAsia="Arial"/>
          <w:spacing w:val="-27"/>
        </w:rPr>
        <w:t>T</w:t>
      </w:r>
      <w:r>
        <w:rPr>
          <w:rFonts w:eastAsia="Arial"/>
        </w:rPr>
        <w:t>owards Zero. Road Safety Strategy to Reduce Road</w:t>
      </w:r>
      <w:r>
        <w:rPr>
          <w:rFonts w:eastAsia="Arial"/>
          <w:spacing w:val="-4"/>
        </w:rPr>
        <w:t xml:space="preserve"> </w:t>
      </w:r>
      <w:r>
        <w:rPr>
          <w:rFonts w:eastAsia="Arial"/>
          <w:spacing w:val="-9"/>
        </w:rPr>
        <w:t>T</w:t>
      </w:r>
      <w:r>
        <w:rPr>
          <w:rFonts w:eastAsia="Arial"/>
        </w:rPr>
        <w:t xml:space="preserve">rauma in </w:t>
      </w:r>
      <w:r>
        <w:rPr>
          <w:rFonts w:eastAsia="Arial"/>
          <w:spacing w:val="-4"/>
        </w:rPr>
        <w:t>W</w:t>
      </w:r>
      <w:r>
        <w:rPr>
          <w:rFonts w:eastAsia="Arial"/>
        </w:rPr>
        <w:t>estern</w:t>
      </w:r>
      <w:r>
        <w:rPr>
          <w:rFonts w:eastAsia="Arial"/>
          <w:spacing w:val="-13"/>
        </w:rPr>
        <w:t xml:space="preserve"> </w:t>
      </w:r>
      <w:r>
        <w:rPr>
          <w:rFonts w:eastAsia="Arial"/>
        </w:rPr>
        <w:t>Australia</w:t>
      </w:r>
    </w:p>
    <w:p w:rsidR="007C7BCA" w:rsidRDefault="007C7BCA" w:rsidP="007C7BCA">
      <w:pPr>
        <w:ind w:left="284" w:right="-20"/>
        <w:rPr>
          <w:rFonts w:eastAsia="Arial"/>
        </w:rPr>
      </w:pPr>
      <w:r>
        <w:rPr>
          <w:rFonts w:eastAsia="Arial"/>
        </w:rPr>
        <w:t>2008–2020</w:t>
      </w:r>
    </w:p>
    <w:p w:rsidR="007C7BCA" w:rsidRDefault="00C71FCC" w:rsidP="007C7BCA">
      <w:pPr>
        <w:ind w:left="284" w:right="-20"/>
        <w:rPr>
          <w:rFonts w:eastAsia="Arial"/>
        </w:rPr>
      </w:pPr>
      <w:hyperlink r:id="rId67">
        <w:r w:rsidR="007C7BCA">
          <w:rPr>
            <w:rFonts w:eastAsia="Arial"/>
            <w:color w:val="004B8D"/>
          </w:rPr>
          <w:t>http://ors.wa.go</w:t>
        </w:r>
        <w:r w:rsidR="007C7BCA">
          <w:rPr>
            <w:rFonts w:eastAsia="Arial"/>
            <w:color w:val="004B8D"/>
            <w:spacing w:val="-18"/>
          </w:rPr>
          <w:t>v</w:t>
        </w:r>
        <w:r w:rsidR="007C7BCA">
          <w:rPr>
            <w:rFonts w:eastAsia="Arial"/>
            <w:color w:val="004B8D"/>
          </w:rPr>
          <w:t>.au/Documents/towardszero-strateg</w:t>
        </w:r>
        <w:r w:rsidR="007C7BCA">
          <w:rPr>
            <w:rFonts w:eastAsia="Arial"/>
            <w:color w:val="004B8D"/>
            <w:spacing w:val="-18"/>
          </w:rPr>
          <w:t>y</w:t>
        </w:r>
        <w:r w:rsidR="007C7BCA">
          <w:rPr>
            <w:rFonts w:eastAsia="Arial"/>
            <w:color w:val="004B8D"/>
          </w:rPr>
          <w:t>.aspx</w:t>
        </w:r>
      </w:hyperlink>
    </w:p>
    <w:p w:rsidR="007C7BCA" w:rsidRPr="00525D18" w:rsidRDefault="007C7BCA" w:rsidP="007C7BCA">
      <w:pPr>
        <w:ind w:right="-20"/>
        <w:rPr>
          <w:rFonts w:eastAsia="Arial"/>
          <w:color w:val="004B8D"/>
        </w:rPr>
      </w:pPr>
    </w:p>
    <w:p w:rsidR="007C7BCA" w:rsidRPr="00523697" w:rsidRDefault="007C7BCA" w:rsidP="007C7BCA">
      <w:pPr>
        <w:ind w:left="284" w:right="-20"/>
        <w:rPr>
          <w:rFonts w:eastAsia="Arial"/>
          <w:spacing w:val="-27"/>
        </w:rPr>
      </w:pPr>
      <w:r>
        <w:rPr>
          <w:rFonts w:eastAsia="Arial"/>
        </w:rPr>
        <w:t>Falls Prevention Model of Care (2012)</w:t>
      </w:r>
    </w:p>
    <w:p w:rsidR="007C7BCA" w:rsidRDefault="00C71FCC" w:rsidP="007C7BCA">
      <w:pPr>
        <w:ind w:left="284" w:right="-20"/>
        <w:rPr>
          <w:rFonts w:eastAsia="Arial"/>
          <w:color w:val="004B8D"/>
        </w:rPr>
      </w:pPr>
      <w:hyperlink r:id="rId68" w:history="1">
        <w:r w:rsidR="007C7BCA" w:rsidRPr="00523697">
          <w:rPr>
            <w:rFonts w:eastAsia="Arial"/>
            <w:color w:val="004B8D"/>
          </w:rPr>
          <w:t>http://www.healthnetworks.health.wa.gov.au/modelsofcare/docs/Falls_Model_of_Care.pdf</w:t>
        </w:r>
      </w:hyperlink>
    </w:p>
    <w:p w:rsidR="007C7BCA" w:rsidRPr="00525D18" w:rsidRDefault="007C7BCA" w:rsidP="007C7BCA">
      <w:pPr>
        <w:ind w:right="-20"/>
        <w:rPr>
          <w:rFonts w:eastAsia="Arial"/>
          <w:color w:val="004B8D"/>
        </w:rPr>
      </w:pPr>
    </w:p>
    <w:p w:rsidR="007C7BCA" w:rsidRPr="00AB6010" w:rsidRDefault="007C7BCA" w:rsidP="007C7BCA">
      <w:pPr>
        <w:ind w:right="-20"/>
        <w:rPr>
          <w:rFonts w:eastAsia="Arial"/>
          <w:color w:val="808080" w:themeColor="background1" w:themeShade="80"/>
          <w:sz w:val="26"/>
          <w:szCs w:val="26"/>
        </w:rPr>
      </w:pPr>
      <w:r w:rsidRPr="00AB6010">
        <w:rPr>
          <w:rFonts w:eastAsia="Arial"/>
          <w:b/>
          <w:bCs/>
          <w:color w:val="808080" w:themeColor="background1" w:themeShade="80"/>
          <w:sz w:val="26"/>
          <w:szCs w:val="26"/>
        </w:rPr>
        <w:t>National</w:t>
      </w:r>
    </w:p>
    <w:p w:rsidR="007C7BCA" w:rsidRPr="00525D18" w:rsidRDefault="007C7BCA" w:rsidP="007C7BCA">
      <w:pPr>
        <w:ind w:right="-20"/>
        <w:rPr>
          <w:rFonts w:eastAsia="Arial"/>
          <w:color w:val="004B8D"/>
        </w:rPr>
      </w:pPr>
    </w:p>
    <w:p w:rsidR="007C7BCA" w:rsidRDefault="007C7BCA" w:rsidP="007C7BCA">
      <w:pPr>
        <w:ind w:left="284" w:right="-20" w:firstLine="7"/>
        <w:rPr>
          <w:rFonts w:eastAsia="Arial"/>
          <w:color w:val="363636"/>
          <w:w w:val="109"/>
          <w:sz w:val="23"/>
          <w:szCs w:val="23"/>
        </w:rPr>
      </w:pPr>
      <w:r w:rsidRPr="00523697">
        <w:rPr>
          <w:rFonts w:eastAsia="Arial"/>
        </w:rPr>
        <w:t>National Injury Prevention and Safety Promotion Plan: 2004</w:t>
      </w:r>
      <w:r w:rsidR="00682385">
        <w:rPr>
          <w:rFonts w:eastAsia="Arial"/>
        </w:rPr>
        <w:t>–</w:t>
      </w:r>
      <w:r w:rsidRPr="00523697">
        <w:rPr>
          <w:rFonts w:eastAsia="Arial"/>
        </w:rPr>
        <w:t>2014</w:t>
      </w:r>
    </w:p>
    <w:p w:rsidR="007C7BCA" w:rsidRDefault="00C71FCC" w:rsidP="007C7BCA">
      <w:pPr>
        <w:ind w:left="284" w:right="-20" w:firstLine="7"/>
        <w:rPr>
          <w:rFonts w:eastAsia="Arial"/>
          <w:color w:val="004B8D"/>
        </w:rPr>
      </w:pPr>
      <w:hyperlink r:id="rId69">
        <w:r w:rsidR="007C7BCA" w:rsidRPr="00523697">
          <w:rPr>
            <w:rFonts w:eastAsia="Arial"/>
            <w:color w:val="004B8D"/>
          </w:rPr>
          <w:t>http://www.nphp.gov.au/publications/sipp/nipspp.pdf</w:t>
        </w:r>
      </w:hyperlink>
    </w:p>
    <w:p w:rsidR="004F1CD4" w:rsidRPr="00523697" w:rsidRDefault="004F1CD4" w:rsidP="007C7BCA">
      <w:pPr>
        <w:ind w:left="284" w:right="-20" w:firstLine="7"/>
        <w:rPr>
          <w:rFonts w:eastAsia="Arial"/>
          <w:color w:val="004B8D"/>
        </w:rPr>
      </w:pPr>
    </w:p>
    <w:p w:rsidR="007C7BCA" w:rsidRPr="00525D18" w:rsidRDefault="007C7BCA" w:rsidP="007C7BCA">
      <w:pPr>
        <w:ind w:right="-20"/>
        <w:rPr>
          <w:rFonts w:eastAsia="Arial"/>
          <w:color w:val="004B8D"/>
        </w:rPr>
      </w:pPr>
    </w:p>
    <w:p w:rsidR="007C7BCA" w:rsidRDefault="007C7BCA" w:rsidP="007C7BCA">
      <w:pPr>
        <w:ind w:left="284" w:right="-20"/>
        <w:rPr>
          <w:rFonts w:eastAsia="Arial"/>
        </w:rPr>
      </w:pPr>
      <w:r>
        <w:rPr>
          <w:rFonts w:eastAsia="Arial"/>
        </w:rPr>
        <w:t xml:space="preserve">Australian </w:t>
      </w:r>
      <w:r>
        <w:rPr>
          <w:rFonts w:eastAsia="Arial"/>
          <w:spacing w:val="-4"/>
        </w:rPr>
        <w:t>W</w:t>
      </w:r>
      <w:r>
        <w:rPr>
          <w:rFonts w:eastAsia="Arial"/>
        </w:rPr>
        <w:t>ork Health and Safety Strategy 2012–2022</w:t>
      </w:r>
    </w:p>
    <w:p w:rsidR="007C7BCA" w:rsidRDefault="00C71FCC" w:rsidP="007C7BCA">
      <w:pPr>
        <w:ind w:left="284" w:right="-20"/>
        <w:rPr>
          <w:rFonts w:eastAsia="Arial"/>
        </w:rPr>
      </w:pPr>
      <w:hyperlink r:id="rId70">
        <w:r w:rsidR="007C7BCA">
          <w:rPr>
            <w:rFonts w:eastAsia="Arial"/>
            <w:color w:val="004B8D"/>
          </w:rPr>
          <w:t>http://ww</w:t>
        </w:r>
        <w:r w:rsidR="007C7BCA">
          <w:rPr>
            <w:rFonts w:eastAsia="Arial"/>
            <w:color w:val="004B8D"/>
            <w:spacing w:val="-13"/>
          </w:rPr>
          <w:t>w</w:t>
        </w:r>
        <w:r w:rsidR="007C7BCA">
          <w:rPr>
            <w:rFonts w:eastAsia="Arial"/>
            <w:color w:val="004B8D"/>
          </w:rPr>
          <w:t>.safeworkaustralia.go</w:t>
        </w:r>
        <w:r w:rsidR="007C7BCA">
          <w:rPr>
            <w:rFonts w:eastAsia="Arial"/>
            <w:color w:val="004B8D"/>
            <w:spacing w:val="-18"/>
          </w:rPr>
          <w:t>v</w:t>
        </w:r>
        <w:r w:rsidR="007C7BCA">
          <w:rPr>
            <w:rFonts w:eastAsia="Arial"/>
            <w:color w:val="004B8D"/>
          </w:rPr>
          <w:t>.au/sites/S</w:t>
        </w:r>
        <w:r w:rsidR="007C7BCA">
          <w:rPr>
            <w:rFonts w:eastAsia="Arial"/>
            <w:color w:val="004B8D"/>
            <w:spacing w:val="-9"/>
          </w:rPr>
          <w:t>W</w:t>
        </w:r>
        <w:r w:rsidR="007C7BCA">
          <w:rPr>
            <w:rFonts w:eastAsia="Arial"/>
            <w:color w:val="004B8D"/>
          </w:rPr>
          <w:t>A/AboutSafe</w:t>
        </w:r>
        <w:r w:rsidR="007C7BCA">
          <w:rPr>
            <w:rFonts w:eastAsia="Arial"/>
            <w:color w:val="004B8D"/>
            <w:spacing w:val="-4"/>
          </w:rPr>
          <w:t>W</w:t>
        </w:r>
        <w:r w:rsidR="007C7BCA">
          <w:rPr>
            <w:rFonts w:eastAsia="Arial"/>
            <w:color w:val="004B8D"/>
          </w:rPr>
          <w:t>orkAustralia/What</w:t>
        </w:r>
        <w:r w:rsidR="007C7BCA">
          <w:rPr>
            <w:rFonts w:eastAsia="Arial"/>
            <w:color w:val="004B8D"/>
            <w:spacing w:val="-4"/>
          </w:rPr>
          <w:t>W</w:t>
        </w:r>
        <w:r w:rsidR="007C7BCA">
          <w:rPr>
            <w:rFonts w:eastAsia="Arial"/>
            <w:color w:val="004B8D"/>
          </w:rPr>
          <w:t>eDo/</w:t>
        </w:r>
      </w:hyperlink>
      <w:hyperlink r:id="rId71">
        <w:r w:rsidR="007C7BCA">
          <w:rPr>
            <w:rFonts w:eastAsia="Arial"/>
            <w:color w:val="004B8D"/>
          </w:rPr>
          <w:t xml:space="preserve"> Publications/Pages/Australian-</w:t>
        </w:r>
        <w:r w:rsidR="007C7BCA">
          <w:rPr>
            <w:rFonts w:eastAsia="Arial"/>
            <w:color w:val="004B8D"/>
            <w:spacing w:val="-4"/>
          </w:rPr>
          <w:t>W</w:t>
        </w:r>
        <w:r w:rsidR="007C7BCA">
          <w:rPr>
            <w:rFonts w:eastAsia="Arial"/>
            <w:color w:val="004B8D"/>
          </w:rPr>
          <w:t>ork-Health-and-Safety-Strategy-2012-2022.aspx</w:t>
        </w:r>
      </w:hyperlink>
    </w:p>
    <w:p w:rsidR="007C7BCA" w:rsidRPr="00525D18" w:rsidRDefault="007C7BCA" w:rsidP="007C7BCA">
      <w:pPr>
        <w:ind w:right="-20"/>
        <w:rPr>
          <w:rFonts w:eastAsia="Arial"/>
          <w:color w:val="004B8D"/>
        </w:rPr>
      </w:pPr>
    </w:p>
    <w:p w:rsidR="007C7BCA" w:rsidRDefault="007C7BCA" w:rsidP="007C7BCA">
      <w:pPr>
        <w:ind w:left="284" w:right="-20"/>
        <w:rPr>
          <w:rFonts w:eastAsia="Arial"/>
        </w:rPr>
      </w:pPr>
      <w:r>
        <w:rPr>
          <w:rFonts w:eastAsia="Arial"/>
        </w:rPr>
        <w:t>National</w:t>
      </w:r>
      <w:r>
        <w:rPr>
          <w:rFonts w:eastAsia="Arial"/>
          <w:spacing w:val="-13"/>
        </w:rPr>
        <w:t xml:space="preserve"> </w:t>
      </w:r>
      <w:r>
        <w:rPr>
          <w:rFonts w:eastAsia="Arial"/>
        </w:rPr>
        <w:t>Aboriginal and</w:t>
      </w:r>
      <w:r>
        <w:rPr>
          <w:rFonts w:eastAsia="Arial"/>
          <w:spacing w:val="-4"/>
        </w:rPr>
        <w:t xml:space="preserve"> </w:t>
      </w:r>
      <w:r>
        <w:rPr>
          <w:rFonts w:eastAsia="Arial"/>
          <w:spacing w:val="-27"/>
        </w:rPr>
        <w:t>T</w:t>
      </w:r>
      <w:r>
        <w:rPr>
          <w:rFonts w:eastAsia="Arial"/>
        </w:rPr>
        <w:t>orres Strait Islander Safety Promotion Strategy (2005)</w:t>
      </w:r>
    </w:p>
    <w:p w:rsidR="007C7BCA" w:rsidRPr="00523697" w:rsidRDefault="00C71FCC" w:rsidP="007C7BCA">
      <w:pPr>
        <w:ind w:left="284" w:right="-20"/>
        <w:rPr>
          <w:rFonts w:eastAsia="Arial"/>
          <w:color w:val="004B8D"/>
        </w:rPr>
      </w:pPr>
      <w:hyperlink r:id="rId72" w:history="1">
        <w:r w:rsidR="007C7BCA" w:rsidRPr="00523697">
          <w:rPr>
            <w:rFonts w:eastAsia="Arial"/>
            <w:color w:val="004B8D"/>
          </w:rPr>
          <w:t>http://www.health.gov.au/internet/main/publishing.nsf/Content/health-pubhlth-strateg-injury-index.htm</w:t>
        </w:r>
      </w:hyperlink>
    </w:p>
    <w:p w:rsidR="007C7BCA" w:rsidRPr="00525D18" w:rsidRDefault="007C7BCA" w:rsidP="007C7BCA">
      <w:pPr>
        <w:ind w:right="-20"/>
        <w:rPr>
          <w:rFonts w:eastAsia="Arial"/>
          <w:color w:val="004B8D"/>
        </w:rPr>
      </w:pPr>
    </w:p>
    <w:p w:rsidR="007C7BCA" w:rsidRDefault="007C7BCA" w:rsidP="007C7BCA">
      <w:pPr>
        <w:ind w:left="284" w:right="-20"/>
      </w:pPr>
      <w:r>
        <w:rPr>
          <w:rFonts w:eastAsia="Arial"/>
        </w:rPr>
        <w:t xml:space="preserve">National Falls Prevention for Older People Plan: 2004 Onwards </w:t>
      </w:r>
      <w:hyperlink r:id="rId73" w:history="1">
        <w:r w:rsidR="000776BA" w:rsidRPr="007E5ED2">
          <w:rPr>
            <w:rStyle w:val="Hyperlink"/>
          </w:rPr>
          <w:t>http://www.health.vic.gov.au/archive/archive2014/nphp/publications/sipp/fallplan.pdf</w:t>
        </w:r>
      </w:hyperlink>
    </w:p>
    <w:p w:rsidR="007C7BCA" w:rsidRPr="00525D18" w:rsidRDefault="007C7BCA" w:rsidP="007C7BCA">
      <w:pPr>
        <w:ind w:right="-20"/>
        <w:rPr>
          <w:rFonts w:eastAsia="Arial"/>
          <w:color w:val="004B8D"/>
        </w:rPr>
      </w:pPr>
    </w:p>
    <w:p w:rsidR="007C7BCA" w:rsidRDefault="007C7BCA" w:rsidP="007C7BCA">
      <w:pPr>
        <w:ind w:left="284" w:right="-20"/>
        <w:rPr>
          <w:rFonts w:eastAsia="Arial"/>
          <w:color w:val="004B8D"/>
        </w:rPr>
      </w:pPr>
      <w:r w:rsidRPr="00523697">
        <w:rPr>
          <w:rFonts w:eastAsia="Arial"/>
        </w:rPr>
        <w:t>National Road Safety Strategy, 2011</w:t>
      </w:r>
      <w:r w:rsidR="00682385">
        <w:rPr>
          <w:rFonts w:eastAsia="Arial"/>
        </w:rPr>
        <w:t>–</w:t>
      </w:r>
      <w:r w:rsidRPr="00523697">
        <w:rPr>
          <w:rFonts w:eastAsia="Arial"/>
        </w:rPr>
        <w:t>2020</w:t>
      </w:r>
      <w:r>
        <w:rPr>
          <w:rFonts w:eastAsia="Arial"/>
          <w:color w:val="363636"/>
          <w:w w:val="114"/>
          <w:sz w:val="23"/>
          <w:szCs w:val="23"/>
        </w:rPr>
        <w:t xml:space="preserve"> </w:t>
      </w:r>
      <w:hyperlink r:id="rId74">
        <w:r w:rsidRPr="00523697">
          <w:rPr>
            <w:rFonts w:eastAsia="Arial"/>
            <w:color w:val="004B8D"/>
          </w:rPr>
          <w:t>http://infrastructure.gov.au/roads/safety/national_road_safety_strategy/index.aspx</w:t>
        </w:r>
      </w:hyperlink>
    </w:p>
    <w:p w:rsidR="007C7BCA" w:rsidRDefault="007C7BCA" w:rsidP="007C7BCA">
      <w:pPr>
        <w:ind w:right="-20"/>
        <w:rPr>
          <w:rFonts w:eastAsia="Arial"/>
          <w:color w:val="004B8D"/>
        </w:rPr>
      </w:pPr>
    </w:p>
    <w:p w:rsidR="007C7BCA" w:rsidRPr="00523697" w:rsidRDefault="007C7BCA" w:rsidP="007C7BCA">
      <w:pPr>
        <w:ind w:left="284" w:right="-20"/>
        <w:rPr>
          <w:rFonts w:eastAsia="Arial"/>
        </w:rPr>
      </w:pPr>
      <w:r w:rsidRPr="00523697">
        <w:rPr>
          <w:rFonts w:eastAsia="Arial"/>
        </w:rPr>
        <w:t>Australian Water Safety Strategy 2016</w:t>
      </w:r>
      <w:r w:rsidR="00682385">
        <w:rPr>
          <w:rFonts w:eastAsia="Arial"/>
        </w:rPr>
        <w:t>–</w:t>
      </w:r>
      <w:r w:rsidRPr="00523697">
        <w:rPr>
          <w:rFonts w:eastAsia="Arial"/>
        </w:rPr>
        <w:t>2020</w:t>
      </w:r>
    </w:p>
    <w:p w:rsidR="007C7BCA" w:rsidRDefault="00C71FCC" w:rsidP="007C7BCA">
      <w:pPr>
        <w:ind w:left="284" w:right="-20"/>
      </w:pPr>
      <w:hyperlink r:id="rId75" w:history="1">
        <w:r w:rsidR="007C7BCA" w:rsidRPr="00523697">
          <w:rPr>
            <w:rFonts w:eastAsia="Arial"/>
            <w:color w:val="004B8D"/>
          </w:rPr>
          <w:t>http://www.watersafety.com.au/AustralianWaterSafetyStrategy/2016-2020Strategy.aspx</w:t>
        </w:r>
      </w:hyperlink>
    </w:p>
    <w:p w:rsidR="00855CC3" w:rsidRDefault="00855CC3" w:rsidP="007F0DE2">
      <w:pPr>
        <w:rPr>
          <w:rFonts w:eastAsiaTheme="majorEastAsia"/>
        </w:rPr>
      </w:pPr>
      <w:r>
        <w:br w:type="page"/>
      </w:r>
    </w:p>
    <w:p w:rsidR="003B0C85" w:rsidRPr="003F5AA8" w:rsidRDefault="003B0C85" w:rsidP="003B0C85">
      <w:pPr>
        <w:pStyle w:val="Heading1"/>
        <w:rPr>
          <w:rFonts w:eastAsia="Arial"/>
        </w:rPr>
      </w:pPr>
      <w:bookmarkStart w:id="67" w:name="_Toc462049348"/>
      <w:r>
        <w:lastRenderedPageBreak/>
        <w:t xml:space="preserve">Appendix 2: </w:t>
      </w:r>
      <w:r w:rsidRPr="003F5AA8">
        <w:rPr>
          <w:rFonts w:eastAsia="Arial"/>
        </w:rPr>
        <w:t xml:space="preserve">Broad </w:t>
      </w:r>
      <w:r>
        <w:rPr>
          <w:rFonts w:eastAsia="Arial"/>
        </w:rPr>
        <w:t>i</w:t>
      </w:r>
      <w:r w:rsidRPr="003F5AA8">
        <w:rPr>
          <w:rFonts w:eastAsia="Arial"/>
        </w:rPr>
        <w:t xml:space="preserve">ndicator </w:t>
      </w:r>
      <w:r>
        <w:rPr>
          <w:rFonts w:eastAsia="Arial"/>
        </w:rPr>
        <w:t>s</w:t>
      </w:r>
      <w:r w:rsidRPr="003F5AA8">
        <w:rPr>
          <w:rFonts w:eastAsia="Arial"/>
        </w:rPr>
        <w:t xml:space="preserve">et for </w:t>
      </w:r>
      <w:r>
        <w:rPr>
          <w:rFonts w:eastAsia="Arial"/>
        </w:rPr>
        <w:t>c</w:t>
      </w:r>
      <w:r w:rsidRPr="003F5AA8">
        <w:rPr>
          <w:rFonts w:eastAsia="Arial"/>
        </w:rPr>
        <w:t xml:space="preserve">hronic </w:t>
      </w:r>
      <w:r>
        <w:rPr>
          <w:rFonts w:eastAsia="Arial"/>
        </w:rPr>
        <w:t>d</w:t>
      </w:r>
      <w:r w:rsidRPr="003F5AA8">
        <w:rPr>
          <w:rFonts w:eastAsia="Arial"/>
        </w:rPr>
        <w:t xml:space="preserve">isease and </w:t>
      </w:r>
      <w:r>
        <w:rPr>
          <w:rFonts w:eastAsia="Arial"/>
        </w:rPr>
        <w:t>i</w:t>
      </w:r>
      <w:r w:rsidRPr="003F5AA8">
        <w:rPr>
          <w:rFonts w:eastAsia="Arial"/>
        </w:rPr>
        <w:t xml:space="preserve">njury </w:t>
      </w:r>
      <w:r w:rsidR="00512C63">
        <w:rPr>
          <w:rFonts w:eastAsia="Arial"/>
        </w:rPr>
        <w:t xml:space="preserve">prevention </w:t>
      </w:r>
      <w:r w:rsidRPr="003F5AA8">
        <w:rPr>
          <w:rFonts w:eastAsia="Arial"/>
        </w:rPr>
        <w:t>in WA</w:t>
      </w:r>
      <w:bookmarkEnd w:id="67"/>
    </w:p>
    <w:p w:rsidR="00435926" w:rsidRDefault="00435926" w:rsidP="00435926">
      <w:pPr>
        <w:rPr>
          <w:rFonts w:eastAsia="Arial"/>
        </w:rPr>
      </w:pPr>
    </w:p>
    <w:p w:rsidR="00435926" w:rsidRDefault="00435926" w:rsidP="00435926">
      <w:pPr>
        <w:rPr>
          <w:rFonts w:eastAsia="Arial"/>
        </w:rPr>
      </w:pPr>
    </w:p>
    <w:p w:rsidR="00435926" w:rsidRPr="00981828" w:rsidRDefault="00435926" w:rsidP="00435926">
      <w:pPr>
        <w:rPr>
          <w:rFonts w:eastAsia="Arial"/>
        </w:rPr>
      </w:pPr>
      <w:r w:rsidRPr="00981828">
        <w:rPr>
          <w:rFonts w:eastAsia="Arial"/>
        </w:rPr>
        <w:t xml:space="preserve">Progress in WA for chronic disease and injury </w:t>
      </w:r>
      <w:r w:rsidR="00512C63">
        <w:rPr>
          <w:rFonts w:eastAsia="Arial"/>
        </w:rPr>
        <w:t xml:space="preserve">prevention </w:t>
      </w:r>
      <w:r w:rsidR="00AF528B">
        <w:rPr>
          <w:rFonts w:eastAsia="Arial"/>
        </w:rPr>
        <w:t>is</w:t>
      </w:r>
      <w:r w:rsidRPr="00981828">
        <w:rPr>
          <w:rFonts w:eastAsia="Arial"/>
        </w:rPr>
        <w:t xml:space="preserve"> partly informed by population level changes in behaviour, disease prevalence</w:t>
      </w:r>
      <w:r>
        <w:rPr>
          <w:rFonts w:eastAsia="Arial"/>
        </w:rPr>
        <w:t xml:space="preserve"> and</w:t>
      </w:r>
      <w:r w:rsidRPr="00981828">
        <w:rPr>
          <w:rFonts w:eastAsia="Arial"/>
        </w:rPr>
        <w:t xml:space="preserve"> </w:t>
      </w:r>
      <w:r>
        <w:rPr>
          <w:rFonts w:eastAsia="Arial"/>
        </w:rPr>
        <w:t xml:space="preserve">rates of </w:t>
      </w:r>
      <w:r w:rsidRPr="00981828">
        <w:rPr>
          <w:rFonts w:eastAsia="Arial"/>
        </w:rPr>
        <w:t>injury</w:t>
      </w:r>
      <w:r w:rsidRPr="00E243C2">
        <w:rPr>
          <w:rFonts w:eastAsia="Arial"/>
        </w:rPr>
        <w:t xml:space="preserve">. </w:t>
      </w:r>
      <w:r w:rsidRPr="00981828">
        <w:rPr>
          <w:rFonts w:eastAsia="Arial"/>
        </w:rPr>
        <w:t xml:space="preserve">For monitoring purposes, a set of indicators based </w:t>
      </w:r>
      <w:r w:rsidRPr="00E243C2">
        <w:rPr>
          <w:rFonts w:eastAsia="Arial"/>
        </w:rPr>
        <w:t xml:space="preserve">on </w:t>
      </w:r>
      <w:r w:rsidRPr="00981828">
        <w:rPr>
          <w:rFonts w:eastAsia="Arial"/>
        </w:rPr>
        <w:t xml:space="preserve">data collected </w:t>
      </w:r>
      <w:r w:rsidRPr="00E243C2">
        <w:rPr>
          <w:rFonts w:eastAsia="Arial"/>
        </w:rPr>
        <w:t xml:space="preserve">via the </w:t>
      </w:r>
      <w:r w:rsidRPr="00325512">
        <w:rPr>
          <w:rFonts w:eastAsia="Arial"/>
          <w:i/>
        </w:rPr>
        <w:t>WA Health and Wellbeing Surveillance System</w:t>
      </w:r>
      <w:r>
        <w:rPr>
          <w:rFonts w:eastAsia="Arial"/>
        </w:rPr>
        <w:t xml:space="preserve"> and</w:t>
      </w:r>
      <w:r w:rsidRPr="00E243C2">
        <w:rPr>
          <w:rFonts w:eastAsia="Arial"/>
        </w:rPr>
        <w:t xml:space="preserve"> </w:t>
      </w:r>
      <w:r w:rsidRPr="00325512">
        <w:rPr>
          <w:rFonts w:eastAsia="Arial"/>
          <w:i/>
        </w:rPr>
        <w:t>WA Hospital Morbidity Data System</w:t>
      </w:r>
      <w:r>
        <w:rPr>
          <w:rFonts w:eastAsia="Arial"/>
        </w:rPr>
        <w:t xml:space="preserve"> </w:t>
      </w:r>
      <w:r w:rsidRPr="00981828">
        <w:rPr>
          <w:rFonts w:eastAsia="Arial"/>
        </w:rPr>
        <w:t xml:space="preserve">is provided for </w:t>
      </w:r>
      <w:r w:rsidRPr="00E243C2">
        <w:rPr>
          <w:rFonts w:eastAsia="Arial"/>
        </w:rPr>
        <w:t xml:space="preserve">monitoring </w:t>
      </w:r>
      <w:r w:rsidRPr="00981828">
        <w:rPr>
          <w:rFonts w:eastAsia="Arial"/>
        </w:rPr>
        <w:t xml:space="preserve">progress </w:t>
      </w:r>
      <w:r>
        <w:rPr>
          <w:rFonts w:eastAsia="Arial"/>
        </w:rPr>
        <w:t>in</w:t>
      </w:r>
      <w:r w:rsidRPr="00981828">
        <w:rPr>
          <w:rFonts w:eastAsia="Arial"/>
        </w:rPr>
        <w:t xml:space="preserve"> chronic disease and injury prevention</w:t>
      </w:r>
      <w:r>
        <w:rPr>
          <w:rFonts w:eastAsia="Arial"/>
        </w:rPr>
        <w:t xml:space="preserve"> in WA across the life of this framework</w:t>
      </w:r>
      <w:r w:rsidRPr="00981828">
        <w:rPr>
          <w:rFonts w:eastAsia="Arial"/>
        </w:rPr>
        <w:t>.</w:t>
      </w:r>
    </w:p>
    <w:p w:rsidR="00435926" w:rsidRPr="00981828" w:rsidRDefault="00435926" w:rsidP="00435926">
      <w:pPr>
        <w:rPr>
          <w:rFonts w:eastAsia="Arial"/>
        </w:rPr>
      </w:pPr>
    </w:p>
    <w:p w:rsidR="00435926" w:rsidRPr="00E243C2" w:rsidRDefault="00435926" w:rsidP="00435926">
      <w:pPr>
        <w:rPr>
          <w:rFonts w:eastAsia="Arial"/>
        </w:rPr>
      </w:pPr>
      <w:r w:rsidRPr="00981828">
        <w:rPr>
          <w:rFonts w:eastAsia="Arial"/>
        </w:rPr>
        <w:t xml:space="preserve">The indicators are divided into </w:t>
      </w:r>
      <w:r>
        <w:rPr>
          <w:rFonts w:eastAsia="Arial"/>
        </w:rPr>
        <w:t xml:space="preserve">three </w:t>
      </w:r>
      <w:r w:rsidRPr="00981828">
        <w:rPr>
          <w:rFonts w:eastAsia="Arial"/>
        </w:rPr>
        <w:t>categories</w:t>
      </w:r>
      <w:r w:rsidR="00325512">
        <w:rPr>
          <w:rFonts w:eastAsia="Arial"/>
        </w:rPr>
        <w:t>—</w:t>
      </w:r>
      <w:r w:rsidRPr="00981828">
        <w:rPr>
          <w:rFonts w:eastAsia="Arial"/>
        </w:rPr>
        <w:t xml:space="preserve">(1) </w:t>
      </w:r>
      <w:r w:rsidRPr="00E243C2">
        <w:rPr>
          <w:rFonts w:eastAsia="Arial"/>
        </w:rPr>
        <w:t>modifiable behaviour, (2) disease and biomedical</w:t>
      </w:r>
      <w:r>
        <w:rPr>
          <w:rFonts w:eastAsia="Arial"/>
        </w:rPr>
        <w:t xml:space="preserve"> and</w:t>
      </w:r>
      <w:r w:rsidRPr="00E243C2">
        <w:rPr>
          <w:rFonts w:eastAsia="Arial"/>
        </w:rPr>
        <w:t xml:space="preserve"> (3) injury events. It should be noted that these indicators are a broad </w:t>
      </w:r>
      <w:r>
        <w:rPr>
          <w:rFonts w:eastAsia="Arial"/>
        </w:rPr>
        <w:t xml:space="preserve">examples </w:t>
      </w:r>
      <w:r w:rsidRPr="00E243C2">
        <w:rPr>
          <w:rFonts w:eastAsia="Arial"/>
        </w:rPr>
        <w:t xml:space="preserve">only and </w:t>
      </w:r>
      <w:r>
        <w:rPr>
          <w:rFonts w:eastAsia="Arial"/>
        </w:rPr>
        <w:t>do not represent</w:t>
      </w:r>
      <w:r w:rsidRPr="00E243C2">
        <w:rPr>
          <w:rFonts w:eastAsia="Arial"/>
        </w:rPr>
        <w:t xml:space="preserve"> specific sub-populations that may be associated with greater risk and priority.</w:t>
      </w:r>
    </w:p>
    <w:p w:rsidR="00435926" w:rsidRPr="00435926" w:rsidRDefault="00435926" w:rsidP="00435926"/>
    <w:p w:rsidR="00224508" w:rsidRDefault="00224508">
      <w:pPr>
        <w:widowControl/>
        <w:spacing w:after="200" w:line="276" w:lineRule="auto"/>
      </w:pPr>
      <w:r>
        <w:br w:type="page"/>
      </w:r>
    </w:p>
    <w:p w:rsidR="00224508" w:rsidRPr="009D25B5" w:rsidRDefault="00A97FF1" w:rsidP="00224508">
      <w:pPr>
        <w:spacing w:after="120"/>
        <w:jc w:val="center"/>
        <w:rPr>
          <w:rFonts w:eastAsia="Arial"/>
          <w:b/>
          <w:bCs/>
          <w:color w:val="808080" w:themeColor="background1" w:themeShade="80"/>
          <w:sz w:val="26"/>
          <w:szCs w:val="26"/>
        </w:rPr>
      </w:pPr>
      <w:r>
        <w:rPr>
          <w:rFonts w:eastAsia="Arial"/>
          <w:b/>
          <w:bCs/>
          <w:color w:val="808080" w:themeColor="background1" w:themeShade="80"/>
          <w:sz w:val="26"/>
          <w:szCs w:val="26"/>
        </w:rPr>
        <w:lastRenderedPageBreak/>
        <w:t xml:space="preserve">1.  </w:t>
      </w:r>
      <w:r w:rsidR="00224508" w:rsidRPr="009D25B5">
        <w:rPr>
          <w:rFonts w:eastAsia="Arial"/>
          <w:b/>
          <w:bCs/>
          <w:color w:val="808080" w:themeColor="background1" w:themeShade="80"/>
          <w:sz w:val="26"/>
          <w:szCs w:val="26"/>
        </w:rPr>
        <w:t xml:space="preserve">Modifiable </w:t>
      </w:r>
      <w:r w:rsidR="00325512" w:rsidRPr="009D25B5">
        <w:rPr>
          <w:rFonts w:eastAsia="Arial"/>
          <w:b/>
          <w:bCs/>
          <w:color w:val="808080" w:themeColor="background1" w:themeShade="80"/>
          <w:sz w:val="26"/>
          <w:szCs w:val="26"/>
        </w:rPr>
        <w:t>b</w:t>
      </w:r>
      <w:r w:rsidR="00224508" w:rsidRPr="009D25B5">
        <w:rPr>
          <w:rFonts w:eastAsia="Arial"/>
          <w:b/>
          <w:bCs/>
          <w:color w:val="808080" w:themeColor="background1" w:themeShade="80"/>
          <w:sz w:val="26"/>
          <w:szCs w:val="26"/>
        </w:rPr>
        <w:t>ehaviour</w:t>
      </w:r>
    </w:p>
    <w:tbl>
      <w:tblPr>
        <w:tblW w:w="9308" w:type="dxa"/>
        <w:jc w:val="center"/>
        <w:tblLayout w:type="fixed"/>
        <w:tblLook w:val="04A0" w:firstRow="1" w:lastRow="0" w:firstColumn="1" w:lastColumn="0" w:noHBand="0" w:noVBand="1"/>
      </w:tblPr>
      <w:tblGrid>
        <w:gridCol w:w="5386"/>
        <w:gridCol w:w="3922"/>
      </w:tblGrid>
      <w:tr w:rsidR="00224508" w:rsidTr="00262C0A">
        <w:trPr>
          <w:trHeight w:val="454"/>
          <w:jc w:val="center"/>
        </w:trPr>
        <w:tc>
          <w:tcPr>
            <w:tcW w:w="5386" w:type="dxa"/>
            <w:tcBorders>
              <w:top w:val="single" w:sz="4" w:space="0" w:color="auto"/>
            </w:tcBorders>
            <w:vAlign w:val="center"/>
          </w:tcPr>
          <w:p w:rsidR="00224508" w:rsidRPr="00053047" w:rsidRDefault="00224508" w:rsidP="00831AE2">
            <w:pPr>
              <w:ind w:right="-108"/>
              <w:rPr>
                <w:rFonts w:eastAsia="Arial"/>
                <w:b/>
                <w:bCs/>
                <w:sz w:val="26"/>
                <w:szCs w:val="26"/>
              </w:rPr>
            </w:pPr>
            <w:r w:rsidRPr="00E243C2">
              <w:rPr>
                <w:rFonts w:eastAsia="Arial"/>
                <w:b/>
                <w:bCs/>
                <w:szCs w:val="26"/>
              </w:rPr>
              <w:t xml:space="preserve">Tobacco </w:t>
            </w:r>
            <w:r w:rsidR="00831AE2">
              <w:rPr>
                <w:rFonts w:eastAsia="Arial"/>
                <w:b/>
                <w:bCs/>
                <w:szCs w:val="26"/>
              </w:rPr>
              <w:t>s</w:t>
            </w:r>
            <w:r w:rsidRPr="00E243C2">
              <w:rPr>
                <w:rFonts w:eastAsia="Arial"/>
                <w:b/>
                <w:bCs/>
                <w:szCs w:val="26"/>
              </w:rPr>
              <w:t>moking</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Cs/>
              </w:rPr>
            </w:pPr>
            <w:r>
              <w:rPr>
                <w:rFonts w:eastAsia="Arial"/>
                <w:bCs/>
              </w:rPr>
              <w:t>WA Health and Wellbeing Surveillance System</w:t>
            </w:r>
          </w:p>
          <w:p w:rsidR="00224508" w:rsidRDefault="00224508" w:rsidP="00262C0A">
            <w:pPr>
              <w:ind w:left="-108" w:right="-108"/>
              <w:rPr>
                <w:rFonts w:eastAsia="Arial"/>
                <w:b/>
                <w:bCs/>
              </w:rPr>
            </w:pPr>
          </w:p>
          <w:p w:rsidR="00224508" w:rsidRPr="00053047" w:rsidRDefault="00224508" w:rsidP="00262C0A">
            <w:pPr>
              <w:ind w:left="-108" w:right="-108"/>
              <w:rPr>
                <w:rFonts w:eastAsia="Arial"/>
                <w:b/>
                <w:bCs/>
                <w:sz w:val="26"/>
                <w:szCs w:val="26"/>
              </w:rPr>
            </w:pPr>
            <w:r w:rsidRPr="00E243C2">
              <w:rPr>
                <w:rFonts w:eastAsia="Arial"/>
                <w:b/>
                <w:bCs/>
              </w:rPr>
              <w:t>Trend</w:t>
            </w:r>
            <w:r>
              <w:rPr>
                <w:rFonts w:eastAsia="Arial"/>
                <w:bCs/>
              </w:rPr>
              <w:t>: T</w:t>
            </w:r>
            <w:r w:rsidRPr="00E243C2">
              <w:rPr>
                <w:rFonts w:eastAsia="Arial"/>
                <w:bCs/>
              </w:rPr>
              <w:t xml:space="preserve">obacco smoking in WA in people 16 years of age </w:t>
            </w:r>
            <w:r>
              <w:rPr>
                <w:rFonts w:eastAsia="Arial"/>
                <w:bCs/>
              </w:rPr>
              <w:t>and older declined steadily between 2002 and 2015</w:t>
            </w:r>
            <w:r w:rsidRPr="00E243C2">
              <w:rPr>
                <w:rFonts w:eastAsia="Arial"/>
                <w:bCs/>
              </w:rPr>
              <w:t>.</w:t>
            </w:r>
          </w:p>
        </w:tc>
      </w:tr>
      <w:tr w:rsidR="00224508" w:rsidTr="00B41AEC">
        <w:trPr>
          <w:trHeight w:val="3828"/>
          <w:jc w:val="center"/>
        </w:trPr>
        <w:tc>
          <w:tcPr>
            <w:tcW w:w="5386" w:type="dxa"/>
            <w:tcBorders>
              <w:bottom w:val="single" w:sz="4" w:space="0" w:color="auto"/>
            </w:tcBorders>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3333C27B" wp14:editId="63B8BDE0">
                  <wp:extent cx="3370997" cy="2347415"/>
                  <wp:effectExtent l="0" t="0" r="127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tc>
        <w:tc>
          <w:tcPr>
            <w:tcW w:w="3922" w:type="dxa"/>
            <w:vMerge/>
            <w:tcBorders>
              <w:bottom w:val="single" w:sz="4" w:space="0" w:color="auto"/>
            </w:tcBorders>
          </w:tcPr>
          <w:p w:rsidR="00224508" w:rsidRPr="0041347A" w:rsidRDefault="00224508" w:rsidP="00262C0A">
            <w:pPr>
              <w:ind w:left="-108" w:right="-108"/>
              <w:rPr>
                <w:rFonts w:eastAsia="Arial"/>
                <w:bCs/>
                <w:sz w:val="20"/>
                <w:szCs w:val="20"/>
              </w:rPr>
            </w:pPr>
          </w:p>
        </w:tc>
      </w:tr>
      <w:tr w:rsidR="00224508" w:rsidTr="00262C0A">
        <w:trPr>
          <w:trHeight w:val="454"/>
          <w:jc w:val="center"/>
        </w:trPr>
        <w:tc>
          <w:tcPr>
            <w:tcW w:w="5386" w:type="dxa"/>
            <w:tcBorders>
              <w:top w:val="single" w:sz="4" w:space="0" w:color="auto"/>
            </w:tcBorders>
            <w:vAlign w:val="center"/>
          </w:tcPr>
          <w:p w:rsidR="00224508" w:rsidRPr="00053047" w:rsidRDefault="00224508" w:rsidP="00831AE2">
            <w:pPr>
              <w:ind w:right="-108"/>
              <w:rPr>
                <w:rFonts w:eastAsia="Arial"/>
                <w:b/>
                <w:bCs/>
                <w:sz w:val="26"/>
                <w:szCs w:val="26"/>
              </w:rPr>
            </w:pPr>
            <w:r w:rsidRPr="00E243C2">
              <w:rPr>
                <w:rFonts w:eastAsia="Arial"/>
                <w:b/>
                <w:bCs/>
                <w:szCs w:val="26"/>
              </w:rPr>
              <w:t xml:space="preserve">Physical </w:t>
            </w:r>
            <w:r w:rsidR="00831AE2">
              <w:rPr>
                <w:rFonts w:eastAsia="Arial"/>
                <w:b/>
                <w:bCs/>
                <w:szCs w:val="26"/>
              </w:rPr>
              <w:t>a</w:t>
            </w:r>
            <w:r w:rsidRPr="00E243C2">
              <w:rPr>
                <w:rFonts w:eastAsia="Arial"/>
                <w:b/>
                <w:bCs/>
                <w:szCs w:val="26"/>
              </w:rPr>
              <w:t>ctivity</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p>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Health and Wellbeing Surveillance System</w:t>
            </w:r>
          </w:p>
          <w:p w:rsidR="00224508" w:rsidRDefault="00224508" w:rsidP="00262C0A">
            <w:pPr>
              <w:ind w:left="-108" w:right="-108"/>
              <w:rPr>
                <w:rFonts w:eastAsia="Arial"/>
                <w:b/>
                <w:bCs/>
              </w:rPr>
            </w:pPr>
          </w:p>
          <w:p w:rsidR="00224508" w:rsidRPr="00053047" w:rsidRDefault="00224508" w:rsidP="00262C0A">
            <w:pPr>
              <w:ind w:left="-108" w:right="-108"/>
              <w:rPr>
                <w:rFonts w:eastAsia="Arial"/>
                <w:b/>
                <w:bCs/>
                <w:sz w:val="26"/>
                <w:szCs w:val="26"/>
              </w:rPr>
            </w:pPr>
            <w:r w:rsidRPr="00E243C2">
              <w:rPr>
                <w:rFonts w:eastAsia="Arial"/>
                <w:b/>
                <w:bCs/>
              </w:rPr>
              <w:t>Trend</w:t>
            </w:r>
            <w:r>
              <w:rPr>
                <w:rFonts w:eastAsia="Arial"/>
                <w:b/>
                <w:bCs/>
              </w:rPr>
              <w:t>s</w:t>
            </w:r>
            <w:r>
              <w:rPr>
                <w:rFonts w:eastAsia="Arial"/>
                <w:bCs/>
              </w:rPr>
              <w:t xml:space="preserve">: Compliance with physical activity recommendations </w:t>
            </w:r>
            <w:r w:rsidRPr="00E243C2">
              <w:rPr>
                <w:rFonts w:eastAsia="Arial"/>
                <w:bCs/>
              </w:rPr>
              <w:t xml:space="preserve">in WA </w:t>
            </w:r>
            <w:r>
              <w:rPr>
                <w:rFonts w:eastAsia="Arial"/>
                <w:bCs/>
              </w:rPr>
              <w:t>adults (16+ years) increased slightly but significantly between 2007 and 2015. For children aged 5 to 15 years, compliance with physical activity recommendations has gradually decreased between 2007 and 2014.</w:t>
            </w:r>
          </w:p>
        </w:tc>
      </w:tr>
      <w:tr w:rsidR="00224508" w:rsidTr="00B41AEC">
        <w:trPr>
          <w:trHeight w:val="4090"/>
          <w:jc w:val="center"/>
        </w:trPr>
        <w:tc>
          <w:tcPr>
            <w:tcW w:w="5386" w:type="dxa"/>
            <w:tcBorders>
              <w:bottom w:val="single" w:sz="4" w:space="0" w:color="auto"/>
            </w:tcBorders>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4159285F" wp14:editId="146E90DE">
                  <wp:extent cx="3370997" cy="2470245"/>
                  <wp:effectExtent l="0" t="0" r="1270" b="635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tc>
        <w:tc>
          <w:tcPr>
            <w:tcW w:w="3922" w:type="dxa"/>
            <w:vMerge/>
            <w:tcBorders>
              <w:bottom w:val="single" w:sz="4" w:space="0" w:color="auto"/>
            </w:tcBorders>
          </w:tcPr>
          <w:p w:rsidR="00224508" w:rsidRPr="00E243C2" w:rsidRDefault="00224508" w:rsidP="00262C0A">
            <w:pPr>
              <w:ind w:left="-108" w:right="-108"/>
              <w:rPr>
                <w:rFonts w:eastAsia="Arial"/>
                <w:bCs/>
              </w:rPr>
            </w:pPr>
          </w:p>
        </w:tc>
      </w:tr>
      <w:tr w:rsidR="00224508" w:rsidTr="00262C0A">
        <w:trPr>
          <w:trHeight w:val="454"/>
          <w:jc w:val="center"/>
        </w:trPr>
        <w:tc>
          <w:tcPr>
            <w:tcW w:w="5386" w:type="dxa"/>
            <w:tcBorders>
              <w:top w:val="single" w:sz="4" w:space="0" w:color="auto"/>
            </w:tcBorders>
            <w:vAlign w:val="center"/>
          </w:tcPr>
          <w:p w:rsidR="00224508" w:rsidRPr="00053047" w:rsidRDefault="00224508" w:rsidP="00831AE2">
            <w:pPr>
              <w:ind w:right="-108"/>
              <w:rPr>
                <w:rFonts w:eastAsia="Arial"/>
                <w:b/>
                <w:bCs/>
                <w:sz w:val="26"/>
                <w:szCs w:val="26"/>
              </w:rPr>
            </w:pPr>
            <w:r w:rsidRPr="00E243C2">
              <w:rPr>
                <w:rFonts w:eastAsia="Arial"/>
                <w:b/>
                <w:bCs/>
                <w:szCs w:val="26"/>
              </w:rPr>
              <w:t xml:space="preserve">Sedentary </w:t>
            </w:r>
            <w:r w:rsidR="00831AE2">
              <w:rPr>
                <w:rFonts w:eastAsia="Arial"/>
                <w:b/>
                <w:bCs/>
                <w:szCs w:val="26"/>
              </w:rPr>
              <w:t>b</w:t>
            </w:r>
            <w:r>
              <w:rPr>
                <w:rFonts w:eastAsia="Arial"/>
                <w:b/>
                <w:bCs/>
                <w:szCs w:val="26"/>
              </w:rPr>
              <w:t xml:space="preserve">ehaviour in </w:t>
            </w:r>
            <w:r w:rsidR="00831AE2">
              <w:rPr>
                <w:rFonts w:eastAsia="Arial"/>
                <w:b/>
                <w:bCs/>
                <w:szCs w:val="26"/>
              </w:rPr>
              <w:t>c</w:t>
            </w:r>
            <w:r>
              <w:rPr>
                <w:rFonts w:eastAsia="Arial"/>
                <w:b/>
                <w:bCs/>
                <w:szCs w:val="26"/>
              </w:rPr>
              <w:t>hildren</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Health and Wellbeing Surveillance System</w:t>
            </w:r>
          </w:p>
          <w:p w:rsidR="00224508" w:rsidRDefault="00224508" w:rsidP="00262C0A">
            <w:pPr>
              <w:ind w:left="-108" w:right="-108"/>
              <w:rPr>
                <w:rFonts w:eastAsia="Arial"/>
                <w:b/>
                <w:bCs/>
              </w:rPr>
            </w:pPr>
          </w:p>
          <w:p w:rsidR="00224508" w:rsidRPr="00E243C2" w:rsidRDefault="00224508" w:rsidP="00D65FB4">
            <w:pPr>
              <w:ind w:left="-108" w:right="-108"/>
              <w:rPr>
                <w:rFonts w:eastAsia="Arial"/>
                <w:b/>
                <w:bCs/>
                <w:sz w:val="26"/>
                <w:szCs w:val="26"/>
              </w:rPr>
            </w:pPr>
            <w:r w:rsidRPr="00E243C2">
              <w:rPr>
                <w:rFonts w:eastAsia="Arial"/>
                <w:b/>
                <w:bCs/>
              </w:rPr>
              <w:t>Trend</w:t>
            </w:r>
            <w:r>
              <w:rPr>
                <w:rFonts w:eastAsia="Arial"/>
                <w:bCs/>
              </w:rPr>
              <w:t xml:space="preserve">: Compliance with sedentary behaviour </w:t>
            </w:r>
            <w:r w:rsidR="00D65FB4">
              <w:rPr>
                <w:rFonts w:eastAsia="Arial"/>
                <w:bCs/>
              </w:rPr>
              <w:t xml:space="preserve">recommendations in WA children aged </w:t>
            </w:r>
            <w:r>
              <w:rPr>
                <w:rFonts w:eastAsia="Arial"/>
                <w:bCs/>
              </w:rPr>
              <w:t>0</w:t>
            </w:r>
            <w:r w:rsidR="00D65FB4">
              <w:rPr>
                <w:rFonts w:eastAsia="Arial"/>
                <w:bCs/>
              </w:rPr>
              <w:t xml:space="preserve"> to 1</w:t>
            </w:r>
            <w:r>
              <w:rPr>
                <w:rFonts w:eastAsia="Arial"/>
                <w:bCs/>
              </w:rPr>
              <w:t xml:space="preserve">5 years has </w:t>
            </w:r>
            <w:r w:rsidR="00D65FB4">
              <w:rPr>
                <w:rFonts w:eastAsia="Arial"/>
                <w:bCs/>
              </w:rPr>
              <w:t>increased slightly</w:t>
            </w:r>
            <w:r>
              <w:rPr>
                <w:rFonts w:eastAsia="Arial"/>
                <w:bCs/>
              </w:rPr>
              <w:t xml:space="preserve"> </w:t>
            </w:r>
            <w:r w:rsidR="00D65FB4">
              <w:rPr>
                <w:rFonts w:eastAsia="Arial"/>
                <w:bCs/>
              </w:rPr>
              <w:t>since 2003</w:t>
            </w:r>
            <w:r>
              <w:rPr>
                <w:rFonts w:eastAsia="Arial"/>
                <w:bCs/>
              </w:rPr>
              <w:t>. Compliance in 2014 was significantly higher than in 2004.</w:t>
            </w:r>
          </w:p>
        </w:tc>
      </w:tr>
      <w:tr w:rsidR="00224508" w:rsidTr="00262C0A">
        <w:trPr>
          <w:trHeight w:val="4037"/>
          <w:jc w:val="center"/>
        </w:trPr>
        <w:tc>
          <w:tcPr>
            <w:tcW w:w="5386" w:type="dxa"/>
            <w:tcBorders>
              <w:bottom w:val="single" w:sz="4" w:space="0" w:color="auto"/>
            </w:tcBorders>
            <w:vAlign w:val="center"/>
          </w:tcPr>
          <w:p w:rsidR="00224508" w:rsidRPr="00121DC0" w:rsidRDefault="00224508" w:rsidP="00262C0A">
            <w:pPr>
              <w:spacing w:after="60"/>
              <w:ind w:left="-108" w:right="-108"/>
              <w:rPr>
                <w:rFonts w:eastAsia="Arial"/>
                <w:b/>
                <w:bCs/>
                <w:sz w:val="26"/>
                <w:szCs w:val="26"/>
              </w:rPr>
            </w:pPr>
            <w:r>
              <w:rPr>
                <w:noProof/>
                <w:lang w:val="en-AU" w:eastAsia="en-AU"/>
              </w:rPr>
              <w:drawing>
                <wp:inline distT="0" distB="0" distL="0" distR="0" wp14:anchorId="70B84BA5" wp14:editId="693ADF37">
                  <wp:extent cx="3357349" cy="2442950"/>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tc>
        <w:tc>
          <w:tcPr>
            <w:tcW w:w="3922" w:type="dxa"/>
            <w:vMerge/>
            <w:tcBorders>
              <w:bottom w:val="single" w:sz="4" w:space="0" w:color="auto"/>
            </w:tcBorders>
          </w:tcPr>
          <w:p w:rsidR="00224508" w:rsidRPr="00E243C2" w:rsidRDefault="00224508" w:rsidP="00262C0A">
            <w:pPr>
              <w:ind w:left="-108" w:right="-108"/>
              <w:rPr>
                <w:rFonts w:eastAsia="Arial"/>
                <w:bCs/>
              </w:rPr>
            </w:pPr>
          </w:p>
        </w:tc>
      </w:tr>
    </w:tbl>
    <w:p w:rsidR="00224508" w:rsidRPr="009D25B5" w:rsidRDefault="00A97FF1" w:rsidP="00224508">
      <w:pPr>
        <w:spacing w:after="120"/>
        <w:jc w:val="center"/>
        <w:rPr>
          <w:rFonts w:eastAsia="Arial"/>
          <w:b/>
          <w:bCs/>
          <w:color w:val="808080" w:themeColor="background1" w:themeShade="80"/>
          <w:sz w:val="26"/>
          <w:szCs w:val="26"/>
        </w:rPr>
      </w:pPr>
      <w:r>
        <w:rPr>
          <w:rFonts w:eastAsia="Arial"/>
          <w:b/>
          <w:bCs/>
          <w:color w:val="808080" w:themeColor="background1" w:themeShade="80"/>
          <w:sz w:val="26"/>
          <w:szCs w:val="26"/>
        </w:rPr>
        <w:lastRenderedPageBreak/>
        <w:t xml:space="preserve">1.  </w:t>
      </w:r>
      <w:r w:rsidR="00224508" w:rsidRPr="009D25B5">
        <w:rPr>
          <w:rFonts w:eastAsia="Arial"/>
          <w:b/>
          <w:bCs/>
          <w:color w:val="808080" w:themeColor="background1" w:themeShade="80"/>
          <w:sz w:val="26"/>
          <w:szCs w:val="26"/>
        </w:rPr>
        <w:t xml:space="preserve">Modifiable </w:t>
      </w:r>
      <w:r w:rsidR="00831AE2" w:rsidRPr="009D25B5">
        <w:rPr>
          <w:rFonts w:eastAsia="Arial"/>
          <w:b/>
          <w:bCs/>
          <w:color w:val="808080" w:themeColor="background1" w:themeShade="80"/>
          <w:sz w:val="26"/>
          <w:szCs w:val="26"/>
        </w:rPr>
        <w:t>b</w:t>
      </w:r>
      <w:r w:rsidR="00224508" w:rsidRPr="009D25B5">
        <w:rPr>
          <w:rFonts w:eastAsia="Arial"/>
          <w:b/>
          <w:bCs/>
          <w:color w:val="808080" w:themeColor="background1" w:themeShade="80"/>
          <w:sz w:val="26"/>
          <w:szCs w:val="26"/>
        </w:rPr>
        <w:t>ehaviour</w:t>
      </w:r>
    </w:p>
    <w:tbl>
      <w:tblPr>
        <w:tblW w:w="9308" w:type="dxa"/>
        <w:jc w:val="center"/>
        <w:tblLayout w:type="fixed"/>
        <w:tblLook w:val="04A0" w:firstRow="1" w:lastRow="0" w:firstColumn="1" w:lastColumn="0" w:noHBand="0" w:noVBand="1"/>
      </w:tblPr>
      <w:tblGrid>
        <w:gridCol w:w="5386"/>
        <w:gridCol w:w="3922"/>
      </w:tblGrid>
      <w:tr w:rsidR="00224508" w:rsidRPr="00AE7FB2" w:rsidTr="00262C0A">
        <w:trPr>
          <w:trHeight w:val="454"/>
          <w:jc w:val="center"/>
        </w:trPr>
        <w:tc>
          <w:tcPr>
            <w:tcW w:w="5386" w:type="dxa"/>
            <w:tcBorders>
              <w:top w:val="single" w:sz="4" w:space="0" w:color="auto"/>
            </w:tcBorders>
            <w:vAlign w:val="center"/>
          </w:tcPr>
          <w:p w:rsidR="00224508" w:rsidRPr="00AE7FB2" w:rsidRDefault="00224508" w:rsidP="006120D7">
            <w:pPr>
              <w:ind w:right="-108"/>
              <w:rPr>
                <w:rFonts w:eastAsia="Arial"/>
                <w:b/>
                <w:bCs/>
                <w:szCs w:val="26"/>
              </w:rPr>
            </w:pPr>
            <w:r>
              <w:rPr>
                <w:rFonts w:eastAsia="Arial"/>
                <w:b/>
                <w:bCs/>
                <w:szCs w:val="26"/>
              </w:rPr>
              <w:t xml:space="preserve">Fruit and </w:t>
            </w:r>
            <w:r w:rsidR="006120D7">
              <w:rPr>
                <w:rFonts w:eastAsia="Arial"/>
                <w:b/>
                <w:bCs/>
                <w:szCs w:val="26"/>
              </w:rPr>
              <w:t>v</w:t>
            </w:r>
            <w:r>
              <w:rPr>
                <w:rFonts w:eastAsia="Arial"/>
                <w:b/>
                <w:bCs/>
                <w:szCs w:val="26"/>
              </w:rPr>
              <w:t xml:space="preserve">egetable </w:t>
            </w:r>
            <w:r w:rsidR="006120D7">
              <w:rPr>
                <w:rFonts w:eastAsia="Arial"/>
                <w:b/>
                <w:bCs/>
                <w:szCs w:val="26"/>
              </w:rPr>
              <w:t>c</w:t>
            </w:r>
            <w:r>
              <w:rPr>
                <w:rFonts w:eastAsia="Arial"/>
                <w:b/>
                <w:bCs/>
                <w:szCs w:val="26"/>
              </w:rPr>
              <w:t>onsumption</w:t>
            </w:r>
            <w:r w:rsidR="00831AE2">
              <w:rPr>
                <w:rFonts w:eastAsia="Arial"/>
                <w:b/>
                <w:bCs/>
                <w:szCs w:val="26"/>
              </w:rPr>
              <w:t xml:space="preserve"> in a</w:t>
            </w:r>
            <w:r>
              <w:rPr>
                <w:rFonts w:eastAsia="Arial"/>
                <w:b/>
                <w:bCs/>
                <w:szCs w:val="26"/>
              </w:rPr>
              <w:t>dults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Health and Wellbeing Surveillance System</w:t>
            </w:r>
          </w:p>
          <w:p w:rsidR="00224508" w:rsidRDefault="00224508" w:rsidP="00262C0A">
            <w:pPr>
              <w:ind w:left="-108" w:right="-108"/>
              <w:rPr>
                <w:rFonts w:eastAsia="Arial"/>
                <w:b/>
                <w:bCs/>
              </w:rPr>
            </w:pPr>
          </w:p>
          <w:p w:rsidR="00224508" w:rsidRPr="00E243C2" w:rsidRDefault="00224508" w:rsidP="00262C0A">
            <w:pPr>
              <w:ind w:left="-108" w:right="-108"/>
              <w:rPr>
                <w:rFonts w:eastAsia="Arial"/>
                <w:b/>
                <w:bCs/>
                <w:szCs w:val="26"/>
              </w:rPr>
            </w:pPr>
            <w:r w:rsidRPr="001C2A6F">
              <w:rPr>
                <w:rFonts w:eastAsia="Arial"/>
                <w:b/>
                <w:bCs/>
              </w:rPr>
              <w:t>Trend</w:t>
            </w:r>
            <w:r>
              <w:rPr>
                <w:rFonts w:eastAsia="Arial"/>
                <w:b/>
                <w:bCs/>
              </w:rPr>
              <w:t>s</w:t>
            </w:r>
            <w:r>
              <w:rPr>
                <w:rFonts w:eastAsia="Arial"/>
                <w:bCs/>
              </w:rPr>
              <w:t>: Mean serves of fruit and vegetable consumed by adults over the age of 16 years remained steady between 2002 and 2015.</w:t>
            </w:r>
          </w:p>
        </w:tc>
      </w:tr>
      <w:tr w:rsidR="00224508" w:rsidTr="00B41AEC">
        <w:trPr>
          <w:trHeight w:val="3970"/>
          <w:jc w:val="center"/>
        </w:trPr>
        <w:tc>
          <w:tcPr>
            <w:tcW w:w="5386" w:type="dxa"/>
            <w:tcBorders>
              <w:bottom w:val="single" w:sz="4" w:space="0" w:color="auto"/>
            </w:tcBorders>
            <w:vAlign w:val="center"/>
          </w:tcPr>
          <w:p w:rsidR="00224508" w:rsidRDefault="00224508" w:rsidP="00262C0A">
            <w:pPr>
              <w:spacing w:after="60"/>
              <w:ind w:left="-108" w:right="-108"/>
              <w:rPr>
                <w:noProof/>
                <w:lang w:val="en-AU" w:eastAsia="en-AU"/>
              </w:rPr>
            </w:pPr>
            <w:r>
              <w:rPr>
                <w:noProof/>
                <w:lang w:val="en-AU" w:eastAsia="en-AU"/>
              </w:rPr>
              <w:drawing>
                <wp:inline distT="0" distB="0" distL="0" distR="0" wp14:anchorId="12923EF0" wp14:editId="0F853DA1">
                  <wp:extent cx="3296093" cy="2488019"/>
                  <wp:effectExtent l="0" t="0" r="0" b="762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tc>
        <w:tc>
          <w:tcPr>
            <w:tcW w:w="3922" w:type="dxa"/>
            <w:vMerge/>
            <w:tcBorders>
              <w:bottom w:val="single" w:sz="4" w:space="0" w:color="auto"/>
            </w:tcBorders>
            <w:vAlign w:val="center"/>
          </w:tcPr>
          <w:p w:rsidR="00224508" w:rsidRDefault="00224508" w:rsidP="00262C0A">
            <w:pPr>
              <w:ind w:left="-108" w:right="-108"/>
              <w:rPr>
                <w:rFonts w:eastAsia="Arial"/>
                <w:bCs/>
              </w:rPr>
            </w:pPr>
          </w:p>
        </w:tc>
      </w:tr>
      <w:tr w:rsidR="00224508" w:rsidRPr="001C2A6F" w:rsidTr="00262C0A">
        <w:trPr>
          <w:trHeight w:val="454"/>
          <w:jc w:val="center"/>
        </w:trPr>
        <w:tc>
          <w:tcPr>
            <w:tcW w:w="5386" w:type="dxa"/>
            <w:tcBorders>
              <w:top w:val="single" w:sz="4" w:space="0" w:color="auto"/>
            </w:tcBorders>
            <w:vAlign w:val="center"/>
          </w:tcPr>
          <w:p w:rsidR="00224508" w:rsidRPr="001C2A6F" w:rsidRDefault="00224508" w:rsidP="006120D7">
            <w:pPr>
              <w:ind w:right="-108"/>
              <w:rPr>
                <w:rFonts w:eastAsia="Arial"/>
                <w:b/>
                <w:bCs/>
                <w:szCs w:val="26"/>
              </w:rPr>
            </w:pPr>
            <w:r>
              <w:rPr>
                <w:rFonts w:eastAsia="Arial"/>
                <w:b/>
                <w:bCs/>
                <w:szCs w:val="26"/>
              </w:rPr>
              <w:t xml:space="preserve">Fruit and </w:t>
            </w:r>
            <w:r w:rsidR="006120D7">
              <w:rPr>
                <w:rFonts w:eastAsia="Arial"/>
                <w:b/>
                <w:bCs/>
                <w:szCs w:val="26"/>
              </w:rPr>
              <w:t>v</w:t>
            </w:r>
            <w:r>
              <w:rPr>
                <w:rFonts w:eastAsia="Arial"/>
                <w:b/>
                <w:bCs/>
                <w:szCs w:val="26"/>
              </w:rPr>
              <w:t xml:space="preserve">egetable </w:t>
            </w:r>
            <w:r w:rsidR="006120D7">
              <w:rPr>
                <w:rFonts w:eastAsia="Arial"/>
                <w:b/>
                <w:bCs/>
                <w:szCs w:val="26"/>
              </w:rPr>
              <w:t>c</w:t>
            </w:r>
            <w:r>
              <w:rPr>
                <w:rFonts w:eastAsia="Arial"/>
                <w:b/>
                <w:bCs/>
                <w:szCs w:val="26"/>
              </w:rPr>
              <w:t xml:space="preserve">onsumption </w:t>
            </w:r>
            <w:r w:rsidR="00831AE2">
              <w:rPr>
                <w:rFonts w:eastAsia="Arial"/>
                <w:b/>
                <w:bCs/>
                <w:szCs w:val="26"/>
              </w:rPr>
              <w:t>in c</w:t>
            </w:r>
            <w:r>
              <w:rPr>
                <w:rFonts w:eastAsia="Arial"/>
                <w:b/>
                <w:bCs/>
                <w:szCs w:val="26"/>
              </w:rPr>
              <w:t>hildren</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Health and Wellbeing Surveillance System</w:t>
            </w:r>
          </w:p>
          <w:p w:rsidR="00224508" w:rsidRDefault="00224508" w:rsidP="00262C0A">
            <w:pPr>
              <w:ind w:left="-108" w:right="-108"/>
              <w:rPr>
                <w:rFonts w:eastAsia="Arial"/>
                <w:b/>
                <w:bCs/>
              </w:rPr>
            </w:pPr>
          </w:p>
          <w:p w:rsidR="00224508" w:rsidRPr="001C2A6F" w:rsidRDefault="00224508" w:rsidP="00262C0A">
            <w:pPr>
              <w:ind w:left="-108" w:right="-108"/>
              <w:rPr>
                <w:rFonts w:eastAsia="Arial"/>
                <w:b/>
                <w:bCs/>
                <w:szCs w:val="26"/>
              </w:rPr>
            </w:pPr>
            <w:r w:rsidRPr="001C2A6F">
              <w:rPr>
                <w:rFonts w:eastAsia="Arial"/>
                <w:b/>
                <w:bCs/>
              </w:rPr>
              <w:t>Trend</w:t>
            </w:r>
            <w:r>
              <w:rPr>
                <w:rFonts w:eastAsia="Arial"/>
                <w:b/>
                <w:bCs/>
              </w:rPr>
              <w:t>s</w:t>
            </w:r>
            <w:r>
              <w:rPr>
                <w:rFonts w:eastAsia="Arial"/>
                <w:bCs/>
              </w:rPr>
              <w:t>: Mean serves of fruit and vegetables consumed by children aged 2 to 15 years remained steady between 2002 and 2014.</w:t>
            </w:r>
          </w:p>
        </w:tc>
      </w:tr>
      <w:tr w:rsidR="00224508" w:rsidTr="005B628A">
        <w:trPr>
          <w:trHeight w:val="3919"/>
          <w:jc w:val="center"/>
        </w:trPr>
        <w:tc>
          <w:tcPr>
            <w:tcW w:w="5386" w:type="dxa"/>
            <w:tcBorders>
              <w:bottom w:val="single" w:sz="4" w:space="0" w:color="auto"/>
            </w:tcBorders>
            <w:vAlign w:val="center"/>
          </w:tcPr>
          <w:p w:rsidR="00224508" w:rsidRDefault="00224508" w:rsidP="00262C0A">
            <w:pPr>
              <w:spacing w:after="60"/>
              <w:ind w:left="-108" w:right="-108"/>
              <w:rPr>
                <w:noProof/>
                <w:lang w:val="en-AU" w:eastAsia="en-AU"/>
              </w:rPr>
            </w:pPr>
            <w:r>
              <w:rPr>
                <w:noProof/>
                <w:lang w:val="en-AU" w:eastAsia="en-AU"/>
              </w:rPr>
              <w:drawing>
                <wp:inline distT="0" distB="0" distL="0" distR="0" wp14:anchorId="059A050F" wp14:editId="00C0D370">
                  <wp:extent cx="3285460" cy="2392325"/>
                  <wp:effectExtent l="0" t="0" r="0" b="825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tc>
        <w:tc>
          <w:tcPr>
            <w:tcW w:w="3922" w:type="dxa"/>
            <w:vMerge/>
            <w:tcBorders>
              <w:bottom w:val="single" w:sz="4" w:space="0" w:color="auto"/>
            </w:tcBorders>
            <w:vAlign w:val="center"/>
          </w:tcPr>
          <w:p w:rsidR="00224508" w:rsidRDefault="00224508" w:rsidP="00262C0A">
            <w:pPr>
              <w:ind w:left="-108" w:right="-108"/>
              <w:rPr>
                <w:rFonts w:eastAsia="Arial"/>
                <w:bCs/>
              </w:rPr>
            </w:pPr>
          </w:p>
        </w:tc>
      </w:tr>
      <w:tr w:rsidR="00224508" w:rsidTr="00262C0A">
        <w:trPr>
          <w:trHeight w:val="454"/>
          <w:jc w:val="center"/>
        </w:trPr>
        <w:tc>
          <w:tcPr>
            <w:tcW w:w="5386" w:type="dxa"/>
            <w:tcBorders>
              <w:top w:val="single" w:sz="4" w:space="0" w:color="auto"/>
            </w:tcBorders>
            <w:vAlign w:val="center"/>
          </w:tcPr>
          <w:p w:rsidR="00224508" w:rsidRDefault="00224508" w:rsidP="00831AE2">
            <w:pPr>
              <w:ind w:right="-108"/>
              <w:rPr>
                <w:rFonts w:eastAsia="Arial"/>
                <w:b/>
                <w:bCs/>
              </w:rPr>
            </w:pPr>
            <w:r w:rsidRPr="00E243C2">
              <w:rPr>
                <w:rFonts w:eastAsia="Arial"/>
                <w:b/>
                <w:bCs/>
                <w:szCs w:val="26"/>
              </w:rPr>
              <w:t xml:space="preserve">Harmful </w:t>
            </w:r>
            <w:r w:rsidR="00831AE2">
              <w:rPr>
                <w:rFonts w:eastAsia="Arial"/>
                <w:b/>
                <w:bCs/>
                <w:szCs w:val="26"/>
              </w:rPr>
              <w:t>a</w:t>
            </w:r>
            <w:r w:rsidRPr="00E243C2">
              <w:rPr>
                <w:rFonts w:eastAsia="Arial"/>
                <w:b/>
                <w:bCs/>
                <w:szCs w:val="26"/>
              </w:rPr>
              <w:t xml:space="preserve">lcohol </w:t>
            </w:r>
            <w:r w:rsidR="00831AE2">
              <w:rPr>
                <w:rFonts w:eastAsia="Arial"/>
                <w:b/>
                <w:bCs/>
                <w:szCs w:val="26"/>
              </w:rPr>
              <w:t>u</w:t>
            </w:r>
            <w:r w:rsidRPr="00E243C2">
              <w:rPr>
                <w:rFonts w:eastAsia="Arial"/>
                <w:b/>
                <w:bCs/>
                <w:szCs w:val="26"/>
              </w:rPr>
              <w:t>se</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Health and Wellbeing Surveillance System</w:t>
            </w:r>
          </w:p>
          <w:p w:rsidR="00224508" w:rsidRDefault="00224508" w:rsidP="00262C0A">
            <w:pPr>
              <w:ind w:left="-108" w:right="-108"/>
              <w:rPr>
                <w:rFonts w:eastAsia="Arial"/>
                <w:b/>
                <w:bCs/>
              </w:rPr>
            </w:pPr>
          </w:p>
          <w:p w:rsidR="00224508" w:rsidRDefault="00224508" w:rsidP="00262C0A">
            <w:pPr>
              <w:ind w:left="-108" w:right="-108"/>
              <w:rPr>
                <w:rFonts w:eastAsia="Arial"/>
                <w:b/>
                <w:bCs/>
              </w:rPr>
            </w:pPr>
            <w:r w:rsidRPr="001C2A6F">
              <w:rPr>
                <w:rFonts w:eastAsia="Arial"/>
                <w:b/>
                <w:bCs/>
              </w:rPr>
              <w:t>Trend</w:t>
            </w:r>
            <w:r>
              <w:rPr>
                <w:rFonts w:eastAsia="Arial"/>
                <w:b/>
                <w:bCs/>
              </w:rPr>
              <w:t>s</w:t>
            </w:r>
            <w:r>
              <w:rPr>
                <w:rFonts w:eastAsia="Arial"/>
                <w:bCs/>
              </w:rPr>
              <w:t xml:space="preserve">: </w:t>
            </w:r>
            <w:r w:rsidRPr="00E243C2">
              <w:rPr>
                <w:rFonts w:eastAsia="Arial"/>
                <w:bCs/>
              </w:rPr>
              <w:t>High risk alcohol consumption</w:t>
            </w:r>
            <w:r>
              <w:rPr>
                <w:rFonts w:eastAsia="Arial"/>
                <w:bCs/>
              </w:rPr>
              <w:t xml:space="preserve"> for long-term and short-term harm in people aged 16 years and over decreased between 2002 and 2015.</w:t>
            </w:r>
          </w:p>
        </w:tc>
      </w:tr>
      <w:tr w:rsidR="00224508" w:rsidTr="00262C0A">
        <w:trPr>
          <w:trHeight w:val="4100"/>
          <w:jc w:val="center"/>
        </w:trPr>
        <w:tc>
          <w:tcPr>
            <w:tcW w:w="5386" w:type="dxa"/>
            <w:tcBorders>
              <w:bottom w:val="single" w:sz="4" w:space="0" w:color="auto"/>
            </w:tcBorders>
            <w:vAlign w:val="center"/>
          </w:tcPr>
          <w:p w:rsidR="00224508" w:rsidRDefault="00224508" w:rsidP="00262C0A">
            <w:pPr>
              <w:spacing w:after="60"/>
              <w:ind w:left="-108" w:right="-108"/>
              <w:rPr>
                <w:noProof/>
                <w:lang w:val="en-AU" w:eastAsia="en-AU"/>
              </w:rPr>
            </w:pPr>
            <w:r>
              <w:rPr>
                <w:noProof/>
                <w:lang w:val="en-AU" w:eastAsia="en-AU"/>
              </w:rPr>
              <w:drawing>
                <wp:inline distT="0" distB="0" distL="0" distR="0" wp14:anchorId="007C3201" wp14:editId="3796FA53">
                  <wp:extent cx="3285460" cy="2541182"/>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81"/>
                    </a:graphicData>
                  </a:graphic>
                </wp:inline>
              </w:drawing>
            </w:r>
          </w:p>
        </w:tc>
        <w:tc>
          <w:tcPr>
            <w:tcW w:w="3922" w:type="dxa"/>
            <w:vMerge/>
            <w:tcBorders>
              <w:bottom w:val="single" w:sz="4" w:space="0" w:color="auto"/>
            </w:tcBorders>
            <w:vAlign w:val="center"/>
          </w:tcPr>
          <w:p w:rsidR="00224508" w:rsidRDefault="00224508" w:rsidP="00262C0A">
            <w:pPr>
              <w:spacing w:after="120"/>
              <w:ind w:left="-108" w:right="-108"/>
              <w:rPr>
                <w:rFonts w:eastAsia="Arial"/>
                <w:b/>
                <w:bCs/>
              </w:rPr>
            </w:pPr>
          </w:p>
        </w:tc>
      </w:tr>
    </w:tbl>
    <w:p w:rsidR="00224508" w:rsidRPr="009D25B5" w:rsidRDefault="00A97FF1" w:rsidP="00224508">
      <w:pPr>
        <w:spacing w:after="120"/>
        <w:jc w:val="center"/>
        <w:rPr>
          <w:rFonts w:eastAsia="Arial"/>
          <w:b/>
          <w:bCs/>
          <w:color w:val="808080" w:themeColor="background1" w:themeShade="80"/>
          <w:sz w:val="26"/>
          <w:szCs w:val="26"/>
        </w:rPr>
      </w:pPr>
      <w:r>
        <w:rPr>
          <w:rFonts w:eastAsia="Arial"/>
          <w:b/>
          <w:bCs/>
          <w:color w:val="808080" w:themeColor="background1" w:themeShade="80"/>
          <w:sz w:val="26"/>
          <w:szCs w:val="26"/>
        </w:rPr>
        <w:lastRenderedPageBreak/>
        <w:t xml:space="preserve">2.  </w:t>
      </w:r>
      <w:r w:rsidR="00224508" w:rsidRPr="009D25B5">
        <w:rPr>
          <w:rFonts w:eastAsia="Arial"/>
          <w:b/>
          <w:bCs/>
          <w:color w:val="808080" w:themeColor="background1" w:themeShade="80"/>
          <w:sz w:val="26"/>
          <w:szCs w:val="26"/>
        </w:rPr>
        <w:t xml:space="preserve">Disease and </w:t>
      </w:r>
      <w:r w:rsidR="00BF242E" w:rsidRPr="009D25B5">
        <w:rPr>
          <w:rFonts w:eastAsia="Arial"/>
          <w:b/>
          <w:bCs/>
          <w:color w:val="808080" w:themeColor="background1" w:themeShade="80"/>
          <w:sz w:val="26"/>
          <w:szCs w:val="26"/>
        </w:rPr>
        <w:t>b</w:t>
      </w:r>
      <w:r w:rsidR="00224508" w:rsidRPr="009D25B5">
        <w:rPr>
          <w:rFonts w:eastAsia="Arial"/>
          <w:b/>
          <w:bCs/>
          <w:color w:val="808080" w:themeColor="background1" w:themeShade="80"/>
          <w:sz w:val="26"/>
          <w:szCs w:val="26"/>
        </w:rPr>
        <w:t>iomedical</w:t>
      </w:r>
    </w:p>
    <w:tbl>
      <w:tblPr>
        <w:tblW w:w="9308" w:type="dxa"/>
        <w:jc w:val="center"/>
        <w:tblLayout w:type="fixed"/>
        <w:tblLook w:val="04A0" w:firstRow="1" w:lastRow="0" w:firstColumn="1" w:lastColumn="0" w:noHBand="0" w:noVBand="1"/>
      </w:tblPr>
      <w:tblGrid>
        <w:gridCol w:w="5386"/>
        <w:gridCol w:w="3922"/>
      </w:tblGrid>
      <w:tr w:rsidR="00224508" w:rsidTr="00262C0A">
        <w:trPr>
          <w:trHeight w:val="454"/>
          <w:jc w:val="center"/>
        </w:trPr>
        <w:tc>
          <w:tcPr>
            <w:tcW w:w="5386" w:type="dxa"/>
            <w:tcBorders>
              <w:top w:val="single" w:sz="4" w:space="0" w:color="auto"/>
            </w:tcBorders>
            <w:vAlign w:val="center"/>
          </w:tcPr>
          <w:p w:rsidR="00224508" w:rsidRPr="00053047" w:rsidRDefault="00224508" w:rsidP="00262C0A">
            <w:pPr>
              <w:ind w:right="-108"/>
              <w:rPr>
                <w:rFonts w:eastAsia="Arial"/>
                <w:b/>
                <w:bCs/>
                <w:sz w:val="26"/>
                <w:szCs w:val="26"/>
              </w:rPr>
            </w:pPr>
            <w:r>
              <w:rPr>
                <w:rFonts w:eastAsia="Arial"/>
                <w:b/>
                <w:bCs/>
                <w:szCs w:val="26"/>
              </w:rPr>
              <w:t>Obesity</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Cs/>
              </w:rPr>
            </w:pPr>
            <w:r>
              <w:rPr>
                <w:rFonts w:eastAsia="Arial"/>
                <w:bCs/>
              </w:rPr>
              <w:t>WA Health and Wellbeing Surveillance System</w:t>
            </w:r>
          </w:p>
          <w:p w:rsidR="00224508" w:rsidRDefault="00224508" w:rsidP="00262C0A">
            <w:pPr>
              <w:ind w:left="-108" w:right="-108"/>
              <w:rPr>
                <w:rFonts w:eastAsia="Arial"/>
                <w:b/>
                <w:bCs/>
              </w:rPr>
            </w:pPr>
          </w:p>
          <w:p w:rsidR="00224508" w:rsidRPr="00053047" w:rsidRDefault="00224508" w:rsidP="00262C0A">
            <w:pPr>
              <w:ind w:left="-108" w:right="-108"/>
              <w:rPr>
                <w:rFonts w:eastAsia="Arial"/>
                <w:b/>
                <w:bCs/>
                <w:sz w:val="26"/>
                <w:szCs w:val="26"/>
              </w:rPr>
            </w:pPr>
            <w:r w:rsidRPr="001C2A6F">
              <w:rPr>
                <w:rFonts w:eastAsia="Arial"/>
                <w:b/>
                <w:bCs/>
              </w:rPr>
              <w:t>Trend</w:t>
            </w:r>
            <w:r>
              <w:rPr>
                <w:rFonts w:eastAsia="Arial"/>
                <w:b/>
                <w:bCs/>
              </w:rPr>
              <w:t>s</w:t>
            </w:r>
            <w:r>
              <w:rPr>
                <w:rFonts w:eastAsia="Arial"/>
                <w:bCs/>
              </w:rPr>
              <w:t>: The prevalence of obesity in people 16 years and over increased steadily between 2002 and 2015. For children aged 5 to 15 years, the prevalence of obesity remained steady between 2004 and 2014.</w:t>
            </w:r>
          </w:p>
        </w:tc>
      </w:tr>
      <w:tr w:rsidR="00224508" w:rsidTr="00A557EC">
        <w:trPr>
          <w:trHeight w:val="3828"/>
          <w:jc w:val="center"/>
        </w:trPr>
        <w:tc>
          <w:tcPr>
            <w:tcW w:w="5386" w:type="dxa"/>
            <w:tcBorders>
              <w:bottom w:val="single" w:sz="4" w:space="0" w:color="auto"/>
            </w:tcBorders>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360E1CB4" wp14:editId="566FE8C0">
                  <wp:extent cx="3327990" cy="2466753"/>
                  <wp:effectExtent l="0" t="0" r="635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inline>
              </w:drawing>
            </w:r>
          </w:p>
        </w:tc>
        <w:tc>
          <w:tcPr>
            <w:tcW w:w="3922" w:type="dxa"/>
            <w:vMerge/>
            <w:tcBorders>
              <w:bottom w:val="single" w:sz="4" w:space="0" w:color="auto"/>
            </w:tcBorders>
          </w:tcPr>
          <w:p w:rsidR="00224508" w:rsidRPr="0041347A" w:rsidRDefault="00224508" w:rsidP="00262C0A">
            <w:pPr>
              <w:ind w:right="-108"/>
              <w:rPr>
                <w:rFonts w:eastAsia="Arial"/>
                <w:bCs/>
                <w:sz w:val="20"/>
                <w:szCs w:val="20"/>
              </w:rPr>
            </w:pPr>
          </w:p>
        </w:tc>
      </w:tr>
      <w:tr w:rsidR="00224508" w:rsidRPr="0041648B" w:rsidTr="00262C0A">
        <w:trPr>
          <w:trHeight w:val="454"/>
          <w:jc w:val="center"/>
        </w:trPr>
        <w:tc>
          <w:tcPr>
            <w:tcW w:w="5386" w:type="dxa"/>
            <w:tcBorders>
              <w:top w:val="single" w:sz="4" w:space="0" w:color="auto"/>
            </w:tcBorders>
            <w:vAlign w:val="center"/>
          </w:tcPr>
          <w:p w:rsidR="00224508" w:rsidRPr="0041648B" w:rsidRDefault="00224508" w:rsidP="00831AE2">
            <w:pPr>
              <w:ind w:right="-108"/>
              <w:rPr>
                <w:rFonts w:eastAsia="Arial"/>
                <w:b/>
                <w:bCs/>
                <w:sz w:val="26"/>
                <w:szCs w:val="26"/>
              </w:rPr>
            </w:pPr>
            <w:r w:rsidRPr="0041648B">
              <w:rPr>
                <w:rFonts w:eastAsia="Arial"/>
                <w:b/>
                <w:bCs/>
                <w:szCs w:val="26"/>
              </w:rPr>
              <w:t xml:space="preserve">Cholesterol and </w:t>
            </w:r>
            <w:r w:rsidR="00831AE2">
              <w:rPr>
                <w:rFonts w:eastAsia="Arial"/>
                <w:b/>
                <w:bCs/>
                <w:szCs w:val="26"/>
              </w:rPr>
              <w:t>b</w:t>
            </w:r>
            <w:r w:rsidRPr="0041648B">
              <w:rPr>
                <w:rFonts w:eastAsia="Arial"/>
                <w:b/>
                <w:bCs/>
                <w:szCs w:val="26"/>
              </w:rPr>
              <w:t xml:space="preserve">lood </w:t>
            </w:r>
            <w:r w:rsidR="00831AE2">
              <w:rPr>
                <w:rFonts w:eastAsia="Arial"/>
                <w:b/>
                <w:bCs/>
                <w:szCs w:val="26"/>
              </w:rPr>
              <w:t>p</w:t>
            </w:r>
            <w:r w:rsidRPr="0041648B">
              <w:rPr>
                <w:rFonts w:eastAsia="Arial"/>
                <w:b/>
                <w:bCs/>
                <w:szCs w:val="26"/>
              </w:rPr>
              <w:t>ressure</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Cs/>
              </w:rPr>
            </w:pPr>
            <w:r>
              <w:rPr>
                <w:rFonts w:eastAsia="Arial"/>
                <w:bCs/>
              </w:rPr>
              <w:t>WA Health and Wellbeing Surveillance System</w:t>
            </w:r>
          </w:p>
          <w:p w:rsidR="00224508" w:rsidRDefault="00224508" w:rsidP="00262C0A">
            <w:pPr>
              <w:ind w:left="-108" w:right="-108"/>
              <w:rPr>
                <w:rFonts w:eastAsia="Arial"/>
                <w:b/>
                <w:bCs/>
              </w:rPr>
            </w:pPr>
          </w:p>
          <w:p w:rsidR="00224508" w:rsidRPr="0041648B" w:rsidRDefault="00224508" w:rsidP="00262C0A">
            <w:pPr>
              <w:ind w:left="-108" w:right="-108"/>
              <w:rPr>
                <w:rFonts w:eastAsia="Arial"/>
                <w:b/>
                <w:bCs/>
                <w:sz w:val="26"/>
                <w:szCs w:val="26"/>
              </w:rPr>
            </w:pPr>
            <w:r w:rsidRPr="001C2A6F">
              <w:rPr>
                <w:rFonts w:eastAsia="Arial"/>
                <w:b/>
                <w:bCs/>
              </w:rPr>
              <w:t>Trend</w:t>
            </w:r>
            <w:r>
              <w:rPr>
                <w:rFonts w:eastAsia="Arial"/>
                <w:b/>
                <w:bCs/>
              </w:rPr>
              <w:t>s</w:t>
            </w:r>
            <w:r>
              <w:rPr>
                <w:rFonts w:eastAsia="Arial"/>
                <w:bCs/>
              </w:rPr>
              <w:t>: The prevalence of high cholesterol and high blood pressure in adults aged 25 years and over remained steady between 2003 and 2015.</w:t>
            </w:r>
          </w:p>
        </w:tc>
      </w:tr>
      <w:tr w:rsidR="00224508" w:rsidTr="00A557EC">
        <w:trPr>
          <w:trHeight w:val="3791"/>
          <w:jc w:val="center"/>
        </w:trPr>
        <w:tc>
          <w:tcPr>
            <w:tcW w:w="5386" w:type="dxa"/>
            <w:tcBorders>
              <w:bottom w:val="single" w:sz="4" w:space="0" w:color="auto"/>
            </w:tcBorders>
            <w:vAlign w:val="center"/>
          </w:tcPr>
          <w:p w:rsidR="00224508" w:rsidRDefault="00224508" w:rsidP="00262C0A">
            <w:pPr>
              <w:spacing w:after="60"/>
              <w:ind w:left="-108" w:right="-108"/>
              <w:rPr>
                <w:noProof/>
                <w:lang w:val="en-AU" w:eastAsia="en-AU"/>
              </w:rPr>
            </w:pPr>
            <w:r>
              <w:rPr>
                <w:noProof/>
                <w:lang w:val="en-AU" w:eastAsia="en-AU"/>
              </w:rPr>
              <w:drawing>
                <wp:inline distT="0" distB="0" distL="0" distR="0" wp14:anchorId="1E40F2E8" wp14:editId="3CB36A00">
                  <wp:extent cx="3327990" cy="2424223"/>
                  <wp:effectExtent l="0" t="0" r="635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83"/>
                    </a:graphicData>
                  </a:graphic>
                </wp:inline>
              </w:drawing>
            </w:r>
          </w:p>
        </w:tc>
        <w:tc>
          <w:tcPr>
            <w:tcW w:w="3922" w:type="dxa"/>
            <w:vMerge/>
            <w:tcBorders>
              <w:bottom w:val="single" w:sz="4" w:space="0" w:color="auto"/>
            </w:tcBorders>
            <w:vAlign w:val="center"/>
          </w:tcPr>
          <w:p w:rsidR="00224508" w:rsidRDefault="00224508" w:rsidP="00262C0A">
            <w:pPr>
              <w:ind w:left="-108" w:right="-108"/>
              <w:rPr>
                <w:rFonts w:eastAsia="Arial"/>
                <w:b/>
                <w:bCs/>
              </w:rPr>
            </w:pPr>
          </w:p>
        </w:tc>
      </w:tr>
      <w:tr w:rsidR="00224508" w:rsidTr="00262C0A">
        <w:trPr>
          <w:trHeight w:val="454"/>
          <w:jc w:val="center"/>
        </w:trPr>
        <w:tc>
          <w:tcPr>
            <w:tcW w:w="5386" w:type="dxa"/>
            <w:tcBorders>
              <w:top w:val="single" w:sz="4" w:space="0" w:color="auto"/>
            </w:tcBorders>
            <w:vAlign w:val="center"/>
          </w:tcPr>
          <w:p w:rsidR="00224508" w:rsidRPr="00053047" w:rsidRDefault="00224508" w:rsidP="00831AE2">
            <w:pPr>
              <w:ind w:right="-108"/>
              <w:rPr>
                <w:rFonts w:eastAsia="Arial"/>
                <w:b/>
                <w:bCs/>
                <w:sz w:val="26"/>
                <w:szCs w:val="26"/>
              </w:rPr>
            </w:pPr>
            <w:r w:rsidRPr="00C74476">
              <w:rPr>
                <w:rFonts w:eastAsia="Arial"/>
                <w:b/>
                <w:bCs/>
                <w:szCs w:val="26"/>
              </w:rPr>
              <w:t xml:space="preserve">Coronary </w:t>
            </w:r>
            <w:r w:rsidR="00831AE2">
              <w:rPr>
                <w:rFonts w:eastAsia="Arial"/>
                <w:b/>
                <w:bCs/>
                <w:szCs w:val="26"/>
              </w:rPr>
              <w:t>h</w:t>
            </w:r>
            <w:r w:rsidRPr="00C74476">
              <w:rPr>
                <w:rFonts w:eastAsia="Arial"/>
                <w:b/>
                <w:bCs/>
                <w:szCs w:val="26"/>
              </w:rPr>
              <w:t xml:space="preserve">eart </w:t>
            </w:r>
            <w:r w:rsidR="00831AE2">
              <w:rPr>
                <w:rFonts w:eastAsia="Arial"/>
                <w:b/>
                <w:bCs/>
                <w:szCs w:val="26"/>
              </w:rPr>
              <w:t>d</w:t>
            </w:r>
            <w:r w:rsidRPr="00C74476">
              <w:rPr>
                <w:rFonts w:eastAsia="Arial"/>
                <w:b/>
                <w:bCs/>
                <w:szCs w:val="26"/>
              </w:rPr>
              <w:t xml:space="preserve">isease </w:t>
            </w:r>
            <w:r w:rsidR="00831AE2">
              <w:rPr>
                <w:rFonts w:eastAsia="Arial"/>
                <w:b/>
                <w:bCs/>
                <w:szCs w:val="26"/>
              </w:rPr>
              <w:t>h</w:t>
            </w:r>
            <w:r w:rsidRPr="00C74476">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Hospital Morbidity Data System</w:t>
            </w:r>
          </w:p>
          <w:p w:rsidR="00224508" w:rsidRDefault="00224508" w:rsidP="00262C0A">
            <w:pPr>
              <w:ind w:left="-108" w:right="-108"/>
              <w:rPr>
                <w:rFonts w:eastAsia="Arial"/>
                <w:b/>
                <w:bCs/>
              </w:rPr>
            </w:pPr>
          </w:p>
          <w:p w:rsidR="00224508" w:rsidRPr="00053047" w:rsidRDefault="00224508" w:rsidP="00262C0A">
            <w:pPr>
              <w:ind w:left="-108" w:right="-108"/>
              <w:rPr>
                <w:rFonts w:eastAsia="Arial"/>
                <w:b/>
                <w:bCs/>
                <w:sz w:val="26"/>
                <w:szCs w:val="26"/>
              </w:rPr>
            </w:pPr>
            <w:r w:rsidRPr="001C2A6F">
              <w:rPr>
                <w:rFonts w:eastAsia="Arial"/>
                <w:b/>
                <w:bCs/>
              </w:rPr>
              <w:t>Trend</w:t>
            </w:r>
            <w:r>
              <w:rPr>
                <w:rFonts w:eastAsia="Arial"/>
                <w:b/>
                <w:bCs/>
              </w:rPr>
              <w:t>s</w:t>
            </w:r>
            <w:r>
              <w:rPr>
                <w:rFonts w:eastAsia="Arial"/>
                <w:bCs/>
              </w:rPr>
              <w:t>: The age-</w:t>
            </w:r>
            <w:r w:rsidRPr="00E243C2">
              <w:rPr>
                <w:rFonts w:eastAsia="Arial"/>
                <w:bCs/>
                <w:lang w:val="en-AU"/>
              </w:rPr>
              <w:t>standardised</w:t>
            </w:r>
            <w:r>
              <w:rPr>
                <w:rFonts w:eastAsia="Arial"/>
                <w:bCs/>
                <w:lang w:val="en-AU"/>
              </w:rPr>
              <w:t xml:space="preserve"> rate of hospitalisations due to coronary heart disease declined steadily for males and females between 2002 and 2014.</w:t>
            </w:r>
          </w:p>
        </w:tc>
      </w:tr>
      <w:tr w:rsidR="00224508" w:rsidTr="009514C1">
        <w:trPr>
          <w:trHeight w:val="4195"/>
          <w:jc w:val="center"/>
        </w:trPr>
        <w:tc>
          <w:tcPr>
            <w:tcW w:w="5386" w:type="dxa"/>
            <w:tcBorders>
              <w:bottom w:val="single" w:sz="4" w:space="0" w:color="auto"/>
            </w:tcBorders>
            <w:vAlign w:val="center"/>
          </w:tcPr>
          <w:p w:rsidR="00224508" w:rsidRPr="00C74476" w:rsidRDefault="00224508" w:rsidP="00262C0A">
            <w:pPr>
              <w:spacing w:after="60"/>
              <w:ind w:left="-108" w:right="-108"/>
              <w:rPr>
                <w:noProof/>
                <w:lang w:val="en-AU" w:eastAsia="en-AU"/>
              </w:rPr>
            </w:pPr>
            <w:r w:rsidRPr="00C74476">
              <w:rPr>
                <w:noProof/>
                <w:lang w:val="en-AU" w:eastAsia="en-AU"/>
              </w:rPr>
              <w:drawing>
                <wp:inline distT="0" distB="0" distL="0" distR="0" wp14:anchorId="49F652EC" wp14:editId="09D8082C">
                  <wp:extent cx="3338623" cy="2413591"/>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tc>
        <w:tc>
          <w:tcPr>
            <w:tcW w:w="3922" w:type="dxa"/>
            <w:vMerge/>
            <w:tcBorders>
              <w:bottom w:val="single" w:sz="4" w:space="0" w:color="auto"/>
            </w:tcBorders>
          </w:tcPr>
          <w:p w:rsidR="00224508" w:rsidRPr="00C74476" w:rsidRDefault="00224508" w:rsidP="00262C0A">
            <w:pPr>
              <w:ind w:left="-108" w:right="-108"/>
              <w:rPr>
                <w:rFonts w:eastAsia="Arial"/>
                <w:bCs/>
              </w:rPr>
            </w:pPr>
          </w:p>
        </w:tc>
      </w:tr>
    </w:tbl>
    <w:p w:rsidR="00224508" w:rsidRPr="009D25B5" w:rsidRDefault="00A97FF1" w:rsidP="00224508">
      <w:pPr>
        <w:spacing w:after="120"/>
        <w:jc w:val="center"/>
        <w:rPr>
          <w:rFonts w:eastAsia="Arial"/>
          <w:b/>
          <w:bCs/>
          <w:color w:val="808080" w:themeColor="background1" w:themeShade="80"/>
          <w:sz w:val="26"/>
          <w:szCs w:val="26"/>
        </w:rPr>
      </w:pPr>
      <w:r>
        <w:rPr>
          <w:rFonts w:eastAsia="Arial"/>
          <w:b/>
          <w:bCs/>
          <w:color w:val="808080" w:themeColor="background1" w:themeShade="80"/>
          <w:sz w:val="26"/>
          <w:szCs w:val="26"/>
        </w:rPr>
        <w:lastRenderedPageBreak/>
        <w:t xml:space="preserve">2.  </w:t>
      </w:r>
      <w:r w:rsidR="00224508" w:rsidRPr="009D25B5">
        <w:rPr>
          <w:rFonts w:eastAsia="Arial"/>
          <w:b/>
          <w:bCs/>
          <w:color w:val="808080" w:themeColor="background1" w:themeShade="80"/>
          <w:sz w:val="26"/>
          <w:szCs w:val="26"/>
        </w:rPr>
        <w:t xml:space="preserve">Disease and </w:t>
      </w:r>
      <w:r w:rsidR="00D551D0" w:rsidRPr="009D25B5">
        <w:rPr>
          <w:rFonts w:eastAsia="Arial"/>
          <w:b/>
          <w:bCs/>
          <w:color w:val="808080" w:themeColor="background1" w:themeShade="80"/>
          <w:sz w:val="26"/>
          <w:szCs w:val="26"/>
        </w:rPr>
        <w:t>b</w:t>
      </w:r>
      <w:r w:rsidR="00224508" w:rsidRPr="009D25B5">
        <w:rPr>
          <w:rFonts w:eastAsia="Arial"/>
          <w:b/>
          <w:bCs/>
          <w:color w:val="808080" w:themeColor="background1" w:themeShade="80"/>
          <w:sz w:val="26"/>
          <w:szCs w:val="26"/>
        </w:rPr>
        <w:t>iomedical</w:t>
      </w:r>
    </w:p>
    <w:tbl>
      <w:tblPr>
        <w:tblW w:w="9308" w:type="dxa"/>
        <w:jc w:val="center"/>
        <w:tblLayout w:type="fixed"/>
        <w:tblLook w:val="04A0" w:firstRow="1" w:lastRow="0" w:firstColumn="1" w:lastColumn="0" w:noHBand="0" w:noVBand="1"/>
      </w:tblPr>
      <w:tblGrid>
        <w:gridCol w:w="5386"/>
        <w:gridCol w:w="3922"/>
      </w:tblGrid>
      <w:tr w:rsidR="00224508" w:rsidTr="00262C0A">
        <w:trPr>
          <w:trHeight w:val="454"/>
          <w:jc w:val="center"/>
        </w:trPr>
        <w:tc>
          <w:tcPr>
            <w:tcW w:w="5386" w:type="dxa"/>
            <w:tcBorders>
              <w:top w:val="single" w:sz="4" w:space="0" w:color="auto"/>
            </w:tcBorders>
            <w:vAlign w:val="center"/>
          </w:tcPr>
          <w:p w:rsidR="00224508" w:rsidRPr="00053047" w:rsidRDefault="00224508" w:rsidP="00D551D0">
            <w:pPr>
              <w:ind w:right="-108"/>
              <w:rPr>
                <w:rFonts w:eastAsia="Arial"/>
                <w:b/>
                <w:bCs/>
                <w:sz w:val="26"/>
                <w:szCs w:val="26"/>
              </w:rPr>
            </w:pPr>
            <w:r w:rsidRPr="00E243C2">
              <w:rPr>
                <w:rFonts w:eastAsia="Arial"/>
                <w:b/>
                <w:bCs/>
                <w:szCs w:val="26"/>
              </w:rPr>
              <w:t xml:space="preserve">Cerebrovascular </w:t>
            </w:r>
            <w:r w:rsidR="00D551D0">
              <w:rPr>
                <w:rFonts w:eastAsia="Arial"/>
                <w:b/>
                <w:bCs/>
                <w:szCs w:val="26"/>
              </w:rPr>
              <w:t>d</w:t>
            </w:r>
            <w:r w:rsidRPr="00E243C2">
              <w:rPr>
                <w:rFonts w:eastAsia="Arial"/>
                <w:b/>
                <w:bCs/>
                <w:szCs w:val="26"/>
              </w:rPr>
              <w:t xml:space="preserve">isease </w:t>
            </w:r>
            <w:r w:rsidR="00D551D0">
              <w:rPr>
                <w:rFonts w:eastAsia="Arial"/>
                <w:b/>
                <w:bCs/>
                <w:szCs w:val="26"/>
              </w:rPr>
              <w:t>h</w:t>
            </w:r>
            <w:r w:rsidRPr="00E243C2">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Hospital Morbidity Data System</w:t>
            </w:r>
          </w:p>
          <w:p w:rsidR="00224508" w:rsidRDefault="00224508" w:rsidP="00262C0A">
            <w:pPr>
              <w:ind w:left="-108" w:right="-108"/>
              <w:rPr>
                <w:rFonts w:eastAsia="Arial"/>
                <w:b/>
                <w:bCs/>
              </w:rPr>
            </w:pPr>
          </w:p>
          <w:p w:rsidR="00224508" w:rsidRPr="00053047" w:rsidRDefault="00224508" w:rsidP="00262C0A">
            <w:pPr>
              <w:ind w:left="-108" w:right="-108"/>
              <w:rPr>
                <w:rFonts w:eastAsia="Arial"/>
                <w:b/>
                <w:bCs/>
                <w:sz w:val="26"/>
                <w:szCs w:val="26"/>
              </w:rPr>
            </w:pPr>
            <w:r w:rsidRPr="001C2A6F">
              <w:rPr>
                <w:rFonts w:eastAsia="Arial"/>
                <w:b/>
                <w:bCs/>
              </w:rPr>
              <w:t>Trend</w:t>
            </w:r>
            <w:r>
              <w:rPr>
                <w:rFonts w:eastAsia="Arial"/>
                <w:b/>
                <w:bCs/>
              </w:rPr>
              <w:t>s</w:t>
            </w:r>
            <w:r>
              <w:rPr>
                <w:rFonts w:eastAsia="Arial"/>
                <w:bCs/>
              </w:rPr>
              <w:t>: The age-</w:t>
            </w:r>
            <w:r w:rsidRPr="00C74476">
              <w:rPr>
                <w:rFonts w:eastAsia="Arial"/>
                <w:bCs/>
                <w:lang w:val="en-AU"/>
              </w:rPr>
              <w:t>standardised</w:t>
            </w:r>
            <w:r>
              <w:rPr>
                <w:rFonts w:eastAsia="Arial"/>
                <w:bCs/>
                <w:lang w:val="en-AU"/>
              </w:rPr>
              <w:t xml:space="preserve"> rate of hospitalisations due to cerebrovascular declined slightly for males but remained steady for females between 2002 and 2014.</w:t>
            </w:r>
          </w:p>
        </w:tc>
      </w:tr>
      <w:tr w:rsidR="00224508" w:rsidTr="00C768E8">
        <w:trPr>
          <w:trHeight w:val="3628"/>
          <w:jc w:val="center"/>
        </w:trPr>
        <w:tc>
          <w:tcPr>
            <w:tcW w:w="5386" w:type="dxa"/>
            <w:tcBorders>
              <w:bottom w:val="single" w:sz="4" w:space="0" w:color="auto"/>
            </w:tcBorders>
            <w:vAlign w:val="center"/>
          </w:tcPr>
          <w:p w:rsidR="00224508" w:rsidRDefault="00224508" w:rsidP="00262C0A">
            <w:pPr>
              <w:spacing w:after="60"/>
              <w:ind w:left="-108" w:right="-108"/>
              <w:rPr>
                <w:noProof/>
                <w:lang w:val="en-AU" w:eastAsia="en-AU"/>
              </w:rPr>
            </w:pPr>
            <w:r>
              <w:rPr>
                <w:noProof/>
                <w:lang w:val="en-AU" w:eastAsia="en-AU"/>
              </w:rPr>
              <w:drawing>
                <wp:inline distT="0" distB="0" distL="0" distR="0" wp14:anchorId="3FBE2AB2" wp14:editId="7D78B6AB">
                  <wp:extent cx="3168502" cy="2424223"/>
                  <wp:effectExtent l="0" t="0" r="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85"/>
                    </a:graphicData>
                  </a:graphic>
                </wp:inline>
              </w:drawing>
            </w:r>
          </w:p>
        </w:tc>
        <w:tc>
          <w:tcPr>
            <w:tcW w:w="3922" w:type="dxa"/>
            <w:vMerge/>
            <w:tcBorders>
              <w:bottom w:val="single" w:sz="4" w:space="0" w:color="auto"/>
            </w:tcBorders>
            <w:vAlign w:val="center"/>
          </w:tcPr>
          <w:p w:rsidR="00224508" w:rsidRDefault="00224508" w:rsidP="00262C0A">
            <w:pPr>
              <w:ind w:left="-108" w:right="-108"/>
              <w:rPr>
                <w:rFonts w:eastAsia="Arial"/>
                <w:b/>
                <w:bCs/>
              </w:rPr>
            </w:pPr>
          </w:p>
        </w:tc>
      </w:tr>
      <w:tr w:rsidR="00224508" w:rsidTr="00262C0A">
        <w:trPr>
          <w:trHeight w:val="454"/>
          <w:jc w:val="center"/>
        </w:trPr>
        <w:tc>
          <w:tcPr>
            <w:tcW w:w="5386" w:type="dxa"/>
            <w:tcBorders>
              <w:top w:val="single" w:sz="4" w:space="0" w:color="auto"/>
            </w:tcBorders>
            <w:vAlign w:val="center"/>
          </w:tcPr>
          <w:p w:rsidR="00224508" w:rsidRPr="00053047" w:rsidRDefault="00224508" w:rsidP="00D551D0">
            <w:pPr>
              <w:ind w:right="-108"/>
              <w:rPr>
                <w:rFonts w:eastAsia="Arial"/>
                <w:b/>
                <w:bCs/>
                <w:sz w:val="26"/>
                <w:szCs w:val="26"/>
              </w:rPr>
            </w:pPr>
            <w:r>
              <w:rPr>
                <w:rFonts w:eastAsia="Arial"/>
                <w:b/>
                <w:bCs/>
                <w:szCs w:val="26"/>
              </w:rPr>
              <w:t xml:space="preserve">Lung </w:t>
            </w:r>
            <w:r w:rsidR="00D551D0">
              <w:rPr>
                <w:rFonts w:eastAsia="Arial"/>
                <w:b/>
                <w:bCs/>
                <w:szCs w:val="26"/>
              </w:rPr>
              <w:t>c</w:t>
            </w:r>
            <w:r>
              <w:rPr>
                <w:rFonts w:eastAsia="Arial"/>
                <w:b/>
                <w:bCs/>
                <w:szCs w:val="26"/>
              </w:rPr>
              <w:t>ancer</w:t>
            </w:r>
            <w:r w:rsidRPr="00C74476">
              <w:rPr>
                <w:rFonts w:eastAsia="Arial"/>
                <w:b/>
                <w:bCs/>
                <w:szCs w:val="26"/>
              </w:rPr>
              <w:t xml:space="preserve"> </w:t>
            </w:r>
            <w:r w:rsidR="00D551D0">
              <w:rPr>
                <w:rFonts w:eastAsia="Arial"/>
                <w:b/>
                <w:bCs/>
                <w:szCs w:val="26"/>
              </w:rPr>
              <w:t>h</w:t>
            </w:r>
            <w:r w:rsidRPr="00C74476">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Cs/>
              </w:rPr>
            </w:pPr>
            <w:r>
              <w:rPr>
                <w:rFonts w:eastAsia="Arial"/>
                <w:bCs/>
              </w:rPr>
              <w:t>WA Hospital Morbidity Data System</w:t>
            </w:r>
          </w:p>
          <w:p w:rsidR="00224508" w:rsidRDefault="00224508" w:rsidP="00262C0A">
            <w:pPr>
              <w:ind w:left="-108" w:right="-108"/>
              <w:rPr>
                <w:rFonts w:eastAsia="Arial"/>
                <w:b/>
                <w:bCs/>
              </w:rPr>
            </w:pPr>
          </w:p>
          <w:p w:rsidR="00224508" w:rsidRPr="00053047" w:rsidRDefault="00224508" w:rsidP="00262C0A">
            <w:pPr>
              <w:ind w:left="-108" w:right="-108"/>
              <w:rPr>
                <w:rFonts w:eastAsia="Arial"/>
                <w:b/>
                <w:bCs/>
                <w:sz w:val="26"/>
                <w:szCs w:val="26"/>
              </w:rPr>
            </w:pPr>
            <w:r w:rsidRPr="001C2A6F">
              <w:rPr>
                <w:rFonts w:eastAsia="Arial"/>
                <w:b/>
                <w:bCs/>
              </w:rPr>
              <w:t>Trend</w:t>
            </w:r>
            <w:r>
              <w:rPr>
                <w:rFonts w:eastAsia="Arial"/>
                <w:b/>
                <w:bCs/>
              </w:rPr>
              <w:t>s</w:t>
            </w:r>
            <w:r>
              <w:rPr>
                <w:rFonts w:eastAsia="Arial"/>
                <w:bCs/>
              </w:rPr>
              <w:t>: The age-</w:t>
            </w:r>
            <w:r w:rsidRPr="00C74476">
              <w:rPr>
                <w:rFonts w:eastAsia="Arial"/>
                <w:bCs/>
                <w:lang w:val="en-AU"/>
              </w:rPr>
              <w:t>standardised</w:t>
            </w:r>
            <w:r>
              <w:rPr>
                <w:rFonts w:eastAsia="Arial"/>
                <w:bCs/>
                <w:lang w:val="en-AU"/>
              </w:rPr>
              <w:t xml:space="preserve"> rate of hospitalisations due to lung cancer declined for males but remained relatively steady for females between 2002 and 2014.</w:t>
            </w:r>
          </w:p>
        </w:tc>
      </w:tr>
      <w:tr w:rsidR="00224508" w:rsidTr="00C768E8">
        <w:trPr>
          <w:trHeight w:val="3742"/>
          <w:jc w:val="center"/>
        </w:trPr>
        <w:tc>
          <w:tcPr>
            <w:tcW w:w="5386" w:type="dxa"/>
            <w:tcBorders>
              <w:bottom w:val="single" w:sz="4" w:space="0" w:color="auto"/>
            </w:tcBorders>
            <w:vAlign w:val="center"/>
          </w:tcPr>
          <w:p w:rsidR="00224508" w:rsidRDefault="00224508" w:rsidP="00262C0A">
            <w:pPr>
              <w:spacing w:after="60"/>
              <w:ind w:left="-108" w:right="-108"/>
              <w:rPr>
                <w:noProof/>
                <w:lang w:val="en-AU" w:eastAsia="en-AU"/>
              </w:rPr>
            </w:pPr>
            <w:r>
              <w:rPr>
                <w:noProof/>
                <w:lang w:val="en-AU" w:eastAsia="en-AU"/>
              </w:rPr>
              <w:drawing>
                <wp:inline distT="0" distB="0" distL="0" distR="0" wp14:anchorId="1B04AD51" wp14:editId="1D79C52F">
                  <wp:extent cx="3338623" cy="2551814"/>
                  <wp:effectExtent l="0" t="0" r="0"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86"/>
                    </a:graphicData>
                  </a:graphic>
                </wp:inline>
              </w:drawing>
            </w:r>
          </w:p>
        </w:tc>
        <w:tc>
          <w:tcPr>
            <w:tcW w:w="3922" w:type="dxa"/>
            <w:vMerge/>
            <w:tcBorders>
              <w:bottom w:val="single" w:sz="4" w:space="0" w:color="auto"/>
            </w:tcBorders>
          </w:tcPr>
          <w:p w:rsidR="00224508" w:rsidRDefault="00224508" w:rsidP="00262C0A">
            <w:pPr>
              <w:ind w:left="-108" w:right="-108"/>
              <w:rPr>
                <w:rFonts w:eastAsia="Arial"/>
                <w:b/>
                <w:bCs/>
              </w:rPr>
            </w:pPr>
          </w:p>
        </w:tc>
      </w:tr>
      <w:tr w:rsidR="00224508" w:rsidTr="00262C0A">
        <w:trPr>
          <w:trHeight w:val="454"/>
          <w:jc w:val="center"/>
        </w:trPr>
        <w:tc>
          <w:tcPr>
            <w:tcW w:w="5386" w:type="dxa"/>
            <w:tcBorders>
              <w:top w:val="single" w:sz="4" w:space="0" w:color="auto"/>
            </w:tcBorders>
            <w:vAlign w:val="center"/>
          </w:tcPr>
          <w:p w:rsidR="00224508" w:rsidRPr="00053047" w:rsidRDefault="00224508" w:rsidP="00D551D0">
            <w:pPr>
              <w:ind w:right="-108"/>
              <w:rPr>
                <w:rFonts w:eastAsia="Arial"/>
                <w:b/>
                <w:bCs/>
                <w:sz w:val="26"/>
                <w:szCs w:val="26"/>
              </w:rPr>
            </w:pPr>
            <w:r>
              <w:rPr>
                <w:rFonts w:eastAsia="Arial"/>
                <w:b/>
                <w:bCs/>
                <w:szCs w:val="26"/>
              </w:rPr>
              <w:t>COPD</w:t>
            </w:r>
            <w:r w:rsidRPr="00C74476">
              <w:rPr>
                <w:rFonts w:eastAsia="Arial"/>
                <w:b/>
                <w:bCs/>
                <w:szCs w:val="26"/>
              </w:rPr>
              <w:t xml:space="preserve"> </w:t>
            </w:r>
            <w:r w:rsidR="00D551D0">
              <w:rPr>
                <w:rFonts w:eastAsia="Arial"/>
                <w:b/>
                <w:bCs/>
                <w:szCs w:val="26"/>
              </w:rPr>
              <w:t>h</w:t>
            </w:r>
            <w:r w:rsidRPr="00C74476">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Hospital Morbidity Data System</w:t>
            </w:r>
          </w:p>
          <w:p w:rsidR="00224508" w:rsidRDefault="00224508" w:rsidP="00262C0A">
            <w:pPr>
              <w:ind w:left="-108" w:right="-108"/>
              <w:rPr>
                <w:rFonts w:eastAsia="Arial"/>
                <w:b/>
                <w:bCs/>
              </w:rPr>
            </w:pPr>
          </w:p>
          <w:p w:rsidR="00224508" w:rsidRPr="00053047" w:rsidRDefault="00224508" w:rsidP="00262C0A">
            <w:pPr>
              <w:ind w:left="-108" w:right="-108"/>
              <w:rPr>
                <w:rFonts w:eastAsia="Arial"/>
                <w:b/>
                <w:bCs/>
                <w:sz w:val="26"/>
                <w:szCs w:val="26"/>
              </w:rPr>
            </w:pPr>
            <w:r w:rsidRPr="001C2A6F">
              <w:rPr>
                <w:rFonts w:eastAsia="Arial"/>
                <w:b/>
                <w:bCs/>
              </w:rPr>
              <w:t>Trend</w:t>
            </w:r>
            <w:r>
              <w:rPr>
                <w:rFonts w:eastAsia="Arial"/>
                <w:b/>
                <w:bCs/>
              </w:rPr>
              <w:t>s</w:t>
            </w:r>
            <w:r>
              <w:rPr>
                <w:rFonts w:eastAsia="Arial"/>
                <w:bCs/>
              </w:rPr>
              <w:t>: The age-</w:t>
            </w:r>
            <w:r w:rsidRPr="00C74476">
              <w:rPr>
                <w:rFonts w:eastAsia="Arial"/>
                <w:bCs/>
                <w:lang w:val="en-AU"/>
              </w:rPr>
              <w:t>standardised</w:t>
            </w:r>
            <w:r>
              <w:rPr>
                <w:rFonts w:eastAsia="Arial"/>
                <w:bCs/>
                <w:lang w:val="en-AU"/>
              </w:rPr>
              <w:t xml:space="preserve"> rate of hospitalisations due to chronic obstructive pulmonary disease declined for both males and females between 2002 and 2014.</w:t>
            </w:r>
          </w:p>
        </w:tc>
      </w:tr>
      <w:tr w:rsidR="00224508" w:rsidTr="00C768E8">
        <w:trPr>
          <w:trHeight w:val="3912"/>
          <w:jc w:val="center"/>
        </w:trPr>
        <w:tc>
          <w:tcPr>
            <w:tcW w:w="5386" w:type="dxa"/>
            <w:tcBorders>
              <w:bottom w:val="single" w:sz="4" w:space="0" w:color="auto"/>
            </w:tcBorders>
            <w:vAlign w:val="center"/>
          </w:tcPr>
          <w:p w:rsidR="00224508" w:rsidRDefault="00224508" w:rsidP="00262C0A">
            <w:pPr>
              <w:spacing w:after="60"/>
              <w:ind w:left="-108" w:right="-108"/>
              <w:rPr>
                <w:noProof/>
                <w:lang w:val="en-AU" w:eastAsia="en-AU"/>
              </w:rPr>
            </w:pPr>
            <w:r>
              <w:rPr>
                <w:noProof/>
                <w:lang w:val="en-AU" w:eastAsia="en-AU"/>
              </w:rPr>
              <w:drawing>
                <wp:inline distT="0" distB="0" distL="0" distR="0" wp14:anchorId="638E5DDC" wp14:editId="67B3AD31">
                  <wp:extent cx="3168502" cy="2424224"/>
                  <wp:effectExtent l="0" t="0" r="0"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87"/>
                    </a:graphicData>
                  </a:graphic>
                </wp:inline>
              </w:drawing>
            </w:r>
          </w:p>
        </w:tc>
        <w:tc>
          <w:tcPr>
            <w:tcW w:w="3922" w:type="dxa"/>
            <w:vMerge/>
            <w:tcBorders>
              <w:bottom w:val="single" w:sz="4" w:space="0" w:color="auto"/>
            </w:tcBorders>
          </w:tcPr>
          <w:p w:rsidR="00224508" w:rsidRDefault="00224508" w:rsidP="00262C0A">
            <w:pPr>
              <w:ind w:left="-108" w:right="-108"/>
              <w:rPr>
                <w:rFonts w:eastAsia="Arial"/>
                <w:b/>
                <w:bCs/>
              </w:rPr>
            </w:pPr>
          </w:p>
        </w:tc>
      </w:tr>
    </w:tbl>
    <w:p w:rsidR="00224508" w:rsidRPr="009D25B5" w:rsidRDefault="00A97FF1" w:rsidP="00224508">
      <w:pPr>
        <w:spacing w:after="120"/>
        <w:jc w:val="center"/>
        <w:rPr>
          <w:rFonts w:eastAsia="Arial"/>
          <w:b/>
          <w:bCs/>
          <w:color w:val="808080" w:themeColor="background1" w:themeShade="80"/>
          <w:sz w:val="26"/>
          <w:szCs w:val="26"/>
        </w:rPr>
      </w:pPr>
      <w:r>
        <w:rPr>
          <w:rFonts w:eastAsia="Arial"/>
          <w:b/>
          <w:bCs/>
          <w:color w:val="808080" w:themeColor="background1" w:themeShade="80"/>
          <w:sz w:val="26"/>
          <w:szCs w:val="26"/>
        </w:rPr>
        <w:lastRenderedPageBreak/>
        <w:t xml:space="preserve">3.  </w:t>
      </w:r>
      <w:r w:rsidR="00224508" w:rsidRPr="009D25B5">
        <w:rPr>
          <w:rFonts w:eastAsia="Arial"/>
          <w:b/>
          <w:bCs/>
          <w:color w:val="808080" w:themeColor="background1" w:themeShade="80"/>
          <w:sz w:val="26"/>
          <w:szCs w:val="26"/>
        </w:rPr>
        <w:t xml:space="preserve">Injury </w:t>
      </w:r>
      <w:r w:rsidR="00D551D0" w:rsidRPr="009D25B5">
        <w:rPr>
          <w:rFonts w:eastAsia="Arial"/>
          <w:b/>
          <w:bCs/>
          <w:color w:val="808080" w:themeColor="background1" w:themeShade="80"/>
          <w:sz w:val="26"/>
          <w:szCs w:val="26"/>
        </w:rPr>
        <w:t>e</w:t>
      </w:r>
      <w:r w:rsidR="00224508" w:rsidRPr="009D25B5">
        <w:rPr>
          <w:rFonts w:eastAsia="Arial"/>
          <w:b/>
          <w:bCs/>
          <w:color w:val="808080" w:themeColor="background1" w:themeShade="80"/>
          <w:sz w:val="26"/>
          <w:szCs w:val="26"/>
        </w:rPr>
        <w:t>vents</w:t>
      </w:r>
    </w:p>
    <w:tbl>
      <w:tblPr>
        <w:tblStyle w:val="TableGrid"/>
        <w:tblW w:w="93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3922"/>
      </w:tblGrid>
      <w:tr w:rsidR="00224508" w:rsidTr="00262C0A">
        <w:trPr>
          <w:trHeight w:val="397"/>
          <w:jc w:val="center"/>
        </w:trPr>
        <w:tc>
          <w:tcPr>
            <w:tcW w:w="5386" w:type="dxa"/>
            <w:tcBorders>
              <w:top w:val="single" w:sz="4" w:space="0" w:color="auto"/>
            </w:tcBorders>
            <w:vAlign w:val="center"/>
          </w:tcPr>
          <w:p w:rsidR="00224508" w:rsidRPr="00D1099A" w:rsidRDefault="00224508" w:rsidP="00D551D0">
            <w:pPr>
              <w:ind w:right="-108"/>
              <w:rPr>
                <w:rFonts w:eastAsia="Arial"/>
                <w:b/>
                <w:bCs/>
                <w:sz w:val="26"/>
                <w:szCs w:val="26"/>
              </w:rPr>
            </w:pPr>
            <w:r>
              <w:rPr>
                <w:rFonts w:eastAsia="Arial"/>
                <w:b/>
                <w:bCs/>
                <w:szCs w:val="26"/>
              </w:rPr>
              <w:t>Fall</w:t>
            </w:r>
            <w:r w:rsidR="00D551D0">
              <w:rPr>
                <w:rFonts w:eastAsia="Arial"/>
                <w:b/>
                <w:bCs/>
                <w:szCs w:val="26"/>
              </w:rPr>
              <w:t>s</w:t>
            </w:r>
            <w:r>
              <w:rPr>
                <w:rFonts w:eastAsia="Arial"/>
                <w:b/>
                <w:bCs/>
                <w:szCs w:val="26"/>
              </w:rPr>
              <w:t xml:space="preserve"> </w:t>
            </w:r>
            <w:r w:rsidR="00D551D0">
              <w:rPr>
                <w:rFonts w:eastAsia="Arial"/>
                <w:b/>
                <w:bCs/>
                <w:szCs w:val="26"/>
              </w:rPr>
              <w:t>h</w:t>
            </w:r>
            <w:r>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Cs/>
              </w:rPr>
            </w:pPr>
            <w:r>
              <w:rPr>
                <w:rFonts w:eastAsia="Arial"/>
                <w:bCs/>
              </w:rPr>
              <w:t>WA Hospital Morbidity Data System</w:t>
            </w:r>
          </w:p>
          <w:p w:rsidR="00224508" w:rsidRDefault="00224508" w:rsidP="00262C0A">
            <w:pPr>
              <w:ind w:left="-108" w:right="-108"/>
              <w:rPr>
                <w:rFonts w:eastAsia="Arial"/>
                <w:b/>
                <w:bCs/>
              </w:rPr>
            </w:pPr>
          </w:p>
          <w:p w:rsidR="00224508" w:rsidRDefault="00224508" w:rsidP="00262C0A">
            <w:pPr>
              <w:ind w:left="-108" w:right="-108"/>
              <w:rPr>
                <w:rFonts w:eastAsia="Arial"/>
                <w:bCs/>
                <w:lang w:val="en-AU"/>
              </w:rPr>
            </w:pPr>
            <w:r w:rsidRPr="001C2A6F">
              <w:rPr>
                <w:rFonts w:eastAsia="Arial"/>
                <w:b/>
                <w:bCs/>
              </w:rPr>
              <w:t>Trend</w:t>
            </w:r>
            <w:r>
              <w:rPr>
                <w:rFonts w:eastAsia="Arial"/>
                <w:b/>
                <w:bCs/>
              </w:rPr>
              <w:t>s</w:t>
            </w:r>
            <w:r>
              <w:rPr>
                <w:rFonts w:eastAsia="Arial"/>
                <w:bCs/>
              </w:rPr>
              <w:t>: The age-</w:t>
            </w:r>
            <w:r w:rsidRPr="00C74476">
              <w:rPr>
                <w:rFonts w:eastAsia="Arial"/>
                <w:bCs/>
                <w:lang w:val="en-AU"/>
              </w:rPr>
              <w:t>standardised</w:t>
            </w:r>
            <w:r>
              <w:rPr>
                <w:rFonts w:eastAsia="Arial"/>
                <w:bCs/>
                <w:lang w:val="en-AU"/>
              </w:rPr>
              <w:t xml:space="preserve"> rate of hospitalisations due to fall-related injuries increased between 2002 and 2012 but decreased between 2012 and 2014 for both males and females.</w:t>
            </w:r>
          </w:p>
          <w:p w:rsidR="00224508" w:rsidRDefault="00224508" w:rsidP="00262C0A">
            <w:pPr>
              <w:ind w:left="-108" w:right="-108"/>
              <w:rPr>
                <w:rFonts w:eastAsia="Arial"/>
                <w:bCs/>
              </w:rPr>
            </w:pPr>
          </w:p>
          <w:p w:rsidR="00224508" w:rsidRPr="00D1099A" w:rsidRDefault="00224508" w:rsidP="00262C0A">
            <w:pPr>
              <w:ind w:left="-108" w:right="-108"/>
              <w:rPr>
                <w:rFonts w:eastAsia="Arial"/>
                <w:b/>
                <w:bCs/>
                <w:sz w:val="26"/>
                <w:szCs w:val="26"/>
              </w:rPr>
            </w:pPr>
            <w:r>
              <w:rPr>
                <w:rFonts w:eastAsia="Arial"/>
                <w:bCs/>
              </w:rPr>
              <w:t>The age-</w:t>
            </w:r>
            <w:r w:rsidRPr="001A7015">
              <w:rPr>
                <w:rFonts w:eastAsia="Arial"/>
                <w:bCs/>
                <w:lang w:val="en-AU"/>
              </w:rPr>
              <w:t>standardised</w:t>
            </w:r>
            <w:r>
              <w:rPr>
                <w:rFonts w:eastAsia="Arial"/>
                <w:bCs/>
              </w:rPr>
              <w:t xml:space="preserve"> rate of deaths due to falls increased between 2002 and 2013 for both males and females.</w:t>
            </w:r>
          </w:p>
        </w:tc>
      </w:tr>
      <w:tr w:rsidR="00224508" w:rsidTr="00262C0A">
        <w:trPr>
          <w:trHeight w:val="3144"/>
          <w:jc w:val="center"/>
        </w:trPr>
        <w:tc>
          <w:tcPr>
            <w:tcW w:w="5386" w:type="dxa"/>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73081CB2" wp14:editId="1941C816">
                  <wp:extent cx="3338623" cy="1775637"/>
                  <wp:effectExtent l="0" t="0" r="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8"/>
                    </a:graphicData>
                  </a:graphic>
                </wp:inline>
              </w:drawing>
            </w:r>
          </w:p>
        </w:tc>
        <w:tc>
          <w:tcPr>
            <w:tcW w:w="3922" w:type="dxa"/>
            <w:vMerge/>
          </w:tcPr>
          <w:p w:rsidR="00224508" w:rsidRPr="0041347A" w:rsidRDefault="00224508" w:rsidP="00262C0A">
            <w:pPr>
              <w:ind w:left="-108" w:right="-108"/>
              <w:rPr>
                <w:rFonts w:eastAsia="Arial"/>
                <w:bCs/>
                <w:sz w:val="20"/>
                <w:szCs w:val="20"/>
              </w:rPr>
            </w:pPr>
          </w:p>
        </w:tc>
      </w:tr>
      <w:tr w:rsidR="00224508" w:rsidTr="00262C0A">
        <w:trPr>
          <w:trHeight w:val="397"/>
          <w:jc w:val="center"/>
        </w:trPr>
        <w:tc>
          <w:tcPr>
            <w:tcW w:w="5386" w:type="dxa"/>
            <w:vAlign w:val="center"/>
          </w:tcPr>
          <w:p w:rsidR="00224508" w:rsidRPr="00045A48" w:rsidRDefault="00224508" w:rsidP="00D551D0">
            <w:pPr>
              <w:ind w:right="-108"/>
              <w:rPr>
                <w:rFonts w:eastAsia="Arial"/>
                <w:b/>
                <w:bCs/>
                <w:sz w:val="26"/>
                <w:szCs w:val="26"/>
              </w:rPr>
            </w:pPr>
            <w:r>
              <w:rPr>
                <w:rFonts w:eastAsia="Arial"/>
                <w:b/>
                <w:bCs/>
                <w:szCs w:val="26"/>
              </w:rPr>
              <w:t>Fall</w:t>
            </w:r>
            <w:r w:rsidR="00D551D0">
              <w:rPr>
                <w:rFonts w:eastAsia="Arial"/>
                <w:b/>
                <w:bCs/>
                <w:szCs w:val="26"/>
              </w:rPr>
              <w:t>s</w:t>
            </w:r>
            <w:r>
              <w:rPr>
                <w:rFonts w:eastAsia="Arial"/>
                <w:b/>
                <w:bCs/>
                <w:szCs w:val="26"/>
              </w:rPr>
              <w:t xml:space="preserve"> </w:t>
            </w:r>
            <w:r w:rsidR="00D551D0">
              <w:rPr>
                <w:rFonts w:eastAsia="Arial"/>
                <w:b/>
                <w:bCs/>
                <w:szCs w:val="26"/>
              </w:rPr>
              <w:t>d</w:t>
            </w:r>
            <w:r>
              <w:rPr>
                <w:rFonts w:eastAsia="Arial"/>
                <w:b/>
                <w:bCs/>
                <w:szCs w:val="26"/>
              </w:rPr>
              <w:t>eaths</w:t>
            </w:r>
          </w:p>
        </w:tc>
        <w:tc>
          <w:tcPr>
            <w:tcW w:w="3922" w:type="dxa"/>
            <w:vMerge/>
            <w:vAlign w:val="center"/>
          </w:tcPr>
          <w:p w:rsidR="00224508" w:rsidRPr="00045A48" w:rsidRDefault="00224508" w:rsidP="00262C0A">
            <w:pPr>
              <w:ind w:left="-108" w:right="-108"/>
              <w:rPr>
                <w:rFonts w:eastAsia="Arial"/>
                <w:b/>
                <w:bCs/>
                <w:sz w:val="26"/>
                <w:szCs w:val="26"/>
              </w:rPr>
            </w:pPr>
          </w:p>
        </w:tc>
      </w:tr>
      <w:tr w:rsidR="00224508" w:rsidTr="00A17F96">
        <w:trPr>
          <w:trHeight w:val="2473"/>
          <w:jc w:val="center"/>
        </w:trPr>
        <w:tc>
          <w:tcPr>
            <w:tcW w:w="5386" w:type="dxa"/>
            <w:tcBorders>
              <w:bottom w:val="single" w:sz="4" w:space="0" w:color="auto"/>
            </w:tcBorders>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0BA5AB5E" wp14:editId="6DABF18A">
                  <wp:extent cx="3338623" cy="1775637"/>
                  <wp:effectExtent l="0" t="0" r="0" b="0"/>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89"/>
                    </a:graphicData>
                  </a:graphic>
                </wp:inline>
              </w:drawing>
            </w:r>
          </w:p>
        </w:tc>
        <w:tc>
          <w:tcPr>
            <w:tcW w:w="3922" w:type="dxa"/>
            <w:vMerge/>
            <w:tcBorders>
              <w:bottom w:val="single" w:sz="4" w:space="0" w:color="auto"/>
            </w:tcBorders>
          </w:tcPr>
          <w:p w:rsidR="00224508" w:rsidRPr="0041347A" w:rsidRDefault="00224508" w:rsidP="00262C0A">
            <w:pPr>
              <w:ind w:right="-108"/>
              <w:rPr>
                <w:rFonts w:eastAsia="Arial"/>
                <w:bCs/>
                <w:sz w:val="20"/>
                <w:szCs w:val="20"/>
              </w:rPr>
            </w:pPr>
          </w:p>
        </w:tc>
      </w:tr>
      <w:tr w:rsidR="00224508" w:rsidTr="00262C0A">
        <w:trPr>
          <w:trHeight w:val="397"/>
          <w:jc w:val="center"/>
        </w:trPr>
        <w:tc>
          <w:tcPr>
            <w:tcW w:w="5386" w:type="dxa"/>
            <w:tcBorders>
              <w:top w:val="single" w:sz="4" w:space="0" w:color="auto"/>
            </w:tcBorders>
            <w:vAlign w:val="center"/>
          </w:tcPr>
          <w:p w:rsidR="00224508" w:rsidRPr="00053047" w:rsidRDefault="00224508" w:rsidP="00D551D0">
            <w:pPr>
              <w:ind w:right="-108"/>
              <w:rPr>
                <w:rFonts w:eastAsia="Arial"/>
                <w:b/>
                <w:bCs/>
                <w:sz w:val="26"/>
                <w:szCs w:val="26"/>
              </w:rPr>
            </w:pPr>
            <w:r>
              <w:rPr>
                <w:rFonts w:eastAsia="Arial"/>
                <w:b/>
                <w:bCs/>
                <w:szCs w:val="26"/>
              </w:rPr>
              <w:t xml:space="preserve">Transport </w:t>
            </w:r>
            <w:r w:rsidR="00D551D0">
              <w:rPr>
                <w:rFonts w:eastAsia="Arial"/>
                <w:b/>
                <w:bCs/>
                <w:szCs w:val="26"/>
              </w:rPr>
              <w:t>h</w:t>
            </w:r>
            <w:r>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Hospital Morbidity Data System</w:t>
            </w:r>
          </w:p>
          <w:p w:rsidR="00224508" w:rsidRDefault="00224508" w:rsidP="00262C0A">
            <w:pPr>
              <w:ind w:left="-108" w:right="-108"/>
              <w:rPr>
                <w:rFonts w:eastAsia="Arial"/>
                <w:b/>
                <w:bCs/>
              </w:rPr>
            </w:pPr>
          </w:p>
          <w:p w:rsidR="00224508" w:rsidRDefault="00224508" w:rsidP="00262C0A">
            <w:pPr>
              <w:ind w:left="-108" w:right="-108"/>
              <w:rPr>
                <w:rFonts w:eastAsia="Arial"/>
                <w:bCs/>
                <w:lang w:val="en-AU"/>
              </w:rPr>
            </w:pPr>
            <w:r w:rsidRPr="001C2A6F">
              <w:rPr>
                <w:rFonts w:eastAsia="Arial"/>
                <w:b/>
                <w:bCs/>
              </w:rPr>
              <w:t>Trend</w:t>
            </w:r>
            <w:r>
              <w:rPr>
                <w:rFonts w:eastAsia="Arial"/>
                <w:b/>
                <w:bCs/>
              </w:rPr>
              <w:t>s</w:t>
            </w:r>
            <w:r w:rsidRPr="00B57350">
              <w:rPr>
                <w:rFonts w:eastAsia="Arial"/>
                <w:bCs/>
              </w:rPr>
              <w:t xml:space="preserve">: </w:t>
            </w:r>
            <w:r>
              <w:rPr>
                <w:rFonts w:eastAsia="Arial"/>
                <w:bCs/>
              </w:rPr>
              <w:t>The age-</w:t>
            </w:r>
            <w:r w:rsidRPr="00C74476">
              <w:rPr>
                <w:rFonts w:eastAsia="Arial"/>
                <w:bCs/>
                <w:lang w:val="en-AU"/>
              </w:rPr>
              <w:t>standardised</w:t>
            </w:r>
            <w:r>
              <w:rPr>
                <w:rFonts w:eastAsia="Arial"/>
                <w:bCs/>
                <w:lang w:val="en-AU"/>
              </w:rPr>
              <w:t xml:space="preserve"> rate of hospitalisations due to transportation accidents increased for males between 2002 and 2009 but decreased between 2009 and 2014. </w:t>
            </w:r>
            <w:r w:rsidRPr="00C74476">
              <w:rPr>
                <w:rFonts w:eastAsia="Arial"/>
                <w:bCs/>
                <w:lang w:val="en-AU"/>
              </w:rPr>
              <w:t>For females,</w:t>
            </w:r>
            <w:r>
              <w:rPr>
                <w:rFonts w:eastAsia="Arial"/>
                <w:b/>
                <w:bCs/>
                <w:sz w:val="26"/>
                <w:szCs w:val="26"/>
              </w:rPr>
              <w:t xml:space="preserve"> </w:t>
            </w:r>
            <w:r>
              <w:rPr>
                <w:rFonts w:eastAsia="Arial"/>
                <w:bCs/>
                <w:lang w:val="en-AU"/>
              </w:rPr>
              <w:t>hospitalisations increased between 2002 and 2010 but remained steady between 2010 and 2014.</w:t>
            </w:r>
          </w:p>
          <w:p w:rsidR="00224508" w:rsidRPr="00053047" w:rsidRDefault="00224508" w:rsidP="00262C0A">
            <w:pPr>
              <w:ind w:left="-108" w:right="-108"/>
              <w:rPr>
                <w:rFonts w:eastAsia="Arial"/>
                <w:b/>
                <w:bCs/>
                <w:sz w:val="26"/>
                <w:szCs w:val="26"/>
              </w:rPr>
            </w:pPr>
          </w:p>
          <w:p w:rsidR="00224508" w:rsidRPr="00053047" w:rsidRDefault="00224508" w:rsidP="00262C0A">
            <w:pPr>
              <w:ind w:left="-108" w:right="-108"/>
              <w:rPr>
                <w:rFonts w:eastAsia="Arial"/>
                <w:b/>
                <w:bCs/>
                <w:sz w:val="26"/>
                <w:szCs w:val="26"/>
              </w:rPr>
            </w:pPr>
            <w:r>
              <w:rPr>
                <w:rFonts w:eastAsia="Arial"/>
                <w:bCs/>
              </w:rPr>
              <w:t>The age-</w:t>
            </w:r>
            <w:r w:rsidRPr="001A7015">
              <w:rPr>
                <w:rFonts w:eastAsia="Arial"/>
                <w:bCs/>
                <w:lang w:val="en-AU"/>
              </w:rPr>
              <w:t>standardised</w:t>
            </w:r>
            <w:r>
              <w:rPr>
                <w:rFonts w:eastAsia="Arial"/>
                <w:bCs/>
              </w:rPr>
              <w:t xml:space="preserve"> rate of deaths due to </w:t>
            </w:r>
            <w:r>
              <w:rPr>
                <w:rFonts w:eastAsia="Arial"/>
                <w:bCs/>
                <w:lang w:val="en-AU"/>
              </w:rPr>
              <w:t>transportation accidents increased for males between 2002 and 2007 but decreased between 2007 and 2013. For females, deaths remained steady between 2002 and 2012 but declined in 2013.</w:t>
            </w:r>
          </w:p>
        </w:tc>
      </w:tr>
      <w:tr w:rsidR="00224508" w:rsidTr="00262C0A">
        <w:trPr>
          <w:trHeight w:val="3005"/>
          <w:jc w:val="center"/>
        </w:trPr>
        <w:tc>
          <w:tcPr>
            <w:tcW w:w="5386" w:type="dxa"/>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785E2467" wp14:editId="4EA78B90">
                  <wp:extent cx="3338623" cy="1796903"/>
                  <wp:effectExtent l="0" t="0" r="0" b="0"/>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tc>
        <w:tc>
          <w:tcPr>
            <w:tcW w:w="3922" w:type="dxa"/>
            <w:vMerge/>
          </w:tcPr>
          <w:p w:rsidR="00224508" w:rsidRPr="0041347A" w:rsidRDefault="00224508" w:rsidP="00262C0A">
            <w:pPr>
              <w:ind w:left="-108" w:right="-108"/>
              <w:rPr>
                <w:rFonts w:eastAsia="Arial"/>
                <w:bCs/>
                <w:sz w:val="20"/>
                <w:szCs w:val="20"/>
              </w:rPr>
            </w:pPr>
          </w:p>
        </w:tc>
      </w:tr>
      <w:tr w:rsidR="00224508" w:rsidTr="005214A6">
        <w:trPr>
          <w:trHeight w:val="167"/>
          <w:jc w:val="center"/>
        </w:trPr>
        <w:tc>
          <w:tcPr>
            <w:tcW w:w="5386" w:type="dxa"/>
            <w:vAlign w:val="center"/>
          </w:tcPr>
          <w:p w:rsidR="00224508" w:rsidRPr="00053047" w:rsidRDefault="00224508" w:rsidP="00D551D0">
            <w:pPr>
              <w:ind w:right="-108"/>
              <w:rPr>
                <w:rFonts w:eastAsia="Arial"/>
                <w:b/>
                <w:bCs/>
                <w:sz w:val="26"/>
                <w:szCs w:val="26"/>
              </w:rPr>
            </w:pPr>
            <w:r>
              <w:rPr>
                <w:rFonts w:eastAsia="Arial"/>
                <w:b/>
                <w:bCs/>
                <w:szCs w:val="26"/>
              </w:rPr>
              <w:t xml:space="preserve">Transport </w:t>
            </w:r>
            <w:r w:rsidR="00D551D0">
              <w:rPr>
                <w:rFonts w:eastAsia="Arial"/>
                <w:b/>
                <w:bCs/>
                <w:szCs w:val="26"/>
              </w:rPr>
              <w:t>d</w:t>
            </w:r>
            <w:r>
              <w:rPr>
                <w:rFonts w:eastAsia="Arial"/>
                <w:b/>
                <w:bCs/>
                <w:szCs w:val="26"/>
              </w:rPr>
              <w:t>eaths</w:t>
            </w:r>
          </w:p>
        </w:tc>
        <w:tc>
          <w:tcPr>
            <w:tcW w:w="3922" w:type="dxa"/>
            <w:vMerge/>
            <w:vAlign w:val="center"/>
          </w:tcPr>
          <w:p w:rsidR="00224508" w:rsidRPr="00053047" w:rsidRDefault="00224508" w:rsidP="00262C0A">
            <w:pPr>
              <w:ind w:left="-108" w:right="-108"/>
              <w:rPr>
                <w:rFonts w:eastAsia="Arial"/>
                <w:b/>
                <w:bCs/>
                <w:sz w:val="26"/>
                <w:szCs w:val="26"/>
              </w:rPr>
            </w:pPr>
          </w:p>
        </w:tc>
      </w:tr>
      <w:tr w:rsidR="00224508" w:rsidTr="00262C0A">
        <w:trPr>
          <w:trHeight w:val="2891"/>
          <w:jc w:val="center"/>
        </w:trPr>
        <w:tc>
          <w:tcPr>
            <w:tcW w:w="5386" w:type="dxa"/>
            <w:tcBorders>
              <w:bottom w:val="single" w:sz="4" w:space="0" w:color="auto"/>
            </w:tcBorders>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0CA1EECE" wp14:editId="3B52FFFF">
                  <wp:extent cx="3338623" cy="1743740"/>
                  <wp:effectExtent l="0" t="0" r="0" b="8890"/>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91"/>
                    </a:graphicData>
                  </a:graphic>
                </wp:inline>
              </w:drawing>
            </w:r>
          </w:p>
        </w:tc>
        <w:tc>
          <w:tcPr>
            <w:tcW w:w="3922" w:type="dxa"/>
            <w:vMerge/>
            <w:tcBorders>
              <w:bottom w:val="single" w:sz="4" w:space="0" w:color="auto"/>
            </w:tcBorders>
          </w:tcPr>
          <w:p w:rsidR="00224508" w:rsidRPr="0041347A" w:rsidRDefault="00224508" w:rsidP="00262C0A">
            <w:pPr>
              <w:ind w:right="-108"/>
              <w:rPr>
                <w:rFonts w:eastAsia="Arial"/>
                <w:bCs/>
                <w:sz w:val="20"/>
                <w:szCs w:val="20"/>
              </w:rPr>
            </w:pPr>
          </w:p>
        </w:tc>
      </w:tr>
    </w:tbl>
    <w:p w:rsidR="00224508" w:rsidRPr="009D25B5" w:rsidRDefault="00A97FF1" w:rsidP="00224508">
      <w:pPr>
        <w:spacing w:after="120"/>
        <w:jc w:val="center"/>
        <w:rPr>
          <w:rFonts w:eastAsia="Arial"/>
          <w:b/>
          <w:bCs/>
          <w:color w:val="808080" w:themeColor="background1" w:themeShade="80"/>
          <w:sz w:val="26"/>
          <w:szCs w:val="26"/>
        </w:rPr>
      </w:pPr>
      <w:r>
        <w:rPr>
          <w:rFonts w:eastAsia="Arial"/>
          <w:b/>
          <w:bCs/>
          <w:color w:val="808080" w:themeColor="background1" w:themeShade="80"/>
          <w:sz w:val="26"/>
          <w:szCs w:val="26"/>
        </w:rPr>
        <w:lastRenderedPageBreak/>
        <w:t xml:space="preserve">3.  </w:t>
      </w:r>
      <w:r w:rsidR="00224508" w:rsidRPr="009D25B5">
        <w:rPr>
          <w:rFonts w:eastAsia="Arial"/>
          <w:b/>
          <w:bCs/>
          <w:color w:val="808080" w:themeColor="background1" w:themeShade="80"/>
          <w:sz w:val="26"/>
          <w:szCs w:val="26"/>
        </w:rPr>
        <w:t xml:space="preserve">Injury </w:t>
      </w:r>
      <w:r w:rsidR="009D25B5">
        <w:rPr>
          <w:rFonts w:eastAsia="Arial"/>
          <w:b/>
          <w:bCs/>
          <w:color w:val="808080" w:themeColor="background1" w:themeShade="80"/>
          <w:sz w:val="26"/>
          <w:szCs w:val="26"/>
        </w:rPr>
        <w:t>e</w:t>
      </w:r>
      <w:r w:rsidR="00224508" w:rsidRPr="009D25B5">
        <w:rPr>
          <w:rFonts w:eastAsia="Arial"/>
          <w:b/>
          <w:bCs/>
          <w:color w:val="808080" w:themeColor="background1" w:themeShade="80"/>
          <w:sz w:val="26"/>
          <w:szCs w:val="26"/>
        </w:rPr>
        <w:t>vents</w:t>
      </w:r>
    </w:p>
    <w:tbl>
      <w:tblPr>
        <w:tblStyle w:val="TableGrid"/>
        <w:tblW w:w="93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6"/>
        <w:gridCol w:w="3922"/>
      </w:tblGrid>
      <w:tr w:rsidR="00224508" w:rsidTr="00262C0A">
        <w:trPr>
          <w:trHeight w:val="397"/>
          <w:jc w:val="center"/>
        </w:trPr>
        <w:tc>
          <w:tcPr>
            <w:tcW w:w="5386" w:type="dxa"/>
            <w:tcBorders>
              <w:top w:val="single" w:sz="4" w:space="0" w:color="auto"/>
            </w:tcBorders>
            <w:vAlign w:val="center"/>
          </w:tcPr>
          <w:p w:rsidR="00224508" w:rsidRPr="00D1099A" w:rsidRDefault="00224508" w:rsidP="00D551D0">
            <w:pPr>
              <w:ind w:right="-108"/>
              <w:rPr>
                <w:rFonts w:eastAsia="Arial"/>
                <w:b/>
                <w:bCs/>
                <w:sz w:val="26"/>
                <w:szCs w:val="26"/>
              </w:rPr>
            </w:pPr>
            <w:r>
              <w:rPr>
                <w:rFonts w:eastAsia="Arial"/>
                <w:b/>
                <w:bCs/>
                <w:szCs w:val="26"/>
              </w:rPr>
              <w:t xml:space="preserve">Accidental </w:t>
            </w:r>
            <w:r w:rsidR="00D551D0">
              <w:rPr>
                <w:rFonts w:eastAsia="Arial"/>
                <w:b/>
                <w:bCs/>
                <w:szCs w:val="26"/>
              </w:rPr>
              <w:t>p</w:t>
            </w:r>
            <w:r>
              <w:rPr>
                <w:rFonts w:eastAsia="Arial"/>
                <w:b/>
                <w:bCs/>
                <w:szCs w:val="26"/>
              </w:rPr>
              <w:t xml:space="preserve">oisoning </w:t>
            </w:r>
            <w:r w:rsidR="00D551D0">
              <w:rPr>
                <w:rFonts w:eastAsia="Arial"/>
                <w:b/>
                <w:bCs/>
                <w:szCs w:val="26"/>
              </w:rPr>
              <w:t>h</w:t>
            </w:r>
            <w:r>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Hospital Morbidity Data System</w:t>
            </w:r>
          </w:p>
          <w:p w:rsidR="00224508" w:rsidRDefault="00224508" w:rsidP="00262C0A">
            <w:pPr>
              <w:ind w:left="-108" w:right="-108"/>
              <w:rPr>
                <w:rFonts w:eastAsia="Arial"/>
                <w:b/>
                <w:bCs/>
              </w:rPr>
            </w:pPr>
          </w:p>
          <w:p w:rsidR="00224508" w:rsidRDefault="00224508" w:rsidP="00262C0A">
            <w:pPr>
              <w:ind w:left="-108" w:right="-108"/>
              <w:rPr>
                <w:rFonts w:eastAsia="Arial"/>
                <w:bCs/>
              </w:rPr>
            </w:pPr>
            <w:r w:rsidRPr="001C2A6F">
              <w:rPr>
                <w:rFonts w:eastAsia="Arial"/>
                <w:b/>
                <w:bCs/>
              </w:rPr>
              <w:t>Trend</w:t>
            </w:r>
            <w:r>
              <w:rPr>
                <w:rFonts w:eastAsia="Arial"/>
                <w:b/>
                <w:bCs/>
              </w:rPr>
              <w:t>s</w:t>
            </w:r>
            <w:r>
              <w:rPr>
                <w:rFonts w:eastAsia="Arial"/>
                <w:bCs/>
              </w:rPr>
              <w:t>: The age-</w:t>
            </w:r>
            <w:r w:rsidRPr="00C74476">
              <w:rPr>
                <w:rFonts w:eastAsia="Arial"/>
                <w:bCs/>
                <w:lang w:val="en-AU"/>
              </w:rPr>
              <w:t>standardised</w:t>
            </w:r>
            <w:r>
              <w:rPr>
                <w:rFonts w:eastAsia="Arial"/>
                <w:bCs/>
                <w:lang w:val="en-AU"/>
              </w:rPr>
              <w:t xml:space="preserve"> rate of hospitalisations due to </w:t>
            </w:r>
            <w:r>
              <w:rPr>
                <w:rFonts w:eastAsia="Arial"/>
                <w:bCs/>
              </w:rPr>
              <w:t>accidental poisoning remained relatively consistent for both males and females between 2002 and 2014.</w:t>
            </w:r>
          </w:p>
          <w:p w:rsidR="00224508" w:rsidRDefault="00224508" w:rsidP="00262C0A">
            <w:pPr>
              <w:ind w:left="-108" w:right="-108"/>
              <w:rPr>
                <w:rFonts w:eastAsia="Arial"/>
                <w:bCs/>
              </w:rPr>
            </w:pPr>
          </w:p>
          <w:p w:rsidR="00224508" w:rsidRPr="00D1099A" w:rsidRDefault="00224508" w:rsidP="00262C0A">
            <w:pPr>
              <w:ind w:left="-108" w:right="-108"/>
              <w:rPr>
                <w:rFonts w:eastAsia="Arial"/>
                <w:b/>
                <w:bCs/>
                <w:sz w:val="26"/>
                <w:szCs w:val="26"/>
              </w:rPr>
            </w:pPr>
            <w:r>
              <w:rPr>
                <w:rFonts w:eastAsia="Arial"/>
                <w:bCs/>
              </w:rPr>
              <w:t>The age-</w:t>
            </w:r>
            <w:r w:rsidRPr="001A7015">
              <w:rPr>
                <w:rFonts w:eastAsia="Arial"/>
                <w:bCs/>
                <w:lang w:val="en-AU"/>
              </w:rPr>
              <w:t>standardised</w:t>
            </w:r>
            <w:r>
              <w:rPr>
                <w:rFonts w:eastAsia="Arial"/>
                <w:bCs/>
              </w:rPr>
              <w:t xml:space="preserve"> rate of deaths due to accidental poisoning remained relatively consistent for both males and females between 2005 and 2013.</w:t>
            </w:r>
          </w:p>
        </w:tc>
      </w:tr>
      <w:tr w:rsidR="00224508" w:rsidTr="00262C0A">
        <w:trPr>
          <w:trHeight w:val="2324"/>
          <w:jc w:val="center"/>
        </w:trPr>
        <w:tc>
          <w:tcPr>
            <w:tcW w:w="5386" w:type="dxa"/>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7A33A516" wp14:editId="2A5139D3">
                  <wp:extent cx="3338623" cy="1743740"/>
                  <wp:effectExtent l="0" t="0" r="0" b="88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2"/>
                    </a:graphicData>
                  </a:graphic>
                </wp:inline>
              </w:drawing>
            </w:r>
          </w:p>
        </w:tc>
        <w:tc>
          <w:tcPr>
            <w:tcW w:w="3922" w:type="dxa"/>
            <w:vMerge/>
          </w:tcPr>
          <w:p w:rsidR="00224508" w:rsidRPr="0041347A" w:rsidRDefault="00224508" w:rsidP="00262C0A">
            <w:pPr>
              <w:ind w:left="-108" w:right="-108"/>
              <w:rPr>
                <w:rFonts w:eastAsia="Arial"/>
                <w:bCs/>
                <w:sz w:val="20"/>
                <w:szCs w:val="20"/>
              </w:rPr>
            </w:pPr>
          </w:p>
        </w:tc>
      </w:tr>
      <w:tr w:rsidR="00224508" w:rsidTr="00262C0A">
        <w:trPr>
          <w:trHeight w:val="397"/>
          <w:jc w:val="center"/>
        </w:trPr>
        <w:tc>
          <w:tcPr>
            <w:tcW w:w="5386" w:type="dxa"/>
            <w:vAlign w:val="center"/>
          </w:tcPr>
          <w:p w:rsidR="00224508" w:rsidRPr="00045A48" w:rsidRDefault="00224508" w:rsidP="00D551D0">
            <w:pPr>
              <w:ind w:right="-108"/>
              <w:rPr>
                <w:rFonts w:eastAsia="Arial"/>
                <w:b/>
                <w:bCs/>
                <w:sz w:val="26"/>
                <w:szCs w:val="26"/>
              </w:rPr>
            </w:pPr>
            <w:r>
              <w:rPr>
                <w:rFonts w:eastAsia="Arial"/>
                <w:b/>
                <w:bCs/>
                <w:szCs w:val="26"/>
              </w:rPr>
              <w:t xml:space="preserve">Accidental </w:t>
            </w:r>
            <w:r w:rsidR="00D551D0">
              <w:rPr>
                <w:rFonts w:eastAsia="Arial"/>
                <w:b/>
                <w:bCs/>
                <w:szCs w:val="26"/>
              </w:rPr>
              <w:t>p</w:t>
            </w:r>
            <w:r>
              <w:rPr>
                <w:rFonts w:eastAsia="Arial"/>
                <w:b/>
                <w:bCs/>
                <w:szCs w:val="26"/>
              </w:rPr>
              <w:t xml:space="preserve">oisoning </w:t>
            </w:r>
            <w:r w:rsidR="00D551D0">
              <w:rPr>
                <w:rFonts w:eastAsia="Arial"/>
                <w:b/>
                <w:bCs/>
                <w:szCs w:val="26"/>
              </w:rPr>
              <w:t>d</w:t>
            </w:r>
            <w:r>
              <w:rPr>
                <w:rFonts w:eastAsia="Arial"/>
                <w:b/>
                <w:bCs/>
                <w:szCs w:val="26"/>
              </w:rPr>
              <w:t>eaths</w:t>
            </w:r>
          </w:p>
        </w:tc>
        <w:tc>
          <w:tcPr>
            <w:tcW w:w="3922" w:type="dxa"/>
            <w:vMerge/>
            <w:vAlign w:val="center"/>
          </w:tcPr>
          <w:p w:rsidR="00224508" w:rsidRPr="00045A48" w:rsidRDefault="00224508" w:rsidP="00262C0A">
            <w:pPr>
              <w:ind w:left="-108" w:right="-108"/>
              <w:rPr>
                <w:rFonts w:eastAsia="Arial"/>
                <w:b/>
                <w:bCs/>
                <w:sz w:val="26"/>
                <w:szCs w:val="26"/>
              </w:rPr>
            </w:pPr>
          </w:p>
        </w:tc>
      </w:tr>
      <w:tr w:rsidR="00224508" w:rsidTr="00262C0A">
        <w:trPr>
          <w:trHeight w:val="2381"/>
          <w:jc w:val="center"/>
        </w:trPr>
        <w:tc>
          <w:tcPr>
            <w:tcW w:w="5386" w:type="dxa"/>
            <w:tcBorders>
              <w:bottom w:val="single" w:sz="4" w:space="0" w:color="auto"/>
            </w:tcBorders>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09241EA9" wp14:editId="49B8E60D">
                  <wp:extent cx="3338623" cy="1765005"/>
                  <wp:effectExtent l="0" t="0" r="0" b="6985"/>
                  <wp:docPr id="55" name="Chart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3"/>
                    </a:graphicData>
                  </a:graphic>
                </wp:inline>
              </w:drawing>
            </w:r>
          </w:p>
        </w:tc>
        <w:tc>
          <w:tcPr>
            <w:tcW w:w="3922" w:type="dxa"/>
            <w:vMerge/>
            <w:tcBorders>
              <w:bottom w:val="single" w:sz="4" w:space="0" w:color="auto"/>
            </w:tcBorders>
          </w:tcPr>
          <w:p w:rsidR="00224508" w:rsidRPr="0041347A" w:rsidRDefault="00224508" w:rsidP="00262C0A">
            <w:pPr>
              <w:ind w:right="-108"/>
              <w:rPr>
                <w:rFonts w:eastAsia="Arial"/>
                <w:bCs/>
                <w:sz w:val="20"/>
                <w:szCs w:val="20"/>
              </w:rPr>
            </w:pPr>
          </w:p>
        </w:tc>
      </w:tr>
      <w:tr w:rsidR="00224508" w:rsidTr="00262C0A">
        <w:trPr>
          <w:trHeight w:val="397"/>
          <w:jc w:val="center"/>
        </w:trPr>
        <w:tc>
          <w:tcPr>
            <w:tcW w:w="5386" w:type="dxa"/>
            <w:tcBorders>
              <w:top w:val="single" w:sz="4" w:space="0" w:color="auto"/>
            </w:tcBorders>
            <w:vAlign w:val="center"/>
          </w:tcPr>
          <w:p w:rsidR="00224508" w:rsidRPr="00053047" w:rsidRDefault="00224508" w:rsidP="00D551D0">
            <w:pPr>
              <w:ind w:right="-108"/>
              <w:rPr>
                <w:rFonts w:eastAsia="Arial"/>
                <w:b/>
                <w:bCs/>
                <w:sz w:val="26"/>
                <w:szCs w:val="26"/>
              </w:rPr>
            </w:pPr>
            <w:r>
              <w:rPr>
                <w:rFonts w:eastAsia="Arial"/>
                <w:b/>
                <w:bCs/>
                <w:szCs w:val="26"/>
              </w:rPr>
              <w:t xml:space="preserve">Intentional </w:t>
            </w:r>
            <w:r w:rsidR="00D551D0">
              <w:rPr>
                <w:rFonts w:eastAsia="Arial"/>
                <w:b/>
                <w:bCs/>
                <w:szCs w:val="26"/>
              </w:rPr>
              <w:t>s</w:t>
            </w:r>
            <w:r>
              <w:rPr>
                <w:rFonts w:eastAsia="Arial"/>
                <w:b/>
                <w:bCs/>
                <w:szCs w:val="26"/>
              </w:rPr>
              <w:t>elf-</w:t>
            </w:r>
            <w:r w:rsidR="00D551D0">
              <w:rPr>
                <w:rFonts w:eastAsia="Arial"/>
                <w:b/>
                <w:bCs/>
                <w:szCs w:val="26"/>
              </w:rPr>
              <w:t>h</w:t>
            </w:r>
            <w:r>
              <w:rPr>
                <w:rFonts w:eastAsia="Arial"/>
                <w:b/>
                <w:bCs/>
                <w:szCs w:val="26"/>
              </w:rPr>
              <w:t xml:space="preserve">arm </w:t>
            </w:r>
            <w:r w:rsidR="00D551D0">
              <w:rPr>
                <w:rFonts w:eastAsia="Arial"/>
                <w:b/>
                <w:bCs/>
                <w:szCs w:val="26"/>
              </w:rPr>
              <w:t>h</w:t>
            </w:r>
            <w:r>
              <w:rPr>
                <w:rFonts w:eastAsia="Arial"/>
                <w:b/>
                <w:bCs/>
                <w:szCs w:val="26"/>
              </w:rPr>
              <w:t>ospitalisations</w:t>
            </w:r>
          </w:p>
        </w:tc>
        <w:tc>
          <w:tcPr>
            <w:tcW w:w="3922" w:type="dxa"/>
            <w:vMerge w:val="restart"/>
            <w:tcBorders>
              <w:top w:val="single" w:sz="4" w:space="0" w:color="auto"/>
            </w:tcBorders>
            <w:vAlign w:val="center"/>
          </w:tcPr>
          <w:p w:rsidR="00224508" w:rsidRDefault="00224508" w:rsidP="00262C0A">
            <w:pPr>
              <w:ind w:left="-108" w:right="-108"/>
              <w:rPr>
                <w:rFonts w:eastAsia="Arial"/>
                <w:b/>
                <w:bCs/>
              </w:rPr>
            </w:pPr>
            <w:r>
              <w:rPr>
                <w:rFonts w:eastAsia="Arial"/>
                <w:b/>
                <w:bCs/>
              </w:rPr>
              <w:t>Source</w:t>
            </w:r>
          </w:p>
          <w:p w:rsidR="00224508" w:rsidRDefault="00224508" w:rsidP="00262C0A">
            <w:pPr>
              <w:ind w:left="-108" w:right="-108"/>
              <w:rPr>
                <w:rFonts w:eastAsia="Arial"/>
                <w:b/>
                <w:bCs/>
              </w:rPr>
            </w:pPr>
            <w:r>
              <w:rPr>
                <w:rFonts w:eastAsia="Arial"/>
                <w:bCs/>
              </w:rPr>
              <w:t>WA Hospital Morbidity Data System</w:t>
            </w:r>
          </w:p>
          <w:p w:rsidR="00224508" w:rsidRDefault="00224508" w:rsidP="00262C0A">
            <w:pPr>
              <w:ind w:left="-108" w:right="-108"/>
              <w:rPr>
                <w:rFonts w:eastAsia="Arial"/>
                <w:b/>
                <w:bCs/>
              </w:rPr>
            </w:pPr>
          </w:p>
          <w:p w:rsidR="00224508" w:rsidRDefault="00224508" w:rsidP="00262C0A">
            <w:pPr>
              <w:ind w:left="-108" w:right="-108"/>
              <w:rPr>
                <w:rFonts w:eastAsia="Arial"/>
                <w:bCs/>
                <w:lang w:val="en-AU"/>
              </w:rPr>
            </w:pPr>
            <w:r w:rsidRPr="001C2A6F">
              <w:rPr>
                <w:rFonts w:eastAsia="Arial"/>
                <w:b/>
                <w:bCs/>
              </w:rPr>
              <w:t>Trend</w:t>
            </w:r>
            <w:r>
              <w:rPr>
                <w:rFonts w:eastAsia="Arial"/>
                <w:b/>
                <w:bCs/>
              </w:rPr>
              <w:t>s</w:t>
            </w:r>
            <w:r w:rsidRPr="00B57350">
              <w:rPr>
                <w:rFonts w:eastAsia="Arial"/>
                <w:bCs/>
              </w:rPr>
              <w:t xml:space="preserve">: </w:t>
            </w:r>
            <w:r>
              <w:rPr>
                <w:rFonts w:eastAsia="Arial"/>
                <w:bCs/>
              </w:rPr>
              <w:t>The age-</w:t>
            </w:r>
            <w:r w:rsidRPr="00C74476">
              <w:rPr>
                <w:rFonts w:eastAsia="Arial"/>
                <w:bCs/>
                <w:lang w:val="en-AU"/>
              </w:rPr>
              <w:t>standardised</w:t>
            </w:r>
            <w:r>
              <w:rPr>
                <w:rFonts w:eastAsia="Arial"/>
                <w:bCs/>
                <w:lang w:val="en-AU"/>
              </w:rPr>
              <w:t xml:space="preserve"> rate of hospitalisations due to intentional self-harm remained consistent between 2002 and 2012 but declined between 2012 and 2014 for both males and females.</w:t>
            </w:r>
          </w:p>
          <w:p w:rsidR="00224508" w:rsidRPr="00053047" w:rsidRDefault="00224508" w:rsidP="00262C0A">
            <w:pPr>
              <w:ind w:left="-108" w:right="-108"/>
              <w:rPr>
                <w:rFonts w:eastAsia="Arial"/>
                <w:b/>
                <w:bCs/>
                <w:sz w:val="26"/>
                <w:szCs w:val="26"/>
              </w:rPr>
            </w:pPr>
          </w:p>
          <w:p w:rsidR="00224508" w:rsidRPr="00053047" w:rsidRDefault="00224508" w:rsidP="00262C0A">
            <w:pPr>
              <w:ind w:left="-108" w:right="-108"/>
              <w:rPr>
                <w:rFonts w:eastAsia="Arial"/>
                <w:b/>
                <w:bCs/>
                <w:sz w:val="26"/>
                <w:szCs w:val="26"/>
              </w:rPr>
            </w:pPr>
            <w:r>
              <w:rPr>
                <w:rFonts w:eastAsia="Arial"/>
                <w:bCs/>
              </w:rPr>
              <w:t>The age-</w:t>
            </w:r>
            <w:r w:rsidRPr="001A7015">
              <w:rPr>
                <w:rFonts w:eastAsia="Arial"/>
                <w:bCs/>
                <w:lang w:val="en-AU"/>
              </w:rPr>
              <w:t>standardised</w:t>
            </w:r>
            <w:r>
              <w:rPr>
                <w:rFonts w:eastAsia="Arial"/>
                <w:bCs/>
              </w:rPr>
              <w:t xml:space="preserve"> rate of deaths due to </w:t>
            </w:r>
            <w:r>
              <w:rPr>
                <w:rFonts w:eastAsia="Arial"/>
                <w:bCs/>
                <w:lang w:val="en-AU"/>
              </w:rPr>
              <w:t>intentional self-harm remained relatively consistent for males and females between 2002 and 2013.</w:t>
            </w:r>
          </w:p>
        </w:tc>
      </w:tr>
      <w:tr w:rsidR="00224508" w:rsidTr="00262C0A">
        <w:trPr>
          <w:trHeight w:val="2608"/>
          <w:jc w:val="center"/>
        </w:trPr>
        <w:tc>
          <w:tcPr>
            <w:tcW w:w="5386" w:type="dxa"/>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555E6474" wp14:editId="214086EA">
                  <wp:extent cx="3338623" cy="1839432"/>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4"/>
                    </a:graphicData>
                  </a:graphic>
                </wp:inline>
              </w:drawing>
            </w:r>
          </w:p>
        </w:tc>
        <w:tc>
          <w:tcPr>
            <w:tcW w:w="3922" w:type="dxa"/>
            <w:vMerge/>
          </w:tcPr>
          <w:p w:rsidR="00224508" w:rsidRPr="0041347A" w:rsidRDefault="00224508" w:rsidP="00262C0A">
            <w:pPr>
              <w:ind w:right="-108"/>
              <w:rPr>
                <w:rFonts w:eastAsia="Arial"/>
                <w:bCs/>
                <w:sz w:val="20"/>
                <w:szCs w:val="20"/>
              </w:rPr>
            </w:pPr>
          </w:p>
        </w:tc>
      </w:tr>
      <w:tr w:rsidR="00224508" w:rsidTr="00262C0A">
        <w:trPr>
          <w:trHeight w:val="397"/>
          <w:jc w:val="center"/>
        </w:trPr>
        <w:tc>
          <w:tcPr>
            <w:tcW w:w="5386" w:type="dxa"/>
            <w:vAlign w:val="center"/>
          </w:tcPr>
          <w:p w:rsidR="00224508" w:rsidRPr="00053047" w:rsidRDefault="00224508" w:rsidP="00D551D0">
            <w:pPr>
              <w:ind w:right="-108"/>
              <w:rPr>
                <w:rFonts w:eastAsia="Arial"/>
                <w:b/>
                <w:bCs/>
                <w:sz w:val="26"/>
                <w:szCs w:val="26"/>
              </w:rPr>
            </w:pPr>
            <w:r>
              <w:rPr>
                <w:rFonts w:eastAsia="Arial"/>
                <w:b/>
                <w:bCs/>
                <w:szCs w:val="26"/>
              </w:rPr>
              <w:t xml:space="preserve">Intentional </w:t>
            </w:r>
            <w:r w:rsidR="00D551D0">
              <w:rPr>
                <w:rFonts w:eastAsia="Arial"/>
                <w:b/>
                <w:bCs/>
                <w:szCs w:val="26"/>
              </w:rPr>
              <w:t>s</w:t>
            </w:r>
            <w:r>
              <w:rPr>
                <w:rFonts w:eastAsia="Arial"/>
                <w:b/>
                <w:bCs/>
                <w:szCs w:val="26"/>
              </w:rPr>
              <w:t>elf-</w:t>
            </w:r>
            <w:r w:rsidR="00D551D0">
              <w:rPr>
                <w:rFonts w:eastAsia="Arial"/>
                <w:b/>
                <w:bCs/>
                <w:szCs w:val="26"/>
              </w:rPr>
              <w:t>h</w:t>
            </w:r>
            <w:r>
              <w:rPr>
                <w:rFonts w:eastAsia="Arial"/>
                <w:b/>
                <w:bCs/>
                <w:szCs w:val="26"/>
              </w:rPr>
              <w:t xml:space="preserve">arm </w:t>
            </w:r>
            <w:r w:rsidR="00D551D0">
              <w:rPr>
                <w:rFonts w:eastAsia="Arial"/>
                <w:b/>
                <w:bCs/>
                <w:szCs w:val="26"/>
              </w:rPr>
              <w:t>d</w:t>
            </w:r>
            <w:r>
              <w:rPr>
                <w:rFonts w:eastAsia="Arial"/>
                <w:b/>
                <w:bCs/>
                <w:szCs w:val="26"/>
              </w:rPr>
              <w:t>eaths</w:t>
            </w:r>
          </w:p>
        </w:tc>
        <w:tc>
          <w:tcPr>
            <w:tcW w:w="3922" w:type="dxa"/>
            <w:vMerge/>
            <w:vAlign w:val="center"/>
          </w:tcPr>
          <w:p w:rsidR="00224508" w:rsidRPr="00053047" w:rsidRDefault="00224508" w:rsidP="00262C0A">
            <w:pPr>
              <w:ind w:right="-108"/>
              <w:rPr>
                <w:rFonts w:eastAsia="Arial"/>
                <w:b/>
                <w:bCs/>
                <w:sz w:val="26"/>
                <w:szCs w:val="26"/>
              </w:rPr>
            </w:pPr>
          </w:p>
        </w:tc>
      </w:tr>
      <w:tr w:rsidR="00224508" w:rsidTr="00262C0A">
        <w:trPr>
          <w:trHeight w:val="2994"/>
          <w:jc w:val="center"/>
        </w:trPr>
        <w:tc>
          <w:tcPr>
            <w:tcW w:w="5386" w:type="dxa"/>
            <w:tcBorders>
              <w:bottom w:val="single" w:sz="4" w:space="0" w:color="auto"/>
            </w:tcBorders>
            <w:vAlign w:val="center"/>
          </w:tcPr>
          <w:p w:rsidR="00224508" w:rsidRDefault="00224508" w:rsidP="00262C0A">
            <w:pPr>
              <w:spacing w:after="60"/>
              <w:ind w:left="-108" w:right="-108"/>
              <w:rPr>
                <w:rFonts w:eastAsia="Arial"/>
                <w:b/>
                <w:bCs/>
                <w:color w:val="00929F"/>
                <w:sz w:val="26"/>
                <w:szCs w:val="26"/>
              </w:rPr>
            </w:pPr>
            <w:r>
              <w:rPr>
                <w:noProof/>
                <w:lang w:val="en-AU" w:eastAsia="en-AU"/>
              </w:rPr>
              <w:drawing>
                <wp:inline distT="0" distB="0" distL="0" distR="0" wp14:anchorId="43849181" wp14:editId="4FCEDB2D">
                  <wp:extent cx="3338195" cy="19558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tc>
        <w:tc>
          <w:tcPr>
            <w:tcW w:w="3922" w:type="dxa"/>
            <w:vMerge/>
            <w:tcBorders>
              <w:bottom w:val="single" w:sz="4" w:space="0" w:color="auto"/>
            </w:tcBorders>
          </w:tcPr>
          <w:p w:rsidR="00224508" w:rsidRPr="0041347A" w:rsidRDefault="00224508" w:rsidP="00262C0A">
            <w:pPr>
              <w:ind w:right="-108"/>
              <w:rPr>
                <w:rFonts w:eastAsia="Arial"/>
                <w:bCs/>
                <w:sz w:val="20"/>
                <w:szCs w:val="20"/>
              </w:rPr>
            </w:pPr>
          </w:p>
        </w:tc>
      </w:tr>
    </w:tbl>
    <w:bookmarkStart w:id="68" w:name="_Toc462049349" w:displacedByCustomXml="next"/>
    <w:sdt>
      <w:sdtPr>
        <w:rPr>
          <w:rFonts w:eastAsia="Times New Roman" w:cs="Arial"/>
          <w:color w:val="auto"/>
          <w:sz w:val="24"/>
          <w:szCs w:val="24"/>
        </w:rPr>
        <w:id w:val="-323198002"/>
        <w:docPartObj>
          <w:docPartGallery w:val="Bibliographies"/>
          <w:docPartUnique/>
        </w:docPartObj>
      </w:sdtPr>
      <w:sdtEndPr/>
      <w:sdtContent>
        <w:p w:rsidR="007C64C3" w:rsidRDefault="007C64C3">
          <w:pPr>
            <w:pStyle w:val="Heading1"/>
          </w:pPr>
          <w:r>
            <w:t>References</w:t>
          </w:r>
          <w:bookmarkEnd w:id="68"/>
        </w:p>
        <w:p w:rsidR="007B2F11" w:rsidRDefault="00C71FCC" w:rsidP="00A35954">
          <w:sdt>
            <w:sdtPr>
              <w:id w:val="-573587230"/>
              <w:showingPlcHdr/>
              <w:bibliography/>
            </w:sdtPr>
            <w:sdtEndPr>
              <w:rPr>
                <w:sz w:val="16"/>
              </w:rPr>
            </w:sdtEndPr>
            <w:sdtContent>
              <w:r w:rsidR="00E439ED">
                <w:t xml:space="preserve">     </w:t>
              </w:r>
            </w:sdtContent>
          </w:sdt>
        </w:p>
        <w:p w:rsidR="00E439ED" w:rsidRDefault="00C71FCC" w:rsidP="00E439ED"/>
      </w:sdtContent>
    </w:sdt>
    <w:p w:rsidR="005B3C51" w:rsidRPr="005B3C51" w:rsidRDefault="008E4A1B" w:rsidP="005B3C51">
      <w:pPr>
        <w:ind w:left="720" w:hanging="720"/>
        <w:rPr>
          <w:rFonts w:ascii="Calibri" w:hAnsi="Calibri"/>
          <w:noProof/>
          <w:sz w:val="22"/>
        </w:rPr>
      </w:pPr>
      <w:r>
        <w:rPr>
          <w:sz w:val="16"/>
        </w:rPr>
        <w:fldChar w:fldCharType="begin"/>
      </w:r>
      <w:r>
        <w:rPr>
          <w:sz w:val="16"/>
        </w:rPr>
        <w:instrText xml:space="preserve"> ADDIN EN.REFLIST </w:instrText>
      </w:r>
      <w:r>
        <w:rPr>
          <w:sz w:val="16"/>
        </w:rPr>
        <w:fldChar w:fldCharType="separate"/>
      </w:r>
      <w:r w:rsidR="005B3C51" w:rsidRPr="005B3C51">
        <w:rPr>
          <w:rFonts w:ascii="Calibri" w:hAnsi="Calibri"/>
          <w:noProof/>
          <w:sz w:val="22"/>
        </w:rPr>
        <w:t>1.</w:t>
      </w:r>
      <w:r w:rsidR="005B3C51" w:rsidRPr="005B3C51">
        <w:rPr>
          <w:rFonts w:ascii="Calibri" w:hAnsi="Calibri"/>
          <w:noProof/>
          <w:sz w:val="22"/>
        </w:rPr>
        <w:tab/>
        <w:t xml:space="preserve">Australian Institute of Health and Welfare. Australia's health 2014. Australia's health series no. 12. Cat. no. AUS 178.  Canberra: Australian Institute of Health and Welfare; 2014; Available from: </w:t>
      </w:r>
      <w:hyperlink r:id="rId96" w:history="1">
        <w:r w:rsidR="005B3C51" w:rsidRPr="005B3C51">
          <w:rPr>
            <w:rStyle w:val="Hyperlink"/>
            <w:rFonts w:ascii="Calibri" w:hAnsi="Calibri"/>
            <w:noProof/>
            <w:sz w:val="22"/>
          </w:rPr>
          <w:t>http://www.aihw.gov.au/WorkArea/DownloadAsset.aspx?id=60129548150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w:t>
      </w:r>
      <w:r w:rsidRPr="005B3C51">
        <w:rPr>
          <w:rFonts w:ascii="Calibri" w:hAnsi="Calibri"/>
          <w:noProof/>
          <w:sz w:val="22"/>
        </w:rPr>
        <w:tab/>
        <w:t xml:space="preserve">Australian Institute of Health and Welfare. Australian Burden of Disease Study: impact and causes of illness and death in Australia 2011. Series no. 3. Cat. no. BOD 4. Canberra: Australian Institute of Health and Welfare, 2016. Available from: </w:t>
      </w:r>
      <w:hyperlink r:id="rId97" w:history="1">
        <w:r w:rsidRPr="005B3C51">
          <w:rPr>
            <w:rStyle w:val="Hyperlink"/>
            <w:rFonts w:ascii="Calibri" w:hAnsi="Calibri"/>
            <w:noProof/>
            <w:sz w:val="22"/>
          </w:rPr>
          <w:t>http://www.aihw.gov.au/publication-detail/?id=60129555173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w:t>
      </w:r>
      <w:r w:rsidRPr="005B3C51">
        <w:rPr>
          <w:rFonts w:ascii="Calibri" w:hAnsi="Calibri"/>
          <w:noProof/>
          <w:sz w:val="22"/>
        </w:rPr>
        <w:tab/>
        <w:t xml:space="preserve">Australian Institute of Health and Welfare. Risk factors contributing to chronic disease. Canberra: Australian Institute of Health and Welfare, 2012. Available from: </w:t>
      </w:r>
      <w:hyperlink r:id="rId98" w:history="1">
        <w:r w:rsidRPr="005B3C51">
          <w:rPr>
            <w:rStyle w:val="Hyperlink"/>
            <w:rFonts w:ascii="Calibri" w:hAnsi="Calibri"/>
            <w:noProof/>
            <w:sz w:val="22"/>
          </w:rPr>
          <w:t>http://www.aihw.gov.au/publication-detail/?id=10737421466</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w:t>
      </w:r>
      <w:r w:rsidRPr="005B3C51">
        <w:rPr>
          <w:rFonts w:ascii="Calibri" w:hAnsi="Calibri"/>
          <w:noProof/>
          <w:sz w:val="22"/>
        </w:rPr>
        <w:tab/>
        <w:t xml:space="preserve">Sherrington C, Tiedemann A, Fairhall N, Close JC, Lord SR. Exercise to prevent falls in older adults: an updated meta-analysis and best practice recommendations. NSW Public Health Bull. 2011;22(3-4):78-83. Available from: </w:t>
      </w:r>
      <w:hyperlink r:id="rId99" w:history="1">
        <w:r w:rsidRPr="005B3C51">
          <w:rPr>
            <w:rStyle w:val="Hyperlink"/>
            <w:rFonts w:ascii="Calibri" w:hAnsi="Calibri"/>
            <w:noProof/>
            <w:sz w:val="22"/>
          </w:rPr>
          <w:t>http://www.ncbi.nlm.nih.gov/pubmed/21632004</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w:t>
      </w:r>
      <w:r w:rsidRPr="005B3C51">
        <w:rPr>
          <w:rFonts w:ascii="Calibri" w:hAnsi="Calibri"/>
          <w:noProof/>
          <w:sz w:val="22"/>
        </w:rPr>
        <w:tab/>
        <w:t xml:space="preserve">Australian Institute of Health and Welfare. Contribution of chronic disease to the gap in adult mortality between Aboriginal and Torres Strait Islander and other Australians. Cat. no. IHW 48. Canberra: Australian Institute of Health and Welfare, 2011. Available from: </w:t>
      </w:r>
      <w:hyperlink r:id="rId100" w:history="1">
        <w:r w:rsidRPr="005B3C51">
          <w:rPr>
            <w:rStyle w:val="Hyperlink"/>
            <w:rFonts w:ascii="Calibri" w:hAnsi="Calibri"/>
            <w:noProof/>
            <w:sz w:val="22"/>
          </w:rPr>
          <w:t>http://www.aihw.gov.au/indigenous-observatory-chronic-disease/</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w:t>
      </w:r>
      <w:r w:rsidRPr="005B3C51">
        <w:rPr>
          <w:rFonts w:ascii="Calibri" w:hAnsi="Calibri"/>
          <w:noProof/>
          <w:sz w:val="22"/>
        </w:rPr>
        <w:tab/>
        <w:t xml:space="preserve">Hocking S, Draper G, Somerford P, Xiao J, Weeramanthri T. The Western Australian Chief Health Officer’s report 2010. Perth: Department of Health, Western Australia, 2010. Available from: </w:t>
      </w:r>
      <w:hyperlink r:id="rId101" w:history="1">
        <w:r w:rsidRPr="005B3C51">
          <w:rPr>
            <w:rStyle w:val="Hyperlink"/>
            <w:rFonts w:ascii="Calibri" w:hAnsi="Calibri"/>
            <w:noProof/>
            <w:sz w:val="22"/>
          </w:rPr>
          <w:t>http://www.health.wa.gov.au/publications/documents/WA_chief_health_officers_report_2010.pdf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w:t>
      </w:r>
      <w:r w:rsidRPr="005B3C51">
        <w:rPr>
          <w:rFonts w:ascii="Calibri" w:hAnsi="Calibri"/>
          <w:noProof/>
          <w:sz w:val="22"/>
        </w:rPr>
        <w:tab/>
        <w:t xml:space="preserve">Australian Institute of Health and Welfare. Australian Burden of Disease Study: Impact and causes of illness and death in Australia 2011-Summary report. Australian Burden of Disease Study series no. 4. BOD 5. Canberra: AIHW, 2016. Available from: </w:t>
      </w:r>
      <w:hyperlink r:id="rId102" w:history="1">
        <w:r w:rsidRPr="005B3C51">
          <w:rPr>
            <w:rStyle w:val="Hyperlink"/>
            <w:rFonts w:ascii="Calibri" w:hAnsi="Calibri"/>
            <w:noProof/>
            <w:sz w:val="22"/>
          </w:rPr>
          <w:t>http://www.aihw.gov.au/publication-detail/?id=60129556205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w:t>
      </w:r>
      <w:r w:rsidRPr="005B3C51">
        <w:rPr>
          <w:rFonts w:ascii="Calibri" w:hAnsi="Calibri"/>
          <w:noProof/>
          <w:sz w:val="22"/>
        </w:rPr>
        <w:tab/>
        <w:t xml:space="preserve">Australian Bureau of Statistics. 4364.0.55.001 - National Health Survey: first results, 2014-2015 - Australia. Canberra: Australian Bureau of Statistics; 2015. Available from: </w:t>
      </w:r>
      <w:hyperlink r:id="rId103" w:history="1">
        <w:r w:rsidRPr="005B3C51">
          <w:rPr>
            <w:rStyle w:val="Hyperlink"/>
            <w:rFonts w:ascii="Calibri" w:hAnsi="Calibri"/>
            <w:noProof/>
            <w:sz w:val="22"/>
          </w:rPr>
          <w:t>http://www.abs.gov.au/AUSSTATS/abs@.nsf/DetailsPage/4364.0.55.0012014-15?OpenDocument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w:t>
      </w:r>
      <w:r w:rsidRPr="005B3C51">
        <w:rPr>
          <w:rFonts w:ascii="Calibri" w:hAnsi="Calibri"/>
          <w:noProof/>
          <w:sz w:val="22"/>
        </w:rPr>
        <w:tab/>
        <w:t xml:space="preserve">Australian Bureau of Statistics. Australian Aboriginal and Torres Strait Islander Health Survey: First results, Australia, 2012-13. Canberra, Australia: ABS; 2013. Available from: </w:t>
      </w:r>
      <w:hyperlink r:id="rId104" w:history="1">
        <w:r w:rsidRPr="005B3C51">
          <w:rPr>
            <w:rStyle w:val="Hyperlink"/>
            <w:rFonts w:ascii="Calibri" w:hAnsi="Calibri"/>
            <w:noProof/>
            <w:sz w:val="22"/>
          </w:rPr>
          <w:t>http://www.abs.gov.au/ausstats/abs@.nsf/mf/4727.0.55.001</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w:t>
      </w:r>
      <w:r w:rsidRPr="005B3C51">
        <w:rPr>
          <w:rFonts w:ascii="Calibri" w:hAnsi="Calibri"/>
          <w:noProof/>
          <w:sz w:val="22"/>
        </w:rPr>
        <w:tab/>
        <w:t xml:space="preserve">National Health and Medical Research Council. Cultural competency in health: a guide for policy, partnerships and participation. Canberra: National Health and Medical Research Council, 2006. Available from: </w:t>
      </w:r>
      <w:hyperlink r:id="rId105" w:history="1">
        <w:r w:rsidRPr="005B3C51">
          <w:rPr>
            <w:rStyle w:val="Hyperlink"/>
            <w:rFonts w:ascii="Calibri" w:hAnsi="Calibri"/>
            <w:noProof/>
            <w:sz w:val="22"/>
          </w:rPr>
          <w:t>http://www.nhmrc.gov.au/guidelines-publications/hp19-hp26</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w:t>
      </w:r>
      <w:r w:rsidRPr="005B3C51">
        <w:rPr>
          <w:rFonts w:ascii="Calibri" w:hAnsi="Calibri"/>
          <w:noProof/>
          <w:sz w:val="22"/>
        </w:rPr>
        <w:tab/>
        <w:t xml:space="preserve">Australian Institute of Health and Welfare. Aboriginal and Torres Strait Islander Health Performance Framework. Canberra: Australian Institute of Health and Welfare, 2015. Available from: </w:t>
      </w:r>
      <w:hyperlink r:id="rId106" w:history="1">
        <w:r w:rsidRPr="005B3C51">
          <w:rPr>
            <w:rStyle w:val="Hyperlink"/>
            <w:rFonts w:ascii="Calibri" w:hAnsi="Calibri"/>
            <w:noProof/>
            <w:sz w:val="22"/>
          </w:rPr>
          <w:t>http://www.health.gov.au/indigenous-hpf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w:t>
      </w:r>
      <w:r w:rsidRPr="005B3C51">
        <w:rPr>
          <w:rFonts w:ascii="Calibri" w:hAnsi="Calibri"/>
          <w:noProof/>
          <w:sz w:val="22"/>
        </w:rPr>
        <w:tab/>
        <w:t xml:space="preserve">Mental health Commission, Western Australia. Mental health 2020: making it personal and everybody's business. Perth: Mental Health Commission, Western Australia. Available from: </w:t>
      </w:r>
      <w:hyperlink r:id="rId107" w:history="1">
        <w:r w:rsidRPr="005B3C51">
          <w:rPr>
            <w:rStyle w:val="Hyperlink"/>
            <w:rFonts w:ascii="Calibri" w:hAnsi="Calibri"/>
            <w:noProof/>
            <w:sz w:val="22"/>
          </w:rPr>
          <w:t>http://www.mentalhealth.wa.gov.au/Libraries/pdf_docs/Mental_Health_Commission_strategic_plan_2020.sflb.ashx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w:t>
      </w:r>
      <w:r w:rsidRPr="005B3C51">
        <w:rPr>
          <w:rFonts w:ascii="Calibri" w:hAnsi="Calibri"/>
          <w:noProof/>
          <w:sz w:val="22"/>
        </w:rPr>
        <w:tab/>
        <w:t xml:space="preserve">Lawrence D, Hancock K, Kisely S. The gap in life expectancy from preventable physical illness in psychiatric patients in Western Australia: retrospective analysis of population based registers. BMJ. 2013;346:f2539 doi: 10.1136/bmj.f2539. Available from: </w:t>
      </w:r>
      <w:hyperlink r:id="rId108" w:history="1">
        <w:r w:rsidRPr="005B3C51">
          <w:rPr>
            <w:rStyle w:val="Hyperlink"/>
            <w:rFonts w:ascii="Calibri" w:hAnsi="Calibri"/>
            <w:noProof/>
            <w:sz w:val="22"/>
          </w:rPr>
          <w:t>http://www.bmj.com/content/346/bmj.f2539</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lastRenderedPageBreak/>
        <w:t>14.</w:t>
      </w:r>
      <w:r w:rsidRPr="005B3C51">
        <w:rPr>
          <w:rFonts w:ascii="Calibri" w:hAnsi="Calibri"/>
          <w:noProof/>
          <w:sz w:val="22"/>
        </w:rPr>
        <w:tab/>
        <w:t xml:space="preserve">Epidemiology Branch. Costs and cost projections for injury and chronic disease hospitalisations, HMDS.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15.</w:t>
      </w:r>
      <w:r w:rsidRPr="005B3C51">
        <w:rPr>
          <w:rFonts w:ascii="Calibri" w:hAnsi="Calibri"/>
          <w:noProof/>
          <w:sz w:val="22"/>
        </w:rPr>
        <w:tab/>
        <w:t xml:space="preserve">Vos T, Carter R, Barendregt J, Mihalopoulos C, Veerman JL, Magnus A, et al. Assessing cost-effectiveness in prevention (ACE–Prevention): final report: University of Queensland, Brisbane, 2010. Available from: </w:t>
      </w:r>
      <w:hyperlink r:id="rId109" w:history="1">
        <w:r w:rsidRPr="005B3C51">
          <w:rPr>
            <w:rStyle w:val="Hyperlink"/>
            <w:rFonts w:ascii="Calibri" w:hAnsi="Calibri"/>
            <w:noProof/>
            <w:sz w:val="22"/>
          </w:rPr>
          <w:t>http://public-health.uq.edu.au/filething/get/1836/ACE-Prevention_final_report.pdf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16.</w:t>
      </w:r>
      <w:r w:rsidRPr="005B3C51">
        <w:rPr>
          <w:rFonts w:ascii="Calibri" w:hAnsi="Calibri"/>
          <w:noProof/>
          <w:sz w:val="22"/>
        </w:rPr>
        <w:tab/>
        <w:t xml:space="preserve">Australian Institute of Health and Welfare. A picture of Australia’s children 2012. Cat. no. PHE 167. Canberra: Australian Institute of Health and Welfare, 2012. Available from: </w:t>
      </w:r>
      <w:hyperlink r:id="rId110" w:history="1">
        <w:r w:rsidRPr="005B3C51">
          <w:rPr>
            <w:rStyle w:val="Hyperlink"/>
            <w:rFonts w:ascii="Calibri" w:hAnsi="Calibri"/>
            <w:noProof/>
            <w:sz w:val="22"/>
          </w:rPr>
          <w:t>http://www.aihw.gov.au/WorkArea/DownloadAsset.aspx?id=10737423340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17.</w:t>
      </w:r>
      <w:r w:rsidRPr="005B3C51">
        <w:rPr>
          <w:rFonts w:ascii="Calibri" w:hAnsi="Calibri"/>
          <w:noProof/>
          <w:sz w:val="22"/>
        </w:rPr>
        <w:tab/>
        <w:t xml:space="preserve">Oral Health Monitoring Group. Healthy Mouths, Healthy Lives: Australia’s National Oral Health Plan 2015–2024. Canberra: COAG Health Council, 2015. Available from: </w:t>
      </w:r>
      <w:hyperlink r:id="rId111" w:history="1">
        <w:r w:rsidRPr="005B3C51">
          <w:rPr>
            <w:rStyle w:val="Hyperlink"/>
            <w:rFonts w:ascii="Calibri" w:hAnsi="Calibri"/>
            <w:noProof/>
            <w:sz w:val="22"/>
          </w:rPr>
          <w:t>http://www.coaghealthcouncil.gov.au/Portals/0/Australia%27s%20National%20Oral%20Health%20Plan%202015-2024_uploaded%20170216.pdf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w:t>
      </w:r>
      <w:r w:rsidRPr="005B3C51">
        <w:rPr>
          <w:rFonts w:ascii="Calibri" w:hAnsi="Calibri"/>
          <w:noProof/>
          <w:sz w:val="22"/>
        </w:rPr>
        <w:tab/>
        <w:t xml:space="preserve">National Health and Medical Research Council. Australian Dietary Guidelines. Canberra: National Health and Medical Research Council, 2013. Available from: </w:t>
      </w:r>
      <w:hyperlink r:id="rId112" w:history="1">
        <w:r w:rsidRPr="005B3C51">
          <w:rPr>
            <w:rStyle w:val="Hyperlink"/>
            <w:rFonts w:ascii="Calibri" w:hAnsi="Calibri"/>
            <w:noProof/>
            <w:sz w:val="22"/>
          </w:rPr>
          <w:t>http://www.nhmrc.gov.au/_files_nhmrc/publications/attachments/n55_australian_dietary_guidelines_130530.pdf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19.</w:t>
      </w:r>
      <w:r w:rsidRPr="005B3C51">
        <w:rPr>
          <w:rFonts w:ascii="Calibri" w:hAnsi="Calibri"/>
          <w:noProof/>
          <w:sz w:val="22"/>
        </w:rPr>
        <w:tab/>
        <w:t xml:space="preserve">World Health Organization. Health topics. Health promotion.  Geneva: WHO; 2016 [cited 12 August 2016]; Available from: </w:t>
      </w:r>
      <w:hyperlink r:id="rId113" w:history="1">
        <w:r w:rsidRPr="005B3C51">
          <w:rPr>
            <w:rStyle w:val="Hyperlink"/>
            <w:rFonts w:ascii="Calibri" w:hAnsi="Calibri"/>
            <w:noProof/>
            <w:sz w:val="22"/>
          </w:rPr>
          <w:t>http://www.who.int/topics/health_promotion/en/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20.</w:t>
      </w:r>
      <w:r w:rsidRPr="005B3C51">
        <w:rPr>
          <w:rFonts w:ascii="Calibri" w:hAnsi="Calibri"/>
          <w:noProof/>
          <w:sz w:val="22"/>
        </w:rPr>
        <w:tab/>
        <w:t xml:space="preserve">Tomlin S, Joyce S, Radomiljac A. Health and wellbeing of adults in Western Australia 2015, overview and trends. Perth: Department of Health, Western Australia, 2016. Available from: </w:t>
      </w:r>
      <w:hyperlink r:id="rId114" w:history="1">
        <w:r w:rsidRPr="005B3C51">
          <w:rPr>
            <w:rStyle w:val="Hyperlink"/>
            <w:rFonts w:ascii="Calibri" w:hAnsi="Calibri"/>
            <w:noProof/>
            <w:sz w:val="22"/>
          </w:rPr>
          <w:t>http://ww2.health.wa.gov.au/~/media/Files/Corporate/Reports%20and%20publications/Population%20surveys/Health-and-Wellbeing-of-Adults-in-Western-Australia-2015-Overview-and-Trends.ashx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21.</w:t>
      </w:r>
      <w:r w:rsidRPr="005B3C51">
        <w:rPr>
          <w:rFonts w:ascii="Calibri" w:hAnsi="Calibri"/>
          <w:noProof/>
          <w:sz w:val="22"/>
        </w:rPr>
        <w:tab/>
        <w:t xml:space="preserve">Tomlin S, Radomiljac A, Kay A. Health and wellbeing of children in Western Australia in 2014, overview and trends. Perth: Department of Health, Western Australia, 2015. Available from: </w:t>
      </w:r>
      <w:hyperlink r:id="rId115" w:history="1">
        <w:r w:rsidRPr="005B3C51">
          <w:rPr>
            <w:rStyle w:val="Hyperlink"/>
            <w:rFonts w:ascii="Calibri" w:hAnsi="Calibri"/>
            <w:noProof/>
            <w:sz w:val="22"/>
          </w:rPr>
          <w:t>http://ww2.health.wa.gov.au/~/media/Files/Corporate/Reports%20and%20publications/Population%20surveys/Health-wellbeing-Children-WA-2014-OandT.ashx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22.</w:t>
      </w:r>
      <w:r w:rsidRPr="005B3C51">
        <w:rPr>
          <w:rFonts w:ascii="Calibri" w:hAnsi="Calibri"/>
          <w:noProof/>
          <w:sz w:val="22"/>
        </w:rPr>
        <w:tab/>
        <w:t xml:space="preserve">Epidemiology Branch. Lifestyle risk factor and chronic health condition information for WA children and adults, 2002–15, HWSS.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23.</w:t>
      </w:r>
      <w:r w:rsidRPr="005B3C51">
        <w:rPr>
          <w:rFonts w:ascii="Calibri" w:hAnsi="Calibri"/>
          <w:noProof/>
          <w:sz w:val="22"/>
        </w:rPr>
        <w:tab/>
        <w:t xml:space="preserve">Royal Life Saving Society, Western Australia, and Department of Health, Western Australia. A 10-year analysis of drowning in toddlers aged 0–4 years in Western Australia (2003/4 to 2012/13). Perth: Royal Life Saving Society Western Australia, 2015. Available from: </w:t>
      </w:r>
      <w:hyperlink r:id="rId116" w:history="1">
        <w:r w:rsidRPr="005B3C51">
          <w:rPr>
            <w:rStyle w:val="Hyperlink"/>
            <w:rFonts w:ascii="Calibri" w:hAnsi="Calibri"/>
            <w:noProof/>
            <w:sz w:val="22"/>
          </w:rPr>
          <w:t>http://www.lifesavingwa.com.au/~/media/files/rlsswa/research-and-reports/a10yearanalysisofdrowningintoddlersaged0-4.pdf?la=en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24.</w:t>
      </w:r>
      <w:r w:rsidRPr="005B3C51">
        <w:rPr>
          <w:rFonts w:ascii="Calibri" w:hAnsi="Calibri"/>
          <w:noProof/>
          <w:sz w:val="22"/>
        </w:rPr>
        <w:tab/>
        <w:t>Parliament of Western Australia. Public Health Act 2016. Perth: Parliament of Western Australia, 2016. Available from: https://</w:t>
      </w:r>
      <w:hyperlink r:id="rId117" w:history="1">
        <w:r w:rsidRPr="005B3C51">
          <w:rPr>
            <w:rStyle w:val="Hyperlink"/>
            <w:rFonts w:ascii="Calibri" w:hAnsi="Calibri"/>
            <w:noProof/>
            <w:sz w:val="22"/>
          </w:rPr>
          <w:t>www.slp.wa.gov.au/legislation/statutes.nsf/main_mrtitle_13791_homepage.html</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25.</w:t>
      </w:r>
      <w:r w:rsidRPr="005B3C51">
        <w:rPr>
          <w:rFonts w:ascii="Calibri" w:hAnsi="Calibri"/>
          <w:noProof/>
          <w:sz w:val="22"/>
        </w:rPr>
        <w:tab/>
        <w:t xml:space="preserve">Australian Institute of Health and Welfare. National Healthcare Agreement (2016). Canberra: Australian Institute of Health and Welfare, 2016. Available from: </w:t>
      </w:r>
      <w:hyperlink r:id="rId118" w:history="1">
        <w:r w:rsidRPr="005B3C51">
          <w:rPr>
            <w:rStyle w:val="Hyperlink"/>
            <w:rFonts w:ascii="Calibri" w:hAnsi="Calibri"/>
            <w:noProof/>
            <w:sz w:val="22"/>
          </w:rPr>
          <w:t>http://meteor.aihw.gov.au/content/index.phtml/itemId/598643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26.</w:t>
      </w:r>
      <w:r w:rsidRPr="005B3C51">
        <w:rPr>
          <w:rFonts w:ascii="Calibri" w:hAnsi="Calibri"/>
          <w:noProof/>
          <w:sz w:val="22"/>
        </w:rPr>
        <w:tab/>
        <w:t xml:space="preserve">Australian Bureau of Statistics. 3302.0.55.001 - Life tables, states, territories and Australia, 2012-2014. Canberra: Australian Bureau of Statistics; 2015. Available from: </w:t>
      </w:r>
      <w:hyperlink r:id="rId119" w:history="1">
        <w:r w:rsidRPr="005B3C51">
          <w:rPr>
            <w:rStyle w:val="Hyperlink"/>
            <w:rFonts w:ascii="Calibri" w:hAnsi="Calibri"/>
            <w:noProof/>
            <w:sz w:val="22"/>
          </w:rPr>
          <w:t>http://www.abs.gov.au/AUSSTATS/abs@.nsf/DetailsPage/3302.0.55.0012012-2014?OpenDocument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27.</w:t>
      </w:r>
      <w:r w:rsidRPr="005B3C51">
        <w:rPr>
          <w:rFonts w:ascii="Calibri" w:hAnsi="Calibri"/>
          <w:noProof/>
          <w:sz w:val="22"/>
        </w:rPr>
        <w:tab/>
        <w:t xml:space="preserve">Epidemiology Branch. Chronic disease hospitalisations and deaths, HMDS.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28.</w:t>
      </w:r>
      <w:r w:rsidRPr="005B3C51">
        <w:rPr>
          <w:rFonts w:ascii="Calibri" w:hAnsi="Calibri"/>
          <w:noProof/>
          <w:sz w:val="22"/>
        </w:rPr>
        <w:tab/>
        <w:t xml:space="preserve">Australian Bureau of Statistics. 3303.0 - Causes of death, Australia, 2014. Underlying cause of death, all causes, Western Australia 2014 [data cube]. Canberra: Australian Bureau of Statistics, 2016. Available from: </w:t>
      </w:r>
      <w:hyperlink r:id="rId120" w:history="1">
        <w:r w:rsidRPr="005B3C51">
          <w:rPr>
            <w:rStyle w:val="Hyperlink"/>
            <w:rFonts w:ascii="Calibri" w:hAnsi="Calibri"/>
            <w:noProof/>
            <w:sz w:val="22"/>
          </w:rPr>
          <w:t>http://www.abs.gov.au/AUSSTATS/abs@.nsf/DetailsPage/3303.02014?OpenDocument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lastRenderedPageBreak/>
        <w:t>29.</w:t>
      </w:r>
      <w:r w:rsidRPr="005B3C51">
        <w:rPr>
          <w:rFonts w:ascii="Calibri" w:hAnsi="Calibri"/>
          <w:noProof/>
          <w:sz w:val="22"/>
        </w:rPr>
        <w:tab/>
        <w:t xml:space="preserve">Epidemiology Branch. Injury hospitalisations, deaths, and emergency department presentations, HMDS.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30.</w:t>
      </w:r>
      <w:r w:rsidRPr="005B3C51">
        <w:rPr>
          <w:rFonts w:ascii="Calibri" w:hAnsi="Calibri"/>
          <w:noProof/>
          <w:sz w:val="22"/>
        </w:rPr>
        <w:tab/>
        <w:t xml:space="preserve">Australian Bureau of Statistics. 4329.0.00.004 - National Health Survey: mental health and co-existing physical health conditions, 2014-2015. Canberra: Australian Bureau of Statistics, 2015. Available from: </w:t>
      </w:r>
      <w:hyperlink r:id="rId121" w:history="1">
        <w:r w:rsidRPr="005B3C51">
          <w:rPr>
            <w:rStyle w:val="Hyperlink"/>
            <w:rFonts w:ascii="Calibri" w:hAnsi="Calibri"/>
            <w:noProof/>
            <w:sz w:val="22"/>
          </w:rPr>
          <w:t>http://www.abs.gov.au/ausstats%5Cabs@.nsf/0/C0A4290EF1E7E7FDCA257F1E001C0B84?Opendocument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31.</w:t>
      </w:r>
      <w:r w:rsidRPr="005B3C51">
        <w:rPr>
          <w:rFonts w:ascii="Calibri" w:hAnsi="Calibri"/>
          <w:noProof/>
          <w:sz w:val="22"/>
        </w:rPr>
        <w:tab/>
        <w:t xml:space="preserve">Australian Bureau of Statistics. 3101.0 - Australian demographic statistics, December 2015. Canberra: Australian Bureau of Statistics; 2016. Available from: </w:t>
      </w:r>
      <w:hyperlink r:id="rId122" w:history="1">
        <w:r w:rsidRPr="005B3C51">
          <w:rPr>
            <w:rStyle w:val="Hyperlink"/>
            <w:rFonts w:ascii="Calibri" w:hAnsi="Calibri"/>
            <w:noProof/>
            <w:sz w:val="22"/>
          </w:rPr>
          <w:t>http://www.abs.gov.au/AUSSTATS/abs@.nsf/DetailsPage/3101.0Dec%202015?OpenDocument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32.</w:t>
      </w:r>
      <w:r w:rsidRPr="005B3C51">
        <w:rPr>
          <w:rFonts w:ascii="Calibri" w:hAnsi="Calibri"/>
          <w:noProof/>
          <w:sz w:val="22"/>
        </w:rPr>
        <w:tab/>
        <w:t xml:space="preserve">Office of Multicultural Interests. Cultural diversity in Western Australia: a demographic profile. Perth: Department of Local Government and Communities, 2013. Available from: </w:t>
      </w:r>
      <w:hyperlink r:id="rId123" w:history="1">
        <w:r w:rsidRPr="005B3C51">
          <w:rPr>
            <w:rStyle w:val="Hyperlink"/>
            <w:rFonts w:ascii="Calibri" w:hAnsi="Calibri"/>
            <w:noProof/>
            <w:sz w:val="22"/>
          </w:rPr>
          <w:t>http://www.omi.wa.gov.au/publications/omi_cultural_diversity.cfm</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33.</w:t>
      </w:r>
      <w:r w:rsidRPr="005B3C51">
        <w:rPr>
          <w:rFonts w:ascii="Calibri" w:hAnsi="Calibri"/>
          <w:noProof/>
          <w:sz w:val="22"/>
        </w:rPr>
        <w:tab/>
        <w:t xml:space="preserve">Australian Bureau of Statistics. 3222.0 - Population projections, Australia, 2006 to 2101. Canberra: Australian Bureau of Statistics, 2008. Available from: </w:t>
      </w:r>
      <w:hyperlink r:id="rId124" w:history="1">
        <w:r w:rsidRPr="005B3C51">
          <w:rPr>
            <w:rStyle w:val="Hyperlink"/>
            <w:rFonts w:ascii="Calibri" w:hAnsi="Calibri"/>
            <w:noProof/>
            <w:sz w:val="22"/>
          </w:rPr>
          <w:t>http://www.abs.gov.au/AUSSTATS/abs@.nsf/Lookup/3222.0Main+Features12006%20to%202101?OpenDocument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34.</w:t>
      </w:r>
      <w:r w:rsidRPr="005B3C51">
        <w:rPr>
          <w:rFonts w:ascii="Calibri" w:hAnsi="Calibri"/>
          <w:noProof/>
          <w:sz w:val="22"/>
        </w:rPr>
        <w:tab/>
        <w:t xml:space="preserve">Drug and Alcohol Office, Western Australia, and Department of Health, Western Australia. Alcohol-related hospitalisations and deaths in Western Australia. State Profile. Drug and Alcohol Office surveillance report. Perth: Drug and Alcohol Office, 2014. Available from: </w:t>
      </w:r>
      <w:hyperlink r:id="rId125" w:history="1">
        <w:r w:rsidRPr="005B3C51">
          <w:rPr>
            <w:rStyle w:val="Hyperlink"/>
            <w:rFonts w:ascii="Calibri" w:hAnsi="Calibri"/>
            <w:noProof/>
            <w:sz w:val="22"/>
          </w:rPr>
          <w:t>http://www.dao.health.wa.gov.au/DesktopModules/Bring2mind/DMX/Download.aspx?Command=Core_Download&amp;EntryId=1129&amp;PortalId=0&amp;TabId=211</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35.</w:t>
      </w:r>
      <w:r w:rsidRPr="005B3C51">
        <w:rPr>
          <w:rFonts w:ascii="Calibri" w:hAnsi="Calibri"/>
          <w:noProof/>
          <w:sz w:val="22"/>
        </w:rPr>
        <w:tab/>
        <w:t xml:space="preserve">Collins D, Lapsley H. The social costs of smoking in Western Australia in 2009/10 and the social benefits of public policy measures to reduce smoking prevalence. Perth: Cancer Council Western Australia, 2014. Available from: </w:t>
      </w:r>
      <w:hyperlink r:id="rId126" w:history="1">
        <w:r w:rsidRPr="005B3C51">
          <w:rPr>
            <w:rStyle w:val="Hyperlink"/>
            <w:rFonts w:ascii="Calibri" w:hAnsi="Calibri"/>
            <w:noProof/>
            <w:sz w:val="22"/>
          </w:rPr>
          <w:t>http://www.cancerwa.asn.au/resources/2014-10-28-Social-Costs-of-Smoking-Final.pdf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36.</w:t>
      </w:r>
      <w:r w:rsidRPr="005B3C51">
        <w:rPr>
          <w:rFonts w:ascii="Calibri" w:hAnsi="Calibri"/>
          <w:noProof/>
          <w:sz w:val="22"/>
        </w:rPr>
        <w:tab/>
        <w:t xml:space="preserve">Applied Economics. Returns on investment in public health: an epidemiological and economic analysis prepared for the Department of Health and Ageing. Canberra: Department of Health and Ageing, Australian Government, 2003. Available from: </w:t>
      </w:r>
      <w:hyperlink r:id="rId127" w:history="1">
        <w:r w:rsidRPr="005B3C51">
          <w:rPr>
            <w:rStyle w:val="Hyperlink"/>
            <w:rFonts w:ascii="Calibri" w:hAnsi="Calibri"/>
            <w:noProof/>
            <w:sz w:val="22"/>
          </w:rPr>
          <w:t>http://archive.oxha.org/knowledge/publications/australgvt_returns_on_investment_2003.pdf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37.</w:t>
      </w:r>
      <w:r w:rsidRPr="005B3C51">
        <w:rPr>
          <w:rFonts w:ascii="Calibri" w:hAnsi="Calibri"/>
          <w:noProof/>
          <w:sz w:val="22"/>
        </w:rPr>
        <w:tab/>
        <w:t xml:space="preserve">Deloitte Access Economics. The impact of increasing vegetable consumption on health expenditure.  Prepared for Horticulture Innovation Australia Limited. Sydney: Horticulture Innovation Australia Limited, 2016. </w:t>
      </w:r>
    </w:p>
    <w:p w:rsidR="005B3C51" w:rsidRPr="005B3C51" w:rsidRDefault="005B3C51" w:rsidP="005B3C51">
      <w:pPr>
        <w:ind w:left="720" w:hanging="720"/>
        <w:rPr>
          <w:rFonts w:ascii="Calibri" w:hAnsi="Calibri"/>
          <w:noProof/>
          <w:sz w:val="22"/>
        </w:rPr>
      </w:pPr>
      <w:r w:rsidRPr="005B3C51">
        <w:rPr>
          <w:rFonts w:ascii="Calibri" w:hAnsi="Calibri"/>
          <w:noProof/>
          <w:sz w:val="22"/>
        </w:rPr>
        <w:t>38.</w:t>
      </w:r>
      <w:r w:rsidRPr="005B3C51">
        <w:rPr>
          <w:rFonts w:ascii="Calibri" w:hAnsi="Calibri"/>
          <w:noProof/>
          <w:sz w:val="22"/>
        </w:rPr>
        <w:tab/>
        <w:t xml:space="preserve">Threlfall TJ, Thompson JR. Cancer incidence and mortality in Western Australia, 2013. Statistical Series Number 101. Perth: Department of Health, Western Australia, 2015. Available from: </w:t>
      </w:r>
      <w:hyperlink r:id="rId128" w:history="1">
        <w:r w:rsidRPr="005B3C51">
          <w:rPr>
            <w:rStyle w:val="Hyperlink"/>
            <w:rFonts w:ascii="Calibri" w:hAnsi="Calibri"/>
            <w:noProof/>
            <w:sz w:val="22"/>
          </w:rPr>
          <w:t>http://www.health.wa.gov.au/docreg/Reports/Diseases/Cancer/WACR_Cancer_incidence_mortality_main_2013.pdf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39.</w:t>
      </w:r>
      <w:r w:rsidRPr="005B3C51">
        <w:rPr>
          <w:rFonts w:ascii="Calibri" w:hAnsi="Calibri"/>
          <w:noProof/>
          <w:sz w:val="22"/>
        </w:rPr>
        <w:tab/>
        <w:t xml:space="preserve">Parkin DM, Boyd L, Walker LC. 16. The fraction of cancer attributable to lifestyle and environmental factors in the UK in 2010: summary and conclusions. Brit J Cancer. 2011;105(Suppl 2):S77-S81. Available from: </w:t>
      </w:r>
      <w:hyperlink r:id="rId129" w:history="1">
        <w:r w:rsidRPr="005B3C51">
          <w:rPr>
            <w:rStyle w:val="Hyperlink"/>
            <w:rFonts w:ascii="Calibri" w:hAnsi="Calibri"/>
            <w:noProof/>
            <w:sz w:val="22"/>
          </w:rPr>
          <w:t>http://www.ncbi.nlm.nih.gov/pmc/articles/PMC3252065/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40.</w:t>
      </w:r>
      <w:r w:rsidRPr="005B3C51">
        <w:rPr>
          <w:rFonts w:ascii="Calibri" w:hAnsi="Calibri"/>
          <w:noProof/>
          <w:sz w:val="22"/>
        </w:rPr>
        <w:tab/>
        <w:t>US Department of Health and Human Services. The health consequences of smoking: cancer.  A report of the Surgeon General. Rockville, MD: US Department of Health and Human Services, 1982. Available from: https://profiles.nlm.nih.gov/NN/B/C/D/W/</w:t>
      </w:r>
    </w:p>
    <w:p w:rsidR="005B3C51" w:rsidRPr="005B3C51" w:rsidRDefault="005B3C51" w:rsidP="005B3C51">
      <w:pPr>
        <w:ind w:left="720" w:hanging="720"/>
        <w:rPr>
          <w:rFonts w:ascii="Calibri" w:hAnsi="Calibri"/>
          <w:noProof/>
          <w:sz w:val="22"/>
        </w:rPr>
      </w:pPr>
      <w:r w:rsidRPr="005B3C51">
        <w:rPr>
          <w:rFonts w:ascii="Calibri" w:hAnsi="Calibri"/>
          <w:noProof/>
          <w:sz w:val="22"/>
        </w:rPr>
        <w:t>41.</w:t>
      </w:r>
      <w:r w:rsidRPr="005B3C51">
        <w:rPr>
          <w:rFonts w:ascii="Calibri" w:hAnsi="Calibri"/>
          <w:noProof/>
          <w:sz w:val="22"/>
        </w:rPr>
        <w:tab/>
        <w:t xml:space="preserve">Whiteman D, Webb P, Green A, Neale R, Fritschi L, Bain C, et al. Cancers in Australia in 2010 attributable to modifiable factors: summary and conclusions. Aust NZ J Publ Health. 2015;39:477-84. Available from: </w:t>
      </w:r>
      <w:hyperlink r:id="rId130" w:history="1">
        <w:r w:rsidRPr="005B3C51">
          <w:rPr>
            <w:rStyle w:val="Hyperlink"/>
            <w:rFonts w:ascii="Calibri" w:hAnsi="Calibri"/>
            <w:noProof/>
            <w:sz w:val="22"/>
          </w:rPr>
          <w:t>http://www.ncbi.nlm.nih.gov/pmc/articles/PMC4606779/</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42.</w:t>
      </w:r>
      <w:r w:rsidRPr="005B3C51">
        <w:rPr>
          <w:rFonts w:ascii="Calibri" w:hAnsi="Calibri"/>
          <w:noProof/>
          <w:sz w:val="22"/>
        </w:rPr>
        <w:tab/>
        <w:t xml:space="preserve">Cancer Council Western Australia. History in the making: the first 10 years of the Make </w:t>
      </w:r>
      <w:r w:rsidRPr="005B3C51">
        <w:rPr>
          <w:rFonts w:ascii="Calibri" w:hAnsi="Calibri"/>
          <w:noProof/>
          <w:sz w:val="22"/>
        </w:rPr>
        <w:lastRenderedPageBreak/>
        <w:t xml:space="preserve">Smoking History Campaign. Perth: Cancer Council Western Australia, 2010. Available from: </w:t>
      </w:r>
      <w:hyperlink r:id="rId131" w:history="1">
        <w:r w:rsidRPr="005B3C51">
          <w:rPr>
            <w:rStyle w:val="Hyperlink"/>
            <w:rFonts w:ascii="Calibri" w:hAnsi="Calibri"/>
            <w:noProof/>
            <w:sz w:val="22"/>
          </w:rPr>
          <w:t>http://www.cancerwa.asn.au/resources/2010-05-25-Make-Smoking-History-10th-Anniversary-Book.pdf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43.</w:t>
      </w:r>
      <w:r w:rsidRPr="005B3C51">
        <w:rPr>
          <w:rFonts w:ascii="Calibri" w:hAnsi="Calibri"/>
          <w:noProof/>
          <w:sz w:val="22"/>
        </w:rPr>
        <w:tab/>
        <w:t xml:space="preserve">Feletto E, Sitas F, Gibberd A, Kahn C, Weber M, Grogan P, et al. The state of cancer control in Australia.  Cancer Council NSW research report summary. Sydney: Cancer Council NSW, 2013. Available from: </w:t>
      </w:r>
      <w:hyperlink r:id="rId132" w:history="1">
        <w:r w:rsidRPr="005B3C51">
          <w:rPr>
            <w:rStyle w:val="Hyperlink"/>
            <w:rFonts w:ascii="Calibri" w:hAnsi="Calibri"/>
            <w:noProof/>
            <w:sz w:val="22"/>
          </w:rPr>
          <w:t>http://www.cancercouncil.com.au/wp-content/uploads/2013/05/State-of-Cancer-Control-May-2012_PRESS_HighRes_09052013.pdf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44.</w:t>
      </w:r>
      <w:r w:rsidRPr="005B3C51">
        <w:rPr>
          <w:rFonts w:ascii="Calibri" w:hAnsi="Calibri"/>
          <w:noProof/>
          <w:sz w:val="22"/>
        </w:rPr>
        <w:tab/>
        <w:t xml:space="preserve">Girschik J, Miller LJ, Sun W, Jardine A, Weeramanthri TS. Priorities and preferences for cancer control in Western Australia. Perth: Department of Health, Western Australia, 2016. Available from: </w:t>
      </w:r>
      <w:hyperlink r:id="rId133" w:history="1">
        <w:r w:rsidRPr="005B3C51">
          <w:rPr>
            <w:rStyle w:val="Hyperlink"/>
            <w:rFonts w:ascii="Calibri" w:hAnsi="Calibri"/>
            <w:noProof/>
            <w:sz w:val="22"/>
          </w:rPr>
          <w:t>http://ww2.health.wa.gov.au/~/media/Files/Corporate/general%20documents/Population%20health/PDF/cancer%20control%20in%20WA%20report.ashx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45.</w:t>
      </w:r>
      <w:r w:rsidRPr="005B3C51">
        <w:rPr>
          <w:rFonts w:ascii="Calibri" w:hAnsi="Calibri"/>
          <w:noProof/>
          <w:sz w:val="22"/>
        </w:rPr>
        <w:tab/>
        <w:t xml:space="preserve">World Health Organization. Preventing chronic diseases.  A vital investment.  WHO global report. Geneva: World Health Organization, 2005. Available from: </w:t>
      </w:r>
      <w:hyperlink r:id="rId134" w:history="1">
        <w:r w:rsidRPr="005B3C51">
          <w:rPr>
            <w:rStyle w:val="Hyperlink"/>
            <w:rFonts w:ascii="Calibri" w:hAnsi="Calibri"/>
            <w:noProof/>
            <w:sz w:val="22"/>
          </w:rPr>
          <w:t>http://www.who.int/chp/chronic_disease_report/contents/en/index.html</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46.</w:t>
      </w:r>
      <w:r w:rsidRPr="005B3C51">
        <w:rPr>
          <w:rFonts w:ascii="Calibri" w:hAnsi="Calibri"/>
          <w:noProof/>
          <w:sz w:val="22"/>
        </w:rPr>
        <w:tab/>
        <w:t xml:space="preserve">Hawe P, Noort M, King L, Jordens C. Multiplying health gains: the critical role of capacity-building within health promotion programs. Health Policy. 1997;39(1):29-42. Available from: </w:t>
      </w:r>
      <w:hyperlink r:id="rId135" w:history="1">
        <w:r w:rsidRPr="005B3C51">
          <w:rPr>
            <w:rStyle w:val="Hyperlink"/>
            <w:rFonts w:ascii="Calibri" w:hAnsi="Calibri"/>
            <w:noProof/>
            <w:sz w:val="22"/>
          </w:rPr>
          <w:t>http://dx.doi.org/10.1016/s0168-8510(96)00847-0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47.</w:t>
      </w:r>
      <w:r w:rsidRPr="005B3C51">
        <w:rPr>
          <w:rFonts w:ascii="Calibri" w:hAnsi="Calibri"/>
          <w:noProof/>
          <w:sz w:val="22"/>
        </w:rPr>
        <w:tab/>
        <w:t xml:space="preserve">Hawe P, King L, Noort M, Jordens C, Lloyd B. Indicators to help with capacity building in health promotion. Sydney: NSW Health, 2000. Available from: </w:t>
      </w:r>
      <w:hyperlink r:id="rId136" w:history="1">
        <w:r w:rsidRPr="005B3C51">
          <w:rPr>
            <w:rStyle w:val="Hyperlink"/>
            <w:rFonts w:ascii="Calibri" w:hAnsi="Calibri"/>
            <w:noProof/>
            <w:sz w:val="22"/>
          </w:rPr>
          <w:t>http://www.bvsde.paho.org/bvsacd/cd64/capbuild.pdf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48.</w:t>
      </w:r>
      <w:r w:rsidRPr="005B3C51">
        <w:rPr>
          <w:rFonts w:ascii="Calibri" w:hAnsi="Calibri"/>
          <w:noProof/>
          <w:sz w:val="22"/>
        </w:rPr>
        <w:tab/>
        <w:t xml:space="preserve">World Health Organization. Ottawa charter for health promotion.  First international conference on health promotion. Ottawa, 21 November 1986 - WHO/HPR/HEP/95.1. Geneva: World Health Organization, 1986. Available from: </w:t>
      </w:r>
      <w:hyperlink r:id="rId137" w:history="1">
        <w:r w:rsidRPr="005B3C51">
          <w:rPr>
            <w:rStyle w:val="Hyperlink"/>
            <w:rFonts w:ascii="Calibri" w:hAnsi="Calibri"/>
            <w:noProof/>
            <w:sz w:val="22"/>
          </w:rPr>
          <w:t>http://www.who.int/healthpromotion/conferences/previous/ottawa/en/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49.</w:t>
      </w:r>
      <w:r w:rsidRPr="005B3C51">
        <w:rPr>
          <w:rFonts w:ascii="Calibri" w:hAnsi="Calibri"/>
          <w:noProof/>
          <w:sz w:val="22"/>
        </w:rPr>
        <w:tab/>
        <w:t xml:space="preserve">National Health Priority Action Council, Australian Health Ministers' Conference. National Chronic Disease Strategy. Canberra: Department of Health and Ageing, Australian Government, 2006. Available from: </w:t>
      </w:r>
      <w:hyperlink r:id="rId138" w:history="1">
        <w:r w:rsidRPr="005B3C51">
          <w:rPr>
            <w:rStyle w:val="Hyperlink"/>
            <w:rFonts w:ascii="Calibri" w:hAnsi="Calibri"/>
            <w:noProof/>
            <w:sz w:val="22"/>
          </w:rPr>
          <w:t>http://content.webarchive.nla.gov.au/gov/wayback/20141215061219/http://www.health.gov.au/internet/main/publishing.nsf/Content/66EC52273873D375CA257BF0001F3FED/$File/stratal3.pdf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50.</w:t>
      </w:r>
      <w:r w:rsidRPr="005B3C51">
        <w:rPr>
          <w:rFonts w:ascii="Calibri" w:hAnsi="Calibri"/>
          <w:noProof/>
          <w:sz w:val="22"/>
        </w:rPr>
        <w:tab/>
        <w:t xml:space="preserve">Australian Institute of Health and Welfare. Headline indicators for children's health, development and wellbeing, 2011.  Cat. no. PHE 144. Canberra: Australian Institute of Health and Welfare, 2011. Available from: </w:t>
      </w:r>
      <w:hyperlink r:id="rId139" w:history="1">
        <w:r w:rsidRPr="005B3C51">
          <w:rPr>
            <w:rStyle w:val="Hyperlink"/>
            <w:rFonts w:ascii="Calibri" w:hAnsi="Calibri"/>
            <w:noProof/>
            <w:sz w:val="22"/>
          </w:rPr>
          <w:t>http://www.aihw.gov.au/publication-detail/?id=10737419587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51.</w:t>
      </w:r>
      <w:r w:rsidRPr="005B3C51">
        <w:rPr>
          <w:rFonts w:ascii="Calibri" w:hAnsi="Calibri"/>
          <w:noProof/>
          <w:sz w:val="22"/>
        </w:rPr>
        <w:tab/>
        <w:t xml:space="preserve">National Preventative Health Taskforce. Australia:  the healthiest country by 2020.  National Preventative Health Strategy - the roadmap for action. Canberra: Commonwealth of Australia, 2009. Available from: </w:t>
      </w:r>
      <w:hyperlink r:id="rId140" w:history="1">
        <w:r w:rsidRPr="005B3C51">
          <w:rPr>
            <w:rStyle w:val="Hyperlink"/>
            <w:rFonts w:ascii="Calibri" w:hAnsi="Calibri"/>
            <w:noProof/>
            <w:sz w:val="22"/>
          </w:rPr>
          <w:t>http://www.health.gov.au/internet/preventativehealth/publishing.nsf/content/a06c2fcf439ecda1ca2574dd0081e40c/$file/discussion-28oct.pdf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52.</w:t>
      </w:r>
      <w:r w:rsidRPr="005B3C51">
        <w:rPr>
          <w:rFonts w:ascii="Calibri" w:hAnsi="Calibri"/>
          <w:noProof/>
          <w:sz w:val="22"/>
        </w:rPr>
        <w:tab/>
        <w:t xml:space="preserve">National Public Health Partnership. Preventing chronic disease: a strategic framework background paper. Melbourne: National Public Health Partnership, 2001. Available from: </w:t>
      </w:r>
      <w:hyperlink r:id="rId141" w:history="1">
        <w:r w:rsidRPr="005B3C51">
          <w:rPr>
            <w:rStyle w:val="Hyperlink"/>
            <w:rFonts w:ascii="Calibri" w:hAnsi="Calibri"/>
            <w:noProof/>
            <w:sz w:val="22"/>
          </w:rPr>
          <w:t>http://www.health.vic.gov.au/archive/archive2014/nphp/publications/strategies/chrondis-bgpaper.pdf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53.</w:t>
      </w:r>
      <w:r w:rsidRPr="005B3C51">
        <w:rPr>
          <w:rFonts w:ascii="Calibri" w:hAnsi="Calibri"/>
          <w:noProof/>
          <w:sz w:val="22"/>
        </w:rPr>
        <w:tab/>
        <w:t xml:space="preserve">Cohen DJ, Clark EC, Lawson PJ, Casucci BA, Flocke SA. Identifying teachable moments for health behavior counseling in primary care. Pat Ed Couns. 2011;85(2):e8-e15. Available from: </w:t>
      </w:r>
      <w:hyperlink r:id="rId142" w:history="1">
        <w:r w:rsidRPr="005B3C51">
          <w:rPr>
            <w:rStyle w:val="Hyperlink"/>
            <w:rFonts w:ascii="Calibri" w:hAnsi="Calibri"/>
            <w:noProof/>
            <w:sz w:val="22"/>
          </w:rPr>
          <w:t>http://dx.doi.org/10.1016/j.pec.2010.11.009</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54.</w:t>
      </w:r>
      <w:r w:rsidRPr="005B3C51">
        <w:rPr>
          <w:rFonts w:ascii="Calibri" w:hAnsi="Calibri"/>
          <w:noProof/>
          <w:sz w:val="22"/>
        </w:rPr>
        <w:tab/>
        <w:t xml:space="preserve">World Health Organization. Commission on social determinants: final report. Geneva: World Health Organization, 2010. Available from: </w:t>
      </w:r>
      <w:hyperlink r:id="rId143" w:history="1">
        <w:r w:rsidRPr="005B3C51">
          <w:rPr>
            <w:rStyle w:val="Hyperlink"/>
            <w:rFonts w:ascii="Calibri" w:hAnsi="Calibri"/>
            <w:noProof/>
            <w:sz w:val="22"/>
          </w:rPr>
          <w:t>http://www.who.int/social_determinants/thecommission/finalreport/en/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lastRenderedPageBreak/>
        <w:t>55.</w:t>
      </w:r>
      <w:r w:rsidRPr="005B3C51">
        <w:rPr>
          <w:rFonts w:ascii="Calibri" w:hAnsi="Calibri"/>
          <w:noProof/>
          <w:sz w:val="22"/>
        </w:rPr>
        <w:tab/>
        <w:t xml:space="preserve">Australian Institute of Health and Welfare. Health of Australians with disability: health status and risk factors. Canberra: Australian Institute of Health and Welfare, 2010. Available from: </w:t>
      </w:r>
      <w:hyperlink r:id="rId144" w:history="1">
        <w:r w:rsidRPr="005B3C51">
          <w:rPr>
            <w:rStyle w:val="Hyperlink"/>
            <w:rFonts w:ascii="Calibri" w:hAnsi="Calibri"/>
            <w:noProof/>
            <w:sz w:val="22"/>
          </w:rPr>
          <w:t>http://www.aihw.gov.au/publications/aus/bulletin83/11608.pdf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56.</w:t>
      </w:r>
      <w:r w:rsidRPr="005B3C51">
        <w:rPr>
          <w:rFonts w:ascii="Calibri" w:hAnsi="Calibri"/>
          <w:noProof/>
          <w:sz w:val="22"/>
        </w:rPr>
        <w:tab/>
        <w:t xml:space="preserve">VicHealth. Fair foundations - The VicHealth Framework for Health Equity. Melbourne: VicHealth, 2015. Available from: </w:t>
      </w:r>
      <w:hyperlink r:id="rId145" w:history="1">
        <w:r w:rsidRPr="005B3C51">
          <w:rPr>
            <w:rStyle w:val="Hyperlink"/>
            <w:rFonts w:ascii="Calibri" w:hAnsi="Calibri"/>
            <w:noProof/>
            <w:sz w:val="22"/>
          </w:rPr>
          <w:t>http://www.vichealth.vic.gov.au/media-and-resources/publications/the-vichealth-framework-for-health-equity</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57.</w:t>
      </w:r>
      <w:r w:rsidRPr="005B3C51">
        <w:rPr>
          <w:rFonts w:ascii="Calibri" w:hAnsi="Calibri"/>
          <w:noProof/>
          <w:sz w:val="22"/>
        </w:rPr>
        <w:tab/>
        <w:t xml:space="preserve">World Health Organization. Global action plan for the prevention and control of noncommunicable diseases 2013-2020. Geneva: World Health Organization, 2013. Available from: </w:t>
      </w:r>
      <w:hyperlink r:id="rId146" w:history="1">
        <w:r w:rsidRPr="005B3C51">
          <w:rPr>
            <w:rStyle w:val="Hyperlink"/>
            <w:rFonts w:ascii="Calibri" w:hAnsi="Calibri"/>
            <w:noProof/>
            <w:sz w:val="22"/>
          </w:rPr>
          <w:t>http://www.who.int/nmh/events/ncd_action_plan/en/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58.</w:t>
      </w:r>
      <w:r w:rsidRPr="005B3C51">
        <w:rPr>
          <w:rFonts w:ascii="Calibri" w:hAnsi="Calibri"/>
          <w:noProof/>
          <w:sz w:val="22"/>
        </w:rPr>
        <w:tab/>
        <w:t xml:space="preserve">Wakefield MA, Loken B, Hornik RC. Use of mass media campaigns to change health behaviour. The Lancet. 2010;376:1261-71. Available from: </w:t>
      </w:r>
      <w:hyperlink r:id="rId147" w:history="1">
        <w:r w:rsidRPr="005B3C51">
          <w:rPr>
            <w:rStyle w:val="Hyperlink"/>
            <w:rFonts w:ascii="Calibri" w:hAnsi="Calibri"/>
            <w:noProof/>
            <w:sz w:val="22"/>
          </w:rPr>
          <w:t>http://www.thelancet.com/journals/lancet/article/PIIS0140-6736(10)60809-4/abstract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59.</w:t>
      </w:r>
      <w:r w:rsidRPr="005B3C51">
        <w:rPr>
          <w:rFonts w:ascii="Calibri" w:hAnsi="Calibri"/>
          <w:noProof/>
          <w:sz w:val="22"/>
        </w:rPr>
        <w:tab/>
        <w:t xml:space="preserve">Keleher H. Reframing health promotion. In: Keleher H, MacDougall C, Murphy B, editors. Understanding health promotion. Melbourne: Oxford University Press; 2007. </w:t>
      </w:r>
    </w:p>
    <w:p w:rsidR="005B3C51" w:rsidRPr="005B3C51" w:rsidRDefault="005B3C51" w:rsidP="005B3C51">
      <w:pPr>
        <w:ind w:left="720" w:hanging="720"/>
        <w:rPr>
          <w:rFonts w:ascii="Calibri" w:hAnsi="Calibri"/>
          <w:noProof/>
          <w:sz w:val="22"/>
        </w:rPr>
      </w:pPr>
      <w:r w:rsidRPr="005B3C51">
        <w:rPr>
          <w:rFonts w:ascii="Calibri" w:hAnsi="Calibri"/>
          <w:noProof/>
          <w:sz w:val="22"/>
        </w:rPr>
        <w:t>60.</w:t>
      </w:r>
      <w:r w:rsidRPr="005B3C51">
        <w:rPr>
          <w:rFonts w:ascii="Calibri" w:hAnsi="Calibri"/>
          <w:noProof/>
          <w:sz w:val="22"/>
        </w:rPr>
        <w:tab/>
        <w:t xml:space="preserve">World Health Organization. 2008-2013 action plan for the global strategy for the prevention and control of noncommunicable diseases. Geneva: WHO, 2008. Available from: </w:t>
      </w:r>
      <w:hyperlink r:id="rId148" w:history="1">
        <w:r w:rsidRPr="005B3C51">
          <w:rPr>
            <w:rStyle w:val="Hyperlink"/>
            <w:rFonts w:ascii="Calibri" w:hAnsi="Calibri"/>
            <w:noProof/>
            <w:sz w:val="22"/>
          </w:rPr>
          <w:t>http://www.who.int/nmh/publications/9789241597418/en/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61.</w:t>
      </w:r>
      <w:r w:rsidRPr="005B3C51">
        <w:rPr>
          <w:rFonts w:ascii="Calibri" w:hAnsi="Calibri"/>
          <w:noProof/>
          <w:sz w:val="22"/>
        </w:rPr>
        <w:tab/>
        <w:t xml:space="preserve">International Food Policy Research Institute. Global Nutrition Report 2015: actions and accountability to advance nutrition and sustainable development. Washington, DC: International Food Policy Research Institute, 2015. Available from: </w:t>
      </w:r>
      <w:hyperlink r:id="rId149" w:history="1">
        <w:r w:rsidRPr="005B3C51">
          <w:rPr>
            <w:rStyle w:val="Hyperlink"/>
            <w:rFonts w:ascii="Calibri" w:hAnsi="Calibri"/>
            <w:noProof/>
            <w:sz w:val="22"/>
          </w:rPr>
          <w:t>http://www.ifpri.org/publication/global-nutrition-report-2015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62.</w:t>
      </w:r>
      <w:r w:rsidRPr="005B3C51">
        <w:rPr>
          <w:rFonts w:ascii="Calibri" w:hAnsi="Calibri"/>
          <w:noProof/>
          <w:sz w:val="22"/>
        </w:rPr>
        <w:tab/>
        <w:t xml:space="preserve">Australian Bureau of Statistics. 4364.0.55.009 - Australian Health Survey: nutrition - state and territory results, 2011-12. Western Australia - key facts – food and nutrients, 2011-12. Canberra: Australian Bureau of Statistics, 2015. Available from: </w:t>
      </w:r>
      <w:hyperlink r:id="rId150" w:history="1">
        <w:r w:rsidRPr="005B3C51">
          <w:rPr>
            <w:rStyle w:val="Hyperlink"/>
            <w:rFonts w:ascii="Calibri" w:hAnsi="Calibri"/>
            <w:noProof/>
            <w:sz w:val="22"/>
          </w:rPr>
          <w:t>http://www.abs.gov.au/ausstats/abs@.nsf/Lookup/by%20Subject/4364.0.55.009~2011-12~Main%20Features~Western%20Australia%20~7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63.</w:t>
      </w:r>
      <w:r w:rsidRPr="005B3C51">
        <w:rPr>
          <w:rFonts w:ascii="Calibri" w:hAnsi="Calibri"/>
          <w:noProof/>
          <w:sz w:val="22"/>
        </w:rPr>
        <w:tab/>
        <w:t xml:space="preserve">Australian Bureau of Statistics. 4364.0.55.012 - Australian Health Survey: consumption of food groups from the Australian Dietary Guidelines, 2011–12.  Canberra: Australian Bureau of Statistics; 2016; Available from: </w:t>
      </w:r>
      <w:hyperlink r:id="rId151" w:history="1">
        <w:r w:rsidRPr="005B3C51">
          <w:rPr>
            <w:rStyle w:val="Hyperlink"/>
            <w:rFonts w:ascii="Calibri" w:hAnsi="Calibri"/>
            <w:noProof/>
            <w:sz w:val="22"/>
          </w:rPr>
          <w:t>http://www.abs.gov.au/ausstats/abs@.nsf/mf/4364.0.55.012</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64.</w:t>
      </w:r>
      <w:r w:rsidRPr="005B3C51">
        <w:rPr>
          <w:rFonts w:ascii="Calibri" w:hAnsi="Calibri"/>
          <w:noProof/>
          <w:sz w:val="22"/>
        </w:rPr>
        <w:tab/>
        <w:t xml:space="preserve">Australian Bureau of Statistics. 4364.0.55.011 Australian Health Survey: consumption of added sugars Australia 2011–12. Canberra: Australian Bureau of Statistics, 2016. Available from: </w:t>
      </w:r>
      <w:hyperlink r:id="rId152" w:history="1">
        <w:r w:rsidRPr="005B3C51">
          <w:rPr>
            <w:rStyle w:val="Hyperlink"/>
            <w:rFonts w:ascii="Calibri" w:hAnsi="Calibri"/>
            <w:noProof/>
            <w:sz w:val="22"/>
          </w:rPr>
          <w:t>http://www.abs.gov.au/ausstats/abs@.nsf/mf/4364.0.55.011</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65.</w:t>
      </w:r>
      <w:r w:rsidRPr="005B3C51">
        <w:rPr>
          <w:rFonts w:ascii="Calibri" w:hAnsi="Calibri"/>
          <w:noProof/>
          <w:sz w:val="22"/>
        </w:rPr>
        <w:tab/>
        <w:t xml:space="preserve">Australian Bureau of Statistics. 6401.0 - December quarter 2015 consumer price index. Canberra: Commonwealth of Australia, 2016. Available from: </w:t>
      </w:r>
      <w:hyperlink r:id="rId153" w:history="1">
        <w:r w:rsidRPr="005B3C51">
          <w:rPr>
            <w:rStyle w:val="Hyperlink"/>
            <w:rFonts w:ascii="Calibri" w:hAnsi="Calibri"/>
            <w:noProof/>
            <w:sz w:val="22"/>
          </w:rPr>
          <w:t>http://www.ausstats.abs.gov.au/ausstats/meisubs.nsf/0/C3ABD893ED8188C7CA257F45000D8059/$File/64010_dec%202015.pdf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66.</w:t>
      </w:r>
      <w:r w:rsidRPr="005B3C51">
        <w:rPr>
          <w:rFonts w:ascii="Calibri" w:hAnsi="Calibri"/>
          <w:noProof/>
          <w:sz w:val="22"/>
        </w:rPr>
        <w:tab/>
        <w:t xml:space="preserve">Australian Bureau of Statistics. 4727.0.55.005 - Australian Aboriginal and Torres Strait Islander Health Survey: nutrition results - food and nutrients, 2012-13. Canberra: Australian Bureau of Statistics, 2015. Available from: </w:t>
      </w:r>
      <w:hyperlink r:id="rId154" w:history="1">
        <w:r w:rsidRPr="005B3C51">
          <w:rPr>
            <w:rStyle w:val="Hyperlink"/>
            <w:rFonts w:ascii="Calibri" w:hAnsi="Calibri"/>
            <w:noProof/>
            <w:sz w:val="22"/>
          </w:rPr>
          <w:t>http://www.abs.gov.au/ausstats/abs@.nsf/Lookup/4727.0.55.005main+features12012-13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67.</w:t>
      </w:r>
      <w:r w:rsidRPr="005B3C51">
        <w:rPr>
          <w:rFonts w:ascii="Calibri" w:hAnsi="Calibri"/>
          <w:noProof/>
          <w:sz w:val="22"/>
        </w:rPr>
        <w:tab/>
        <w:t xml:space="preserve">Pollard C, Savage V, Landrigen L, Hanbury A, Kerr D. Food access and cost survey. Perth: Department of Health, Western Australia, 2015. Available from: </w:t>
      </w:r>
      <w:hyperlink r:id="rId155" w:history="1">
        <w:r w:rsidRPr="005B3C51">
          <w:rPr>
            <w:rStyle w:val="Hyperlink"/>
            <w:rFonts w:ascii="Calibri" w:hAnsi="Calibri"/>
            <w:noProof/>
            <w:sz w:val="22"/>
          </w:rPr>
          <w:t>http://www.public.health.wa.gov.au/cproot/6185/2/Food%20Access%20and%20Cost%20Survey%20Report%202013.pdf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68.</w:t>
      </w:r>
      <w:r w:rsidRPr="005B3C51">
        <w:rPr>
          <w:rFonts w:ascii="Calibri" w:hAnsi="Calibri"/>
          <w:noProof/>
          <w:sz w:val="22"/>
        </w:rPr>
        <w:tab/>
        <w:t xml:space="preserve">Lee A, Baker P, Stanton R, Friel S, Weightman A. Scoping study to inform the development of the new national nutrition policy for Australia. Queensland: Queensland University of Technology, 2013. Available from: </w:t>
      </w:r>
      <w:hyperlink r:id="rId156" w:history="1">
        <w:r w:rsidRPr="005B3C51">
          <w:rPr>
            <w:rStyle w:val="Hyperlink"/>
            <w:rFonts w:ascii="Calibri" w:hAnsi="Calibri"/>
            <w:noProof/>
            <w:sz w:val="22"/>
          </w:rPr>
          <w:t>http://eprints.qut.edu.au/93234/</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69.</w:t>
      </w:r>
      <w:r w:rsidRPr="005B3C51">
        <w:rPr>
          <w:rFonts w:ascii="Calibri" w:hAnsi="Calibri"/>
          <w:noProof/>
          <w:sz w:val="22"/>
        </w:rPr>
        <w:tab/>
        <w:t xml:space="preserve">Moubarac J-C, Parra DC, Cannon G, Monteiro CA. Food classification systems based on food processing: significance and implications for policies and actions: a systematic literature review and assessment. Curr Obes Rep. 2014;3(2):256-72. Available from: </w:t>
      </w:r>
      <w:hyperlink r:id="rId157" w:history="1">
        <w:r w:rsidRPr="005B3C51">
          <w:rPr>
            <w:rStyle w:val="Hyperlink"/>
            <w:rFonts w:ascii="Calibri" w:hAnsi="Calibri"/>
            <w:noProof/>
            <w:sz w:val="22"/>
          </w:rPr>
          <w:t>http://link.springer.com/article/10.1007/s13679-014-0092-0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70.</w:t>
      </w:r>
      <w:r w:rsidRPr="005B3C51">
        <w:rPr>
          <w:rFonts w:ascii="Calibri" w:hAnsi="Calibri"/>
          <w:noProof/>
          <w:sz w:val="22"/>
        </w:rPr>
        <w:tab/>
        <w:t xml:space="preserve">Monteiro CA, Moubarac JC, Cannon G, Ng SW, Popkin B. Ultra-processed products are becoming dominant in the global food system. Obes Rev. 2013;14:21-8. Available from: </w:t>
      </w:r>
      <w:hyperlink r:id="rId158" w:history="1">
        <w:r w:rsidRPr="005B3C51">
          <w:rPr>
            <w:rStyle w:val="Hyperlink"/>
            <w:rFonts w:ascii="Calibri" w:hAnsi="Calibri"/>
            <w:noProof/>
            <w:sz w:val="22"/>
          </w:rPr>
          <w:t>http://dx.doi.org/10.1111/obr.12107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71.</w:t>
      </w:r>
      <w:r w:rsidRPr="005B3C51">
        <w:rPr>
          <w:rFonts w:ascii="Calibri" w:hAnsi="Calibri"/>
          <w:noProof/>
          <w:sz w:val="22"/>
        </w:rPr>
        <w:tab/>
        <w:t xml:space="preserve">Australian Institute of Health and Welfare. Australia's food and nutrition 2012. Cat. no. PHE 163. Canberra: Australian Institute of Health and Welfare, 2012. Available from: </w:t>
      </w:r>
      <w:hyperlink r:id="rId159" w:history="1">
        <w:r w:rsidRPr="005B3C51">
          <w:rPr>
            <w:rStyle w:val="Hyperlink"/>
            <w:rFonts w:ascii="Calibri" w:hAnsi="Calibri"/>
            <w:noProof/>
            <w:sz w:val="22"/>
          </w:rPr>
          <w:t>http://www.aihw.gov.au/WorkArea/DownloadAsset.aspx?id=10737422837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72.</w:t>
      </w:r>
      <w:r w:rsidRPr="005B3C51">
        <w:rPr>
          <w:rFonts w:ascii="Calibri" w:hAnsi="Calibri"/>
          <w:noProof/>
          <w:sz w:val="22"/>
        </w:rPr>
        <w:tab/>
        <w:t xml:space="preserve">Ossei-Assibey G, Dick S, Macdiarmid J, Semple S, Reilly J, Ellaway A, et al. The influence of the food environment on overweight and obesity in young children: a systematic review. Brit Med J. 2016;2(6):E001538. Available from: </w:t>
      </w:r>
      <w:hyperlink r:id="rId160" w:history="1">
        <w:r w:rsidRPr="005B3C51">
          <w:rPr>
            <w:rStyle w:val="Hyperlink"/>
            <w:rFonts w:ascii="Calibri" w:hAnsi="Calibri"/>
            <w:noProof/>
            <w:sz w:val="22"/>
          </w:rPr>
          <w:t>http://www.ncbi.nlm.nih.gov/pubmed/23253872</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73.</w:t>
      </w:r>
      <w:r w:rsidRPr="005B3C51">
        <w:rPr>
          <w:rFonts w:ascii="Calibri" w:hAnsi="Calibri"/>
          <w:noProof/>
          <w:sz w:val="22"/>
        </w:rPr>
        <w:tab/>
        <w:t xml:space="preserve">World Health Organization. Set of recommendations on the marketing of foods and non-alcoholic beverages to children. Geneva: World Health Organization, 2010. Available from: </w:t>
      </w:r>
      <w:hyperlink r:id="rId161" w:history="1">
        <w:r w:rsidRPr="005B3C51">
          <w:rPr>
            <w:rStyle w:val="Hyperlink"/>
            <w:rFonts w:ascii="Calibri" w:hAnsi="Calibri"/>
            <w:noProof/>
            <w:sz w:val="22"/>
          </w:rPr>
          <w:t>http://www.who.int/dietphysicalactivity/publications/recsmarketing/en/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74.</w:t>
      </w:r>
      <w:r w:rsidRPr="005B3C51">
        <w:rPr>
          <w:rFonts w:ascii="Calibri" w:hAnsi="Calibri"/>
          <w:noProof/>
          <w:sz w:val="22"/>
        </w:rPr>
        <w:tab/>
        <w:t xml:space="preserve">Menella J. Ontogeny of taste preferences: basic biology and implications for health. Am J Clin Nutr. 2014;99(3):704S-11S. Available from: </w:t>
      </w:r>
      <w:hyperlink r:id="rId162" w:history="1">
        <w:r w:rsidRPr="005B3C51">
          <w:rPr>
            <w:rStyle w:val="Hyperlink"/>
            <w:rFonts w:ascii="Calibri" w:hAnsi="Calibri"/>
            <w:noProof/>
            <w:sz w:val="22"/>
          </w:rPr>
          <w:t>http://www.ncbi.nlm.nih.gov/pubmed/24452237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75.</w:t>
      </w:r>
      <w:r w:rsidRPr="005B3C51">
        <w:rPr>
          <w:rFonts w:ascii="Calibri" w:hAnsi="Calibri"/>
          <w:noProof/>
          <w:sz w:val="22"/>
        </w:rPr>
        <w:tab/>
        <w:t xml:space="preserve">Drewnowski A, Mennella J, Johnson S, Bellisle F. Sweetness and food preference. J Nutr. 2012;142(6):1142S-8S. Available from: </w:t>
      </w:r>
      <w:hyperlink r:id="rId163" w:history="1">
        <w:r w:rsidRPr="005B3C51">
          <w:rPr>
            <w:rStyle w:val="Hyperlink"/>
            <w:rFonts w:ascii="Calibri" w:hAnsi="Calibri"/>
            <w:noProof/>
            <w:sz w:val="22"/>
          </w:rPr>
          <w:t>http://www.ncbi.nlm.nih.gov/pubmed/22573785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76.</w:t>
      </w:r>
      <w:r w:rsidRPr="005B3C51">
        <w:rPr>
          <w:rFonts w:ascii="Calibri" w:hAnsi="Calibri"/>
          <w:noProof/>
          <w:sz w:val="22"/>
        </w:rPr>
        <w:tab/>
        <w:t xml:space="preserve">Australian Bureau of Statistics. 4364.0.55.007 - Australian Health Survey: nutrition first results - foods and nutrients, 2011-12. Canberra: Australian Bureau of Statistics, 2014. Available from: </w:t>
      </w:r>
      <w:hyperlink r:id="rId164" w:history="1">
        <w:r w:rsidRPr="005B3C51">
          <w:rPr>
            <w:rStyle w:val="Hyperlink"/>
            <w:rFonts w:ascii="Calibri" w:hAnsi="Calibri"/>
            <w:noProof/>
            <w:sz w:val="22"/>
          </w:rPr>
          <w:t>http://www.abs.gov.au/ausstats/abs@.nsf/Lookup/4364.0.55.007main+features12011-12</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77.</w:t>
      </w:r>
      <w:r w:rsidRPr="005B3C51">
        <w:rPr>
          <w:rFonts w:ascii="Calibri" w:hAnsi="Calibri"/>
          <w:noProof/>
          <w:sz w:val="22"/>
        </w:rPr>
        <w:tab/>
        <w:t xml:space="preserve">Hawkes C, Jewell J, Allen K. A food policy package for healthy diets and the prevention of obesity and diet‐related non‐communicable diseases: the NOURISHING framework. Obesity Reviews. 2013;14(S2):159-68. Available from: </w:t>
      </w:r>
      <w:hyperlink r:id="rId165" w:history="1">
        <w:r w:rsidRPr="005B3C51">
          <w:rPr>
            <w:rStyle w:val="Hyperlink"/>
            <w:rFonts w:ascii="Calibri" w:hAnsi="Calibri"/>
            <w:noProof/>
            <w:sz w:val="22"/>
          </w:rPr>
          <w:t>http://onlinelibrary.wiley.com/doi/10.1111/obr.12098/full</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78.</w:t>
      </w:r>
      <w:r w:rsidRPr="005B3C51">
        <w:rPr>
          <w:rFonts w:ascii="Calibri" w:hAnsi="Calibri"/>
          <w:noProof/>
          <w:sz w:val="22"/>
        </w:rPr>
        <w:tab/>
        <w:t xml:space="preserve">National Health and Medical Research Council. Eat for health: Australian Dietary Guidelines. Providing the scientific evidence for healthier Australian diets. Canberra: National Health and Medical Research Council, 2013. Available from: </w:t>
      </w:r>
      <w:hyperlink r:id="rId166" w:history="1">
        <w:r w:rsidRPr="005B3C51">
          <w:rPr>
            <w:rStyle w:val="Hyperlink"/>
            <w:rFonts w:ascii="Calibri" w:hAnsi="Calibri"/>
            <w:noProof/>
            <w:sz w:val="22"/>
          </w:rPr>
          <w:t>http://www.nhmrc.gov.au/guidelines-publications/n55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79.</w:t>
      </w:r>
      <w:r w:rsidRPr="005B3C51">
        <w:rPr>
          <w:rFonts w:ascii="Calibri" w:hAnsi="Calibri"/>
          <w:noProof/>
          <w:sz w:val="22"/>
        </w:rPr>
        <w:tab/>
        <w:t xml:space="preserve">Department of Health, Australian Government. Australian National Breastfeeding Strategy 2010-2015. Canberra: Commonwealth of Australia, 2009. Available from: </w:t>
      </w:r>
      <w:hyperlink r:id="rId167" w:history="1">
        <w:r w:rsidRPr="005B3C51">
          <w:rPr>
            <w:rStyle w:val="Hyperlink"/>
            <w:rFonts w:ascii="Calibri" w:hAnsi="Calibri"/>
            <w:noProof/>
            <w:sz w:val="22"/>
          </w:rPr>
          <w:t>http://www.health.gov.au/internet/main/publishing.nsf/Content/6FD59347DD67ED8FCA257BF0001CFD1E/$File/Breastfeeding_strat1015.pdf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80.</w:t>
      </w:r>
      <w:r w:rsidRPr="005B3C51">
        <w:rPr>
          <w:rFonts w:ascii="Calibri" w:hAnsi="Calibri"/>
          <w:noProof/>
          <w:sz w:val="22"/>
        </w:rPr>
        <w:tab/>
        <w:t xml:space="preserve">Meng X, Daly A, Pollard C, Binns C. Community attitudes toward breastfeeding in public places among Western Australia adults, 1995-2009. J Hum Lact 2013;29(2):183–9. Available from: </w:t>
      </w:r>
      <w:hyperlink r:id="rId168" w:history="1">
        <w:r w:rsidRPr="005B3C51">
          <w:rPr>
            <w:rStyle w:val="Hyperlink"/>
            <w:rFonts w:ascii="Calibri" w:hAnsi="Calibri"/>
            <w:noProof/>
            <w:sz w:val="22"/>
          </w:rPr>
          <w:t>http://www.ncbi.nlm.nih.gov/pubmed/23504475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81.</w:t>
      </w:r>
      <w:r w:rsidRPr="005B3C51">
        <w:rPr>
          <w:rFonts w:ascii="Calibri" w:hAnsi="Calibri"/>
          <w:noProof/>
          <w:sz w:val="22"/>
        </w:rPr>
        <w:tab/>
        <w:t xml:space="preserve">Maycock B, Binns CW, Dhaliwal S, Tohotoa J, Hauck Y, Burns S, et al. Education and support for fathers improves breastfeeding rates: a randomized controlled trial. J Hum Lact. 2013;29(4):484-90. Available from: </w:t>
      </w:r>
      <w:hyperlink r:id="rId169" w:history="1">
        <w:r w:rsidRPr="005B3C51">
          <w:rPr>
            <w:rStyle w:val="Hyperlink"/>
            <w:rFonts w:ascii="Calibri" w:hAnsi="Calibri"/>
            <w:noProof/>
            <w:sz w:val="22"/>
          </w:rPr>
          <w:t>http://jhl.sagepub.com/content/29/4/484.abstract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82.</w:t>
      </w:r>
      <w:r w:rsidRPr="005B3C51">
        <w:rPr>
          <w:rFonts w:ascii="Calibri" w:hAnsi="Calibri"/>
          <w:noProof/>
          <w:sz w:val="22"/>
        </w:rPr>
        <w:tab/>
        <w:t xml:space="preserve">Hector D, King L, Webb K. Factors affecting breastfeeding practices: applying a conceptual framework. NSW Public Health Bull. 2005;16(3-4). Available from: </w:t>
      </w:r>
      <w:hyperlink r:id="rId170" w:history="1">
        <w:r w:rsidRPr="005B3C51">
          <w:rPr>
            <w:rStyle w:val="Hyperlink"/>
            <w:rFonts w:ascii="Calibri" w:hAnsi="Calibri"/>
            <w:noProof/>
            <w:sz w:val="22"/>
          </w:rPr>
          <w:t>http://www.ncbi.nlm.nih.gov/pubmed/16106273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83.</w:t>
      </w:r>
      <w:r w:rsidRPr="005B3C51">
        <w:rPr>
          <w:rFonts w:ascii="Calibri" w:hAnsi="Calibri"/>
          <w:noProof/>
          <w:sz w:val="22"/>
        </w:rPr>
        <w:tab/>
        <w:t xml:space="preserve">Food and Agriculture Organization, United Nations, the International Fund for Agricultural Development, and the World Food Programme. The state of food insecurity in the world, 2015. Meeting the 2015 international hunger targets: taking stock of uneven progress. Rome: Food and Agriculture Organization, United Nations, 2015. Available from: </w:t>
      </w:r>
      <w:hyperlink r:id="rId171" w:history="1">
        <w:r w:rsidRPr="005B3C51">
          <w:rPr>
            <w:rStyle w:val="Hyperlink"/>
            <w:rFonts w:ascii="Calibri" w:hAnsi="Calibri"/>
            <w:noProof/>
            <w:sz w:val="22"/>
          </w:rPr>
          <w:t>http://www.fao.org/3/a-i4646e.pdf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84.</w:t>
      </w:r>
      <w:r w:rsidRPr="005B3C51">
        <w:rPr>
          <w:rFonts w:ascii="Calibri" w:hAnsi="Calibri"/>
          <w:noProof/>
          <w:sz w:val="22"/>
        </w:rPr>
        <w:tab/>
        <w:t xml:space="preserve">King S, Moffitt A, Bellamy J, Carter S, McDowell C, Mollenhauer J. When there’s not enough to eat: a national study of food insecurity among emergency relief clients.  State of the Family Report, Vol 2. Sydney: Anglicare, 2012. Available from: </w:t>
      </w:r>
      <w:hyperlink r:id="rId172" w:history="1">
        <w:r w:rsidRPr="005B3C51">
          <w:rPr>
            <w:rStyle w:val="Hyperlink"/>
            <w:rFonts w:ascii="Calibri" w:hAnsi="Calibri"/>
            <w:noProof/>
            <w:sz w:val="22"/>
          </w:rPr>
          <w:t>http://www.anglicare.org.au/sites/default/files/public/Anglicare_WTIETE_VOLUME%202%2</w:t>
        </w:r>
        <w:r w:rsidRPr="005B3C51">
          <w:rPr>
            <w:rStyle w:val="Hyperlink"/>
            <w:rFonts w:ascii="Calibri" w:hAnsi="Calibri"/>
            <w:noProof/>
            <w:sz w:val="22"/>
          </w:rPr>
          <w:lastRenderedPageBreak/>
          <w:t>0FA.pdf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85.</w:t>
      </w:r>
      <w:r w:rsidRPr="005B3C51">
        <w:rPr>
          <w:rFonts w:ascii="Calibri" w:hAnsi="Calibri"/>
          <w:noProof/>
          <w:sz w:val="22"/>
        </w:rPr>
        <w:tab/>
        <w:t xml:space="preserve">NSW Centre for Public Health Nutrition. Food security options paper:  a planning framework and menu of options for policy and practice interventions. Sydney: NSW Centre for Public Health Nutrition, 2003. Available from: </w:t>
      </w:r>
      <w:hyperlink r:id="rId173" w:history="1">
        <w:r w:rsidRPr="005B3C51">
          <w:rPr>
            <w:rStyle w:val="Hyperlink"/>
            <w:rFonts w:ascii="Calibri" w:hAnsi="Calibri"/>
            <w:noProof/>
            <w:sz w:val="22"/>
          </w:rPr>
          <w:t>http://sydney.edu.au/science/molecular_bioscience/cphn/pdfs/food_security.pdf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86.</w:t>
      </w:r>
      <w:r w:rsidRPr="005B3C51">
        <w:rPr>
          <w:rFonts w:ascii="Calibri" w:hAnsi="Calibri"/>
          <w:noProof/>
          <w:sz w:val="22"/>
        </w:rPr>
        <w:tab/>
        <w:t xml:space="preserve">Palacios V, Eaton D, O’Malley H. Perceptions, barriers and enablers of physical activity, food, alcohol and smoking among selected culturally and linguistically diverse ethnicity groups in WA. Perth: Department of Health, Western Australia, 2014. </w:t>
      </w:r>
    </w:p>
    <w:p w:rsidR="005B3C51" w:rsidRPr="005B3C51" w:rsidRDefault="005B3C51" w:rsidP="005B3C51">
      <w:pPr>
        <w:ind w:left="720" w:hanging="720"/>
        <w:rPr>
          <w:rFonts w:ascii="Calibri" w:hAnsi="Calibri"/>
          <w:noProof/>
          <w:sz w:val="22"/>
        </w:rPr>
      </w:pPr>
      <w:r w:rsidRPr="005B3C51">
        <w:rPr>
          <w:rFonts w:ascii="Calibri" w:hAnsi="Calibri"/>
          <w:noProof/>
          <w:sz w:val="22"/>
        </w:rPr>
        <w:t>87.</w:t>
      </w:r>
      <w:r w:rsidRPr="005B3C51">
        <w:rPr>
          <w:rFonts w:ascii="Calibri" w:hAnsi="Calibri"/>
          <w:noProof/>
          <w:sz w:val="22"/>
        </w:rPr>
        <w:tab/>
        <w:t xml:space="preserve">Department Of Health and Ageing, Australian Government, and the National Health and Medical Research Council. A review of the evidence to address targeted questions to inform the revision of the Australian Dietary Guidelines. Canberra: Commonwealth of Australia, 2011. Available from: </w:t>
      </w:r>
      <w:hyperlink r:id="rId174" w:history="1">
        <w:r w:rsidRPr="005B3C51">
          <w:rPr>
            <w:rStyle w:val="Hyperlink"/>
            <w:rFonts w:ascii="Calibri" w:hAnsi="Calibri"/>
            <w:noProof/>
            <w:sz w:val="22"/>
          </w:rPr>
          <w:t>http://www.nhmrc.gov.au/_files_nhmrc/file/publications/n55d_australian_dietary_guidelines_evidence_report.pdf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88.</w:t>
      </w:r>
      <w:r w:rsidRPr="005B3C51">
        <w:rPr>
          <w:rFonts w:ascii="Calibri" w:hAnsi="Calibri"/>
          <w:noProof/>
          <w:sz w:val="22"/>
        </w:rPr>
        <w:tab/>
        <w:t>Department Health and Ageing, Australian Government, and the National Health and Medical Research Council. A modelling system to inform the revision of the Australian Guide to Healthy Eating. Canberra: Commonwealth of Australia, 2011. Available from: https://</w:t>
      </w:r>
      <w:hyperlink r:id="rId175" w:history="1">
        <w:r w:rsidRPr="005B3C51">
          <w:rPr>
            <w:rStyle w:val="Hyperlink"/>
            <w:rFonts w:ascii="Calibri" w:hAnsi="Calibri"/>
            <w:noProof/>
            <w:sz w:val="22"/>
          </w:rPr>
          <w:t>www.eatforhealth.gov.au/sites/default/files/files/public_consultation/n55a_dietary_guidelines_food_modelling_111216.pdf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89.</w:t>
      </w:r>
      <w:r w:rsidRPr="005B3C51">
        <w:rPr>
          <w:rFonts w:ascii="Calibri" w:hAnsi="Calibri"/>
          <w:noProof/>
          <w:sz w:val="22"/>
        </w:rPr>
        <w:tab/>
        <w:t xml:space="preserve">Ball K, Mishra GD, Thane CW, Hodge A. How well do Australian women comply with dietary guidelines? Public Health Nutr. 2004;7(3):443-52. Available from: </w:t>
      </w:r>
      <w:hyperlink r:id="rId176" w:history="1">
        <w:r w:rsidRPr="005B3C51">
          <w:rPr>
            <w:rStyle w:val="Hyperlink"/>
            <w:rFonts w:ascii="Calibri" w:hAnsi="Calibri"/>
            <w:noProof/>
            <w:sz w:val="22"/>
          </w:rPr>
          <w:t>http://dx.doi.org/10.1079/phn2003538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90.</w:t>
      </w:r>
      <w:r w:rsidRPr="005B3C51">
        <w:rPr>
          <w:rFonts w:ascii="Calibri" w:hAnsi="Calibri"/>
          <w:noProof/>
          <w:sz w:val="22"/>
        </w:rPr>
        <w:tab/>
        <w:t xml:space="preserve">Giskes K, Turrell G, Patterson C. Socioeconomic differences among Australian adults in consumption of fruit and vegetables and intakes of vitamins A, C and folate. J Hum Nutr Diet. 2002;15:375-85. Available from: </w:t>
      </w:r>
      <w:hyperlink r:id="rId177" w:history="1">
        <w:r w:rsidRPr="005B3C51">
          <w:rPr>
            <w:rStyle w:val="Hyperlink"/>
            <w:rFonts w:ascii="Calibri" w:hAnsi="Calibri"/>
            <w:noProof/>
            <w:sz w:val="22"/>
          </w:rPr>
          <w:t>http://www.ncbi.nlm.nih.gov/pubmed/12270018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91.</w:t>
      </w:r>
      <w:r w:rsidRPr="005B3C51">
        <w:rPr>
          <w:rFonts w:ascii="Calibri" w:hAnsi="Calibri"/>
          <w:noProof/>
          <w:sz w:val="22"/>
        </w:rPr>
        <w:tab/>
        <w:t xml:space="preserve">Giskes K, Turrell G, Patterson P, Newman B. Socio-economic differences in fruit and vegetable consumption among Australian adolescents and adults. Public Health Nutr. 2002;5:663-69. Available from: </w:t>
      </w:r>
      <w:hyperlink r:id="rId178" w:history="1">
        <w:r w:rsidRPr="005B3C51">
          <w:rPr>
            <w:rStyle w:val="Hyperlink"/>
            <w:rFonts w:ascii="Calibri" w:hAnsi="Calibri"/>
            <w:noProof/>
            <w:sz w:val="22"/>
          </w:rPr>
          <w:t>http://www.ncbi.nlm.nih.gov/pubmed/12372160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92.</w:t>
      </w:r>
      <w:r w:rsidRPr="005B3C51">
        <w:rPr>
          <w:rFonts w:ascii="Calibri" w:hAnsi="Calibri"/>
          <w:noProof/>
          <w:sz w:val="22"/>
        </w:rPr>
        <w:tab/>
        <w:t xml:space="preserve">Hendrie GA, Coveney J, Cox D. Exploring nutrition knowledge and the demographic variation in knowledge levels in an Australian community sample. Public Health Nutr. 2008;11(12):1365-71. Available from: </w:t>
      </w:r>
      <w:hyperlink r:id="rId179" w:history="1">
        <w:r w:rsidRPr="005B3C51">
          <w:rPr>
            <w:rStyle w:val="Hyperlink"/>
            <w:rFonts w:ascii="Calibri" w:hAnsi="Calibri"/>
            <w:noProof/>
            <w:sz w:val="22"/>
          </w:rPr>
          <w:t>http://www.ncbi.nlm.nih.gov/pubmed/18671887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93.</w:t>
      </w:r>
      <w:r w:rsidRPr="005B3C51">
        <w:rPr>
          <w:rFonts w:ascii="Calibri" w:hAnsi="Calibri"/>
          <w:noProof/>
          <w:sz w:val="22"/>
        </w:rPr>
        <w:tab/>
        <w:t xml:space="preserve">McKinnon L, Giskes K, Turrell G. The contribution of three components of nutrition knowledge to socio-economic differences in food purchasing choices. Public health nutr. 2014;17(8):1814-24. Available from: </w:t>
      </w:r>
      <w:hyperlink r:id="rId180" w:history="1">
        <w:r w:rsidRPr="005B3C51">
          <w:rPr>
            <w:rStyle w:val="Hyperlink"/>
            <w:rFonts w:ascii="Calibri" w:hAnsi="Calibri"/>
            <w:noProof/>
            <w:sz w:val="22"/>
          </w:rPr>
          <w:t>http://www.ncbi.nlm.nih.gov/pubmed/23920283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94.</w:t>
      </w:r>
      <w:r w:rsidRPr="005B3C51">
        <w:rPr>
          <w:rFonts w:ascii="Calibri" w:hAnsi="Calibri"/>
          <w:noProof/>
          <w:sz w:val="22"/>
        </w:rPr>
        <w:tab/>
        <w:t xml:space="preserve">Pollard C, Harray A, Daly A, Kerr D. Nutrition Monitoring Survey Series 2012 key findings. Perth: Department of Health, Western Australia, 2015. Available from: </w:t>
      </w:r>
      <w:hyperlink r:id="rId181" w:history="1">
        <w:r w:rsidRPr="005B3C51">
          <w:rPr>
            <w:rStyle w:val="Hyperlink"/>
            <w:rFonts w:ascii="Calibri" w:hAnsi="Calibri"/>
            <w:noProof/>
            <w:sz w:val="22"/>
          </w:rPr>
          <w:t>http://ww2.health.wa.gov.au/~/media/Files/Corporate/Reports%20and%20publications/Population%20surveys/13032-nutrition-monitoring-survey-series-2012.ashx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95.</w:t>
      </w:r>
      <w:r w:rsidRPr="005B3C51">
        <w:rPr>
          <w:rFonts w:ascii="Calibri" w:hAnsi="Calibri"/>
          <w:noProof/>
          <w:sz w:val="22"/>
        </w:rPr>
        <w:tab/>
        <w:t xml:space="preserve">McLeod ER, Campbell KJ, Hesketh KD. Nutrition knowledge: a mediator between socioeconomic position and diet quality in Australian first-time mothers. J Am Diet Assoc. 2011;111(5):696-704. Available from: </w:t>
      </w:r>
      <w:hyperlink r:id="rId182" w:history="1">
        <w:r w:rsidRPr="005B3C51">
          <w:rPr>
            <w:rStyle w:val="Hyperlink"/>
            <w:rFonts w:ascii="Calibri" w:hAnsi="Calibri"/>
            <w:noProof/>
            <w:sz w:val="22"/>
          </w:rPr>
          <w:t>http://www.sciencedirect.com/science/article/pii/S0002822311001350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96.</w:t>
      </w:r>
      <w:r w:rsidRPr="005B3C51">
        <w:rPr>
          <w:rFonts w:ascii="Calibri" w:hAnsi="Calibri"/>
          <w:noProof/>
          <w:sz w:val="22"/>
        </w:rPr>
        <w:tab/>
        <w:t xml:space="preserve">Collins LJ, Lacy KE, Campbell KJ, McNaughton SA. The predictors of diet quality among Australian children aged 3.5 years. J Acad Nutr Diet. 2016;116(7):1114-26. Available from: </w:t>
      </w:r>
      <w:hyperlink r:id="rId183" w:history="1">
        <w:r w:rsidRPr="005B3C51">
          <w:rPr>
            <w:rStyle w:val="Hyperlink"/>
            <w:rFonts w:ascii="Calibri" w:hAnsi="Calibri"/>
            <w:noProof/>
            <w:sz w:val="22"/>
          </w:rPr>
          <w:t>http://www.andjrnl.org/article/S2212-2672(15)01812-2/abstract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97.</w:t>
      </w:r>
      <w:r w:rsidRPr="005B3C51">
        <w:rPr>
          <w:rFonts w:ascii="Calibri" w:hAnsi="Calibri"/>
          <w:noProof/>
          <w:sz w:val="22"/>
        </w:rPr>
        <w:tab/>
        <w:t xml:space="preserve">Pollard CM, Daly A, Moore M, Binns CW. Public say food regulatory policies to improve health in Western Australia are important: population survey results. Aust NZ J Publ Health. 2013;37(5):475-82. Available from: </w:t>
      </w:r>
      <w:hyperlink r:id="rId184" w:history="1">
        <w:r w:rsidRPr="005B3C51">
          <w:rPr>
            <w:rStyle w:val="Hyperlink"/>
            <w:rFonts w:ascii="Calibri" w:hAnsi="Calibri"/>
            <w:noProof/>
            <w:sz w:val="22"/>
          </w:rPr>
          <w:t>http://onlinelibrary.wiley.com/doi/10.1111/1753-6405.12128/abstract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98.</w:t>
      </w:r>
      <w:r w:rsidRPr="005B3C51">
        <w:rPr>
          <w:rFonts w:ascii="Calibri" w:hAnsi="Calibri"/>
          <w:noProof/>
          <w:sz w:val="22"/>
        </w:rPr>
        <w:tab/>
        <w:t xml:space="preserve">Vidgen HA, Gallegos D. Defining food literacy and its components. Appetite. 2014;76:50-9. Available from: </w:t>
      </w:r>
      <w:hyperlink r:id="rId185" w:history="1">
        <w:r w:rsidRPr="005B3C51">
          <w:rPr>
            <w:rStyle w:val="Hyperlink"/>
            <w:rFonts w:ascii="Calibri" w:hAnsi="Calibri"/>
            <w:noProof/>
            <w:sz w:val="22"/>
          </w:rPr>
          <w:t>http://dx.doi.org/10.1016/j.appet.2014.01.010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lastRenderedPageBreak/>
        <w:t>99.</w:t>
      </w:r>
      <w:r w:rsidRPr="005B3C51">
        <w:rPr>
          <w:rFonts w:ascii="Calibri" w:hAnsi="Calibri"/>
          <w:noProof/>
          <w:sz w:val="22"/>
        </w:rPr>
        <w:tab/>
        <w:t xml:space="preserve">Soliah LAL, Walter JM, Jones SA. Benefits and barriers to healthful eating: what are the consequences of decreased food preparation ability? Am J Lifestyle Med. 2012;6(2):152-8. Available from: </w:t>
      </w:r>
      <w:hyperlink r:id="rId186" w:history="1">
        <w:r w:rsidRPr="005B3C51">
          <w:rPr>
            <w:rStyle w:val="Hyperlink"/>
            <w:rFonts w:ascii="Calibri" w:hAnsi="Calibri"/>
            <w:noProof/>
            <w:sz w:val="22"/>
          </w:rPr>
          <w:t>http://ajl.sagepub.com/content/6/2/152.abstract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100.</w:t>
      </w:r>
      <w:r w:rsidRPr="005B3C51">
        <w:rPr>
          <w:rFonts w:ascii="Calibri" w:hAnsi="Calibri"/>
          <w:noProof/>
          <w:sz w:val="22"/>
        </w:rPr>
        <w:tab/>
        <w:t xml:space="preserve">Department of Agriculture, Australian Government. Australian food statistics 2012–13. Canberra: Commonwealth of Australia, 2014. Available from: </w:t>
      </w:r>
      <w:hyperlink r:id="rId187" w:history="1">
        <w:r w:rsidRPr="005B3C51">
          <w:rPr>
            <w:rStyle w:val="Hyperlink"/>
            <w:rFonts w:ascii="Calibri" w:hAnsi="Calibri"/>
            <w:noProof/>
            <w:sz w:val="22"/>
          </w:rPr>
          <w:t>http://www.agriculture.gov.au/SiteCollectionDocuments/ag-food/publications/food-stats/australian-food-statistics-2012-13.pdf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101.</w:t>
      </w:r>
      <w:r w:rsidRPr="005B3C51">
        <w:rPr>
          <w:rFonts w:ascii="Calibri" w:hAnsi="Calibri"/>
          <w:noProof/>
          <w:sz w:val="22"/>
        </w:rPr>
        <w:tab/>
        <w:t xml:space="preserve">Begley A, Meng X, Pollard C. Relationship between cooking skills and health indicators: informing future food literacy interventions? Brit Food J. Forthcoming 2016. </w:t>
      </w:r>
    </w:p>
    <w:p w:rsidR="005B3C51" w:rsidRPr="005B3C51" w:rsidRDefault="005B3C51" w:rsidP="005B3C51">
      <w:pPr>
        <w:ind w:left="720" w:hanging="720"/>
        <w:rPr>
          <w:rFonts w:ascii="Calibri" w:hAnsi="Calibri"/>
          <w:noProof/>
          <w:sz w:val="22"/>
        </w:rPr>
      </w:pPr>
      <w:r w:rsidRPr="005B3C51">
        <w:rPr>
          <w:rFonts w:ascii="Calibri" w:hAnsi="Calibri"/>
          <w:noProof/>
          <w:sz w:val="22"/>
        </w:rPr>
        <w:t>102.</w:t>
      </w:r>
      <w:r w:rsidRPr="005B3C51">
        <w:rPr>
          <w:rFonts w:ascii="Calibri" w:hAnsi="Calibri"/>
          <w:noProof/>
          <w:sz w:val="22"/>
        </w:rPr>
        <w:tab/>
        <w:t xml:space="preserve">Pollard CM, Pulker CE, Meng X, Kerr DA, Scott JA. Who uses the internet as a source of nutrition and dietary information? An Australian population perspective. J Med Internet Res. 2015;17:e209. Available from: </w:t>
      </w:r>
      <w:hyperlink r:id="rId188" w:history="1">
        <w:r w:rsidRPr="005B3C51">
          <w:rPr>
            <w:rStyle w:val="Hyperlink"/>
            <w:rFonts w:ascii="Calibri" w:hAnsi="Calibri"/>
            <w:noProof/>
            <w:sz w:val="22"/>
          </w:rPr>
          <w:t>http://www.ncbi.nlm.nih.gov/pmc/articles/PMC4642382/</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103.</w:t>
      </w:r>
      <w:r w:rsidRPr="005B3C51">
        <w:rPr>
          <w:rFonts w:ascii="Calibri" w:hAnsi="Calibri"/>
          <w:noProof/>
          <w:sz w:val="22"/>
        </w:rPr>
        <w:tab/>
        <w:t xml:space="preserve">The LDCP Food Skills Team. Making something out of nothing: food literacy among youth, young pregnant women and young parents who are at risk for poor health. Ontario, Canada: Public Health Ontario, 2013. Available from: </w:t>
      </w:r>
      <w:hyperlink r:id="rId189" w:history="1">
        <w:r w:rsidRPr="005B3C51">
          <w:rPr>
            <w:rStyle w:val="Hyperlink"/>
            <w:rFonts w:ascii="Calibri" w:hAnsi="Calibri"/>
            <w:noProof/>
            <w:sz w:val="22"/>
          </w:rPr>
          <w:t>http://foodsecurecanada.org/resources-news/resources-research/making-something-out-nothing-food-literacy-among-youth-young-0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104.</w:t>
      </w:r>
      <w:r w:rsidRPr="005B3C51">
        <w:rPr>
          <w:rFonts w:ascii="Calibri" w:hAnsi="Calibri"/>
          <w:noProof/>
          <w:sz w:val="22"/>
        </w:rPr>
        <w:tab/>
        <w:t xml:space="preserve">Department of Health [UK]. 2009 Annual Report of the Chief Medical Officer. London: Department of Health, 2010. Available from: </w:t>
      </w:r>
      <w:hyperlink r:id="rId190" w:history="1">
        <w:r w:rsidRPr="005B3C51">
          <w:rPr>
            <w:rStyle w:val="Hyperlink"/>
            <w:rFonts w:ascii="Calibri" w:hAnsi="Calibri"/>
            <w:noProof/>
            <w:sz w:val="22"/>
          </w:rPr>
          <w:t>http://www.sthc.co.uk/Documents/CMO_Report_2009.pdf?bcsi_scan_c221d61a0ea4ff4c=0&amp;bcsi_scan_filename=CMO_Report_2009.pdf</w:t>
        </w:r>
      </w:hyperlink>
      <w:r w:rsidRPr="005B3C51">
        <w:rPr>
          <w:rFonts w:ascii="Calibri" w:hAnsi="Calibri"/>
          <w:noProof/>
          <w:sz w:val="22"/>
        </w:rPr>
        <w:t xml:space="preserve"> </w:t>
      </w:r>
    </w:p>
    <w:p w:rsidR="005B3C51" w:rsidRPr="005B3C51" w:rsidRDefault="005B3C51" w:rsidP="005B3C51">
      <w:pPr>
        <w:ind w:left="720" w:hanging="720"/>
        <w:rPr>
          <w:rFonts w:ascii="Calibri" w:hAnsi="Calibri"/>
          <w:noProof/>
          <w:sz w:val="22"/>
        </w:rPr>
      </w:pPr>
      <w:r w:rsidRPr="005B3C51">
        <w:rPr>
          <w:rFonts w:ascii="Calibri" w:hAnsi="Calibri"/>
          <w:noProof/>
          <w:sz w:val="22"/>
        </w:rPr>
        <w:t>105.</w:t>
      </w:r>
      <w:r w:rsidRPr="005B3C51">
        <w:rPr>
          <w:rFonts w:ascii="Calibri" w:hAnsi="Calibri"/>
          <w:noProof/>
          <w:sz w:val="22"/>
        </w:rPr>
        <w:tab/>
        <w:t xml:space="preserve">Australian Bureau of Statistics. 4727.0.55.001 - Australian Aboriginal and Torres Strait Islander Health Survey: first results, 2012-13. Canberra: Australian Bureau of Statistics, 2013. Available from: </w:t>
      </w:r>
      <w:hyperlink r:id="rId191" w:history="1">
        <w:r w:rsidRPr="005B3C51">
          <w:rPr>
            <w:rStyle w:val="Hyperlink"/>
            <w:rFonts w:ascii="Calibri" w:hAnsi="Calibri"/>
            <w:noProof/>
            <w:sz w:val="22"/>
          </w:rPr>
          <w:t>http://www.abs.gov.au/ausstats/abs@.nsf/mf/4727.0.55.001</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106.</w:t>
      </w:r>
      <w:r w:rsidRPr="005B3C51">
        <w:rPr>
          <w:rFonts w:ascii="Calibri" w:hAnsi="Calibri"/>
          <w:noProof/>
          <w:sz w:val="22"/>
        </w:rPr>
        <w:tab/>
        <w:t xml:space="preserve">Australian Bureau of Statistics. 4159.0 - General Social Survey, summary results, Australia 2014. Canberra: Australian Bureau of Statistics, 2015. Available from: </w:t>
      </w:r>
      <w:hyperlink r:id="rId192" w:history="1">
        <w:r w:rsidRPr="005B3C51">
          <w:rPr>
            <w:rStyle w:val="Hyperlink"/>
            <w:rFonts w:ascii="Calibri" w:hAnsi="Calibri"/>
            <w:noProof/>
            <w:sz w:val="22"/>
          </w:rPr>
          <w:t>http://www.abs.gov.au/ausstats/abs@.nsf/mf/4159.0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107.</w:t>
      </w:r>
      <w:r w:rsidRPr="005B3C51">
        <w:rPr>
          <w:rFonts w:ascii="Calibri" w:hAnsi="Calibri"/>
          <w:noProof/>
          <w:sz w:val="22"/>
        </w:rPr>
        <w:tab/>
        <w:t xml:space="preserve">Garrard J. Taking action on obesogenic environments: building a culture of active connected communities.  An options paper prepared by Dr Jan Garrard for the National Preventative Health Taskforce. Canberra: National Preventative Health Taskforce, 2009. Available from: </w:t>
      </w:r>
      <w:hyperlink r:id="rId193" w:history="1">
        <w:r w:rsidRPr="005B3C51">
          <w:rPr>
            <w:rStyle w:val="Hyperlink"/>
            <w:rFonts w:ascii="Calibri" w:hAnsi="Calibri"/>
            <w:noProof/>
            <w:sz w:val="22"/>
          </w:rPr>
          <w:t>http://www.health.gov.au/internet/preventativehealth/publishing.nsf/Content/0FBE203C1C547A82CA257529000231BF/$File/commpaper-obes-env-garrard.pdf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108.</w:t>
      </w:r>
      <w:r w:rsidRPr="005B3C51">
        <w:rPr>
          <w:rFonts w:ascii="Calibri" w:hAnsi="Calibri"/>
          <w:noProof/>
          <w:sz w:val="22"/>
        </w:rPr>
        <w:tab/>
        <w:t xml:space="preserve">National Heart Foundation of Australia. Blueprint for an active Australia, 2nd edition. Melbourne: National Heart Foundation of Australia, 2014. Available from: </w:t>
      </w:r>
      <w:hyperlink r:id="rId194" w:history="1">
        <w:r w:rsidRPr="005B3C51">
          <w:rPr>
            <w:rStyle w:val="Hyperlink"/>
            <w:rFonts w:ascii="Calibri" w:hAnsi="Calibri"/>
            <w:noProof/>
            <w:sz w:val="22"/>
          </w:rPr>
          <w:t>http://heartfoundation.org.au/images/uploads/publications/Blueprint-for-an-active-Australia-second-edition.pdf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109.</w:t>
      </w:r>
      <w:r w:rsidRPr="005B3C51">
        <w:rPr>
          <w:rFonts w:ascii="Calibri" w:hAnsi="Calibri"/>
          <w:noProof/>
          <w:sz w:val="22"/>
        </w:rPr>
        <w:tab/>
        <w:t xml:space="preserve">National Heart Foundation of Australia. WA's healthy active by design. Perth: Heart Foundation WA, 2013. Available from: </w:t>
      </w:r>
      <w:hyperlink r:id="rId195" w:history="1">
        <w:r w:rsidRPr="005B3C51">
          <w:rPr>
            <w:rStyle w:val="Hyperlink"/>
            <w:rFonts w:ascii="Calibri" w:hAnsi="Calibri"/>
            <w:noProof/>
            <w:sz w:val="22"/>
          </w:rPr>
          <w:t>http://www.healthyactivebydesign.com.au/</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110.</w:t>
      </w:r>
      <w:r w:rsidRPr="005B3C51">
        <w:rPr>
          <w:rFonts w:ascii="Calibri" w:hAnsi="Calibri"/>
          <w:noProof/>
          <w:sz w:val="22"/>
        </w:rPr>
        <w:tab/>
        <w:t xml:space="preserve">Kent J, Thompson S, Jalaludin B. Healthy built environments: a review of the literature. Sydney: University of NSW, 2011. Available from: </w:t>
      </w:r>
      <w:hyperlink r:id="rId196" w:history="1">
        <w:r w:rsidRPr="005B3C51">
          <w:rPr>
            <w:rStyle w:val="Hyperlink"/>
            <w:rFonts w:ascii="Calibri" w:hAnsi="Calibri"/>
            <w:noProof/>
            <w:sz w:val="22"/>
          </w:rPr>
          <w:t>http://apo.org.au/resource/healthy-built-environments-review-literature</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111.</w:t>
      </w:r>
      <w:r w:rsidRPr="005B3C51">
        <w:rPr>
          <w:rFonts w:ascii="Calibri" w:hAnsi="Calibri"/>
          <w:noProof/>
          <w:sz w:val="22"/>
        </w:rPr>
        <w:tab/>
        <w:t xml:space="preserve">Shigematsu R, Sallis JF, Conway TL, Saelens BE, Frank LD, Cain KL, et al. Age differences in the relation of perceived neighborhood environment to walking. Med Sci Sports Exerc. 2009;41(2):314-21. Available from: </w:t>
      </w:r>
      <w:hyperlink r:id="rId197" w:history="1">
        <w:r w:rsidRPr="005B3C51">
          <w:rPr>
            <w:rStyle w:val="Hyperlink"/>
            <w:rFonts w:ascii="Calibri" w:hAnsi="Calibri"/>
            <w:noProof/>
            <w:sz w:val="22"/>
          </w:rPr>
          <w:t>http://www.ncbi.nlm.nih.gov/pubmed/19127195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112.</w:t>
      </w:r>
      <w:r w:rsidRPr="005B3C51">
        <w:rPr>
          <w:rFonts w:ascii="Calibri" w:hAnsi="Calibri"/>
          <w:noProof/>
          <w:sz w:val="22"/>
        </w:rPr>
        <w:tab/>
        <w:t xml:space="preserve">Giles-Corti B, Broomhall MH, Knuiman M, Collins C, Douglas K, Ng K, et al. Increasing walking: how important is distance to attractiveness and size of public open space? Am J Prev Med. 2005;28(2):169-76. Available from: </w:t>
      </w:r>
      <w:hyperlink r:id="rId198" w:history="1">
        <w:r w:rsidRPr="005B3C51">
          <w:rPr>
            <w:rStyle w:val="Hyperlink"/>
            <w:rFonts w:ascii="Calibri" w:hAnsi="Calibri"/>
            <w:noProof/>
            <w:sz w:val="22"/>
          </w:rPr>
          <w:t>http://dx.doi.org/10.1016/j.amepre.2004.10.018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113.</w:t>
      </w:r>
      <w:r w:rsidRPr="005B3C51">
        <w:rPr>
          <w:rFonts w:ascii="Calibri" w:hAnsi="Calibri"/>
          <w:noProof/>
          <w:sz w:val="22"/>
        </w:rPr>
        <w:tab/>
        <w:t xml:space="preserve">Panter JR, Jones AP, van Sluijs EMF. Environmental determinants of active travel in youth: a review and framework for future research. Int J Behav Nutr Phys Act. 2008;5(1):34. Available from: </w:t>
      </w:r>
      <w:hyperlink r:id="rId199" w:history="1">
        <w:r w:rsidRPr="005B3C51">
          <w:rPr>
            <w:rStyle w:val="Hyperlink"/>
            <w:rFonts w:ascii="Calibri" w:hAnsi="Calibri"/>
            <w:noProof/>
            <w:sz w:val="22"/>
          </w:rPr>
          <w:t>http://dx.doi.org/10.1186/1479-5868-5-34</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114.</w:t>
      </w:r>
      <w:r w:rsidRPr="005B3C51">
        <w:rPr>
          <w:rFonts w:ascii="Calibri" w:hAnsi="Calibri"/>
          <w:noProof/>
          <w:sz w:val="22"/>
        </w:rPr>
        <w:tab/>
        <w:t xml:space="preserve">Friel S, and the Department of Epidemiology and Public Health, University College London. </w:t>
      </w:r>
      <w:r w:rsidRPr="005B3C51">
        <w:rPr>
          <w:rFonts w:ascii="Calibri" w:hAnsi="Calibri"/>
          <w:noProof/>
          <w:sz w:val="22"/>
        </w:rPr>
        <w:lastRenderedPageBreak/>
        <w:t xml:space="preserve">Health equity in Australia:  a policy framework based on action on the social determinants of obesity, alcohol and tobacco. Canberra: Australian National Preventative Health Taskforce, 2009. Available from: </w:t>
      </w:r>
      <w:hyperlink r:id="rId200" w:history="1">
        <w:r w:rsidRPr="005B3C51">
          <w:rPr>
            <w:rStyle w:val="Hyperlink"/>
            <w:rFonts w:ascii="Calibri" w:hAnsi="Calibri"/>
            <w:noProof/>
            <w:sz w:val="22"/>
          </w:rPr>
          <w:t>http://www.health.gov.au/internet/preventativehealth/publishing.nsf/content/0fbe203c1c547a82ca257529000231bf/$file/commpaper-hlth-equity-friel.pdf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115.</w:t>
      </w:r>
      <w:r w:rsidRPr="005B3C51">
        <w:rPr>
          <w:rFonts w:ascii="Calibri" w:hAnsi="Calibri"/>
          <w:noProof/>
          <w:sz w:val="22"/>
        </w:rPr>
        <w:tab/>
        <w:t xml:space="preserve">Department of Health, Government of Australia. Australia's physical activity and sedentary behaviour guidelines. Canberra: Commonwealth of Australia, 2014. Available from: </w:t>
      </w:r>
      <w:hyperlink r:id="rId201" w:history="1">
        <w:r w:rsidRPr="005B3C51">
          <w:rPr>
            <w:rStyle w:val="Hyperlink"/>
            <w:rFonts w:ascii="Calibri" w:hAnsi="Calibri"/>
            <w:noProof/>
            <w:sz w:val="22"/>
          </w:rPr>
          <w:t>http://www.health.gov.au/internet/main/publishing.nsf/content/health-pubhlth-strateg-phys-act-guidelines</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116.</w:t>
      </w:r>
      <w:r w:rsidRPr="005B3C51">
        <w:rPr>
          <w:rFonts w:ascii="Calibri" w:hAnsi="Calibri"/>
          <w:noProof/>
          <w:sz w:val="22"/>
        </w:rPr>
        <w:tab/>
        <w:t xml:space="preserve">Powell K, Paluch A, Blair S. Physical activity for health: What kind? How much? How intense? On top of what? Annu Rev Public Health. 2011;32:349-65. Available from: </w:t>
      </w:r>
      <w:hyperlink r:id="rId202" w:history="1">
        <w:r w:rsidRPr="005B3C51">
          <w:rPr>
            <w:rStyle w:val="Hyperlink"/>
            <w:rFonts w:ascii="Calibri" w:hAnsi="Calibri"/>
            <w:noProof/>
            <w:sz w:val="22"/>
          </w:rPr>
          <w:t>http://www.ncbi.nlm.nih.gov/pubmed/21128761</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117.</w:t>
      </w:r>
      <w:r w:rsidRPr="005B3C51">
        <w:rPr>
          <w:rFonts w:ascii="Calibri" w:hAnsi="Calibri"/>
          <w:noProof/>
          <w:sz w:val="22"/>
        </w:rPr>
        <w:tab/>
        <w:t xml:space="preserve">Powell K, Thompson P, Caspersen C, Kendrick J. Physical activity and the incidence of coronary heart disease. Annu Rev Public Health. 1987;8:253-87. Available from: </w:t>
      </w:r>
      <w:hyperlink r:id="rId203" w:history="1">
        <w:r w:rsidRPr="005B3C51">
          <w:rPr>
            <w:rStyle w:val="Hyperlink"/>
            <w:rFonts w:ascii="Calibri" w:hAnsi="Calibri"/>
            <w:noProof/>
            <w:sz w:val="22"/>
          </w:rPr>
          <w:t>http://www.annualreviews.org/doi/abs/10.1146/annurev.pu.08.050187.001345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118.</w:t>
      </w:r>
      <w:r w:rsidRPr="005B3C51">
        <w:rPr>
          <w:rFonts w:ascii="Calibri" w:hAnsi="Calibri"/>
          <w:noProof/>
          <w:sz w:val="22"/>
        </w:rPr>
        <w:tab/>
        <w:t xml:space="preserve">Hands B. How fundamental are fundamental movement skills. Active and Healthy Magazine. 2012;19(1):14-7. Available from: </w:t>
      </w:r>
      <w:hyperlink r:id="rId204" w:history="1">
        <w:r w:rsidRPr="005B3C51">
          <w:rPr>
            <w:rStyle w:val="Hyperlink"/>
            <w:rFonts w:ascii="Calibri" w:hAnsi="Calibri"/>
            <w:noProof/>
            <w:sz w:val="22"/>
          </w:rPr>
          <w:t>http://researchonline.nd.edu.au/cgi/viewcontent.cgi?article=1066&amp;context=health_article</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119.</w:t>
      </w:r>
      <w:r w:rsidRPr="005B3C51">
        <w:rPr>
          <w:rFonts w:ascii="Calibri" w:hAnsi="Calibri"/>
          <w:noProof/>
          <w:sz w:val="22"/>
        </w:rPr>
        <w:tab/>
        <w:t xml:space="preserve">World Health Organization. WHO global report on falls prevention in older age. Geneva: World Health Organization, 2007. Available from: </w:t>
      </w:r>
      <w:hyperlink r:id="rId205" w:history="1">
        <w:r w:rsidRPr="005B3C51">
          <w:rPr>
            <w:rStyle w:val="Hyperlink"/>
            <w:rFonts w:ascii="Calibri" w:hAnsi="Calibri"/>
            <w:noProof/>
            <w:sz w:val="22"/>
          </w:rPr>
          <w:t>http://www.who.int/ageing/publications/Falls_prevention7March.pdf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120.</w:t>
      </w:r>
      <w:r w:rsidRPr="005B3C51">
        <w:rPr>
          <w:rFonts w:ascii="Calibri" w:hAnsi="Calibri"/>
          <w:noProof/>
          <w:sz w:val="22"/>
        </w:rPr>
        <w:tab/>
        <w:t xml:space="preserve">Brown W, Bauman A, Bull F, Burton N. Development of evidence-based physical activity recommendations for adults (18-64 years). Canberra: Commonwealth of Australia, 2012. Available from: </w:t>
      </w:r>
      <w:hyperlink r:id="rId206" w:history="1">
        <w:r w:rsidRPr="005B3C51">
          <w:rPr>
            <w:rStyle w:val="Hyperlink"/>
            <w:rFonts w:ascii="Calibri" w:hAnsi="Calibri"/>
            <w:noProof/>
            <w:sz w:val="22"/>
          </w:rPr>
          <w:t>http://www.health.gov.au/internet/main/publishing.nsf/Content/health-pubhlth-strateg-phys-act-guidelines/$File/DEB-PAR-Adults-18-64years.pdf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121.</w:t>
      </w:r>
      <w:r w:rsidRPr="005B3C51">
        <w:rPr>
          <w:rFonts w:ascii="Calibri" w:hAnsi="Calibri"/>
          <w:noProof/>
          <w:sz w:val="22"/>
        </w:rPr>
        <w:tab/>
        <w:t xml:space="preserve">World Obesity Federation. Lancet Commission on Obesity.  London: The Lancet; 2015; Available from: </w:t>
      </w:r>
      <w:hyperlink r:id="rId207" w:history="1">
        <w:r w:rsidRPr="005B3C51">
          <w:rPr>
            <w:rStyle w:val="Hyperlink"/>
            <w:rFonts w:ascii="Calibri" w:hAnsi="Calibri"/>
            <w:noProof/>
            <w:sz w:val="22"/>
          </w:rPr>
          <w:t>http://www.worldobesity.org/what-we-do/lancetcommission/lancet-background/</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122.</w:t>
      </w:r>
      <w:r w:rsidRPr="005B3C51">
        <w:rPr>
          <w:rFonts w:ascii="Calibri" w:hAnsi="Calibri"/>
          <w:noProof/>
          <w:sz w:val="22"/>
        </w:rPr>
        <w:tab/>
        <w:t xml:space="preserve">Australian Bureau of Statistics. Australian Health Survey: nutrition - state and territory results, 2011-12. Canberra: Australian Bureau of Statistics, 2015. Available from: </w:t>
      </w:r>
      <w:hyperlink r:id="rId208" w:history="1">
        <w:r w:rsidRPr="005B3C51">
          <w:rPr>
            <w:rStyle w:val="Hyperlink"/>
            <w:rFonts w:ascii="Calibri" w:hAnsi="Calibri"/>
            <w:noProof/>
            <w:sz w:val="22"/>
          </w:rPr>
          <w:t>http://www.abs.gov.au/AUSSTATS/abs@.nsf/DetailsPage/4364.0.55.0092011-12?OpenDocument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123.</w:t>
      </w:r>
      <w:r w:rsidRPr="005B3C51">
        <w:rPr>
          <w:rFonts w:ascii="Calibri" w:hAnsi="Calibri"/>
          <w:noProof/>
          <w:sz w:val="22"/>
        </w:rPr>
        <w:tab/>
        <w:t xml:space="preserve">Egger G, Swinburn B. An "ecological" approach to the obesity pandemic. BMJ. 1997;315(7106):477-80. Available from: </w:t>
      </w:r>
      <w:hyperlink r:id="rId209" w:history="1">
        <w:r w:rsidRPr="005B3C51">
          <w:rPr>
            <w:rStyle w:val="Hyperlink"/>
            <w:rFonts w:ascii="Calibri" w:hAnsi="Calibri"/>
            <w:noProof/>
            <w:sz w:val="22"/>
          </w:rPr>
          <w:t>http://dx.doi.org/10.1136/bmj.315.7106.477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124.</w:t>
      </w:r>
      <w:r w:rsidRPr="005B3C51">
        <w:rPr>
          <w:rFonts w:ascii="Calibri" w:hAnsi="Calibri"/>
          <w:noProof/>
          <w:sz w:val="22"/>
        </w:rPr>
        <w:tab/>
        <w:t xml:space="preserve">Cairns G, Angus K, Hastings G. The extent, nature and effects of food promotion to children.  A review of the evidence to December 2008. Geneva: World Health Organization, 2009. Available from: </w:t>
      </w:r>
      <w:hyperlink r:id="rId210" w:history="1">
        <w:r w:rsidRPr="005B3C51">
          <w:rPr>
            <w:rStyle w:val="Hyperlink"/>
            <w:rFonts w:ascii="Calibri" w:hAnsi="Calibri"/>
            <w:noProof/>
            <w:sz w:val="22"/>
          </w:rPr>
          <w:t>http://www.who.int/dietphysicalactivity/Evidence_Update_2009.pdf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125.</w:t>
      </w:r>
      <w:r w:rsidRPr="005B3C51">
        <w:rPr>
          <w:rFonts w:ascii="Calibri" w:hAnsi="Calibri"/>
          <w:noProof/>
          <w:sz w:val="22"/>
        </w:rPr>
        <w:tab/>
        <w:t xml:space="preserve">Kelly B, Chapman K, King L, Hebden L. Trends in food advertising to children on free-to-air television in Australia. Aust N Z J Publ Health. 2011;35:131–4. Available from: </w:t>
      </w:r>
      <w:hyperlink r:id="rId211" w:history="1">
        <w:r w:rsidRPr="005B3C51">
          <w:rPr>
            <w:rStyle w:val="Hyperlink"/>
            <w:rFonts w:ascii="Calibri" w:hAnsi="Calibri"/>
            <w:noProof/>
            <w:sz w:val="22"/>
          </w:rPr>
          <w:t>http://www.ncbi.nlm.nih.gov/pubmed/21463408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126.</w:t>
      </w:r>
      <w:r w:rsidRPr="005B3C51">
        <w:rPr>
          <w:rFonts w:ascii="Calibri" w:hAnsi="Calibri"/>
          <w:noProof/>
          <w:sz w:val="22"/>
        </w:rPr>
        <w:tab/>
        <w:t xml:space="preserve">Kelly B, Bochynska K, Kornman K, Chapman K. Internet food marketing on popular children’s websites and food product websites in Australia. Public Health Nutr. 2008;11:1180– 7. Available from: </w:t>
      </w:r>
      <w:hyperlink r:id="rId212" w:history="1">
        <w:r w:rsidRPr="005B3C51">
          <w:rPr>
            <w:rStyle w:val="Hyperlink"/>
            <w:rFonts w:ascii="Calibri" w:hAnsi="Calibri"/>
            <w:noProof/>
            <w:sz w:val="22"/>
          </w:rPr>
          <w:t>http://www.ncbi.nlm.nih.gov/pubmed/18298882</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127.</w:t>
      </w:r>
      <w:r w:rsidRPr="005B3C51">
        <w:rPr>
          <w:rFonts w:ascii="Calibri" w:hAnsi="Calibri"/>
          <w:noProof/>
          <w:sz w:val="22"/>
        </w:rPr>
        <w:tab/>
        <w:t xml:space="preserve">World Health Organization. Using price policies to promote healthier diets. Geneva: World Health Organization, 2015. Available from: </w:t>
      </w:r>
      <w:hyperlink r:id="rId213" w:history="1">
        <w:r w:rsidRPr="005B3C51">
          <w:rPr>
            <w:rStyle w:val="Hyperlink"/>
            <w:rFonts w:ascii="Calibri" w:hAnsi="Calibri"/>
            <w:noProof/>
            <w:sz w:val="22"/>
          </w:rPr>
          <w:t>http://www.euro.who.int/en/publications/abstracts/using-price-policies-to-promote-healthier-diets-2015</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128.</w:t>
      </w:r>
      <w:r w:rsidRPr="005B3C51">
        <w:rPr>
          <w:rFonts w:ascii="Calibri" w:hAnsi="Calibri"/>
          <w:noProof/>
          <w:sz w:val="22"/>
        </w:rPr>
        <w:tab/>
        <w:t xml:space="preserve">Veerman J, Sacks G, Antonopoulos N, Martin J. The impact of a tax on sugar-sweetened beverages on health and health care costs: A modelling study. PloS ONE. 2016;11:e0151460. Available from: </w:t>
      </w:r>
      <w:hyperlink r:id="rId214" w:history="1">
        <w:r w:rsidRPr="005B3C51">
          <w:rPr>
            <w:rStyle w:val="Hyperlink"/>
            <w:rFonts w:ascii="Calibri" w:hAnsi="Calibri"/>
            <w:noProof/>
            <w:sz w:val="22"/>
          </w:rPr>
          <w:t>http://journals.plos.org/plosone/article?id=10.1371/journal.pone.0151460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129.</w:t>
      </w:r>
      <w:r w:rsidRPr="005B3C51">
        <w:rPr>
          <w:rFonts w:ascii="Calibri" w:hAnsi="Calibri"/>
          <w:noProof/>
          <w:sz w:val="22"/>
        </w:rPr>
        <w:tab/>
        <w:t xml:space="preserve">World Health Organization. WHO growth charts: child growth standards.  Geneva: World </w:t>
      </w:r>
      <w:r w:rsidRPr="005B3C51">
        <w:rPr>
          <w:rFonts w:ascii="Calibri" w:hAnsi="Calibri"/>
          <w:noProof/>
          <w:sz w:val="22"/>
        </w:rPr>
        <w:lastRenderedPageBreak/>
        <w:t xml:space="preserve">Health Organization; 2016; Available from: </w:t>
      </w:r>
      <w:hyperlink r:id="rId215" w:history="1">
        <w:r w:rsidRPr="005B3C51">
          <w:rPr>
            <w:rStyle w:val="Hyperlink"/>
            <w:rFonts w:ascii="Calibri" w:hAnsi="Calibri"/>
            <w:noProof/>
            <w:sz w:val="22"/>
          </w:rPr>
          <w:t>http://www.who.int/childgrowth/en/</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130.</w:t>
      </w:r>
      <w:r w:rsidRPr="005B3C51">
        <w:rPr>
          <w:rFonts w:ascii="Calibri" w:hAnsi="Calibri"/>
          <w:noProof/>
          <w:sz w:val="22"/>
        </w:rPr>
        <w:tab/>
        <w:t xml:space="preserve">Centers for Disease Control and Prevention. CDC growth charts.  Atlanta: Centers for Disease Control and Prevention; 2010; Available from: </w:t>
      </w:r>
      <w:hyperlink r:id="rId216" w:history="1">
        <w:r w:rsidRPr="005B3C51">
          <w:rPr>
            <w:rStyle w:val="Hyperlink"/>
            <w:rFonts w:ascii="Calibri" w:hAnsi="Calibri"/>
            <w:noProof/>
            <w:sz w:val="22"/>
          </w:rPr>
          <w:t>http://www.cdc.gov/growthcharts/cdc_charts.htm</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131.</w:t>
      </w:r>
      <w:r w:rsidRPr="005B3C51">
        <w:rPr>
          <w:rFonts w:ascii="Calibri" w:hAnsi="Calibri"/>
          <w:noProof/>
          <w:sz w:val="22"/>
        </w:rPr>
        <w:tab/>
        <w:t xml:space="preserve">Singh A, Mulder C, Twisk J, van Mechelen W, Chinapaw M. Tracking of childhood overweight into adulthood: a systematic review of the literature. Obesity Reviews. 2008;9:474-88. Available from: </w:t>
      </w:r>
      <w:hyperlink r:id="rId217" w:history="1">
        <w:r w:rsidRPr="005B3C51">
          <w:rPr>
            <w:rStyle w:val="Hyperlink"/>
            <w:rFonts w:ascii="Calibri" w:hAnsi="Calibri"/>
            <w:noProof/>
            <w:sz w:val="22"/>
          </w:rPr>
          <w:t>http://www.ncbi.nlm.nih.gov/pubmed/18331423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132.</w:t>
      </w:r>
      <w:r w:rsidRPr="005B3C51">
        <w:rPr>
          <w:rFonts w:ascii="Calibri" w:hAnsi="Calibri"/>
          <w:noProof/>
          <w:sz w:val="22"/>
        </w:rPr>
        <w:tab/>
        <w:t xml:space="preserve">Must A, Strauss R. Risks and consequences of childhood and adolescent obesity. Int J Obes Relat Metab Disord. 1999;23(S2):S2–S11. Available from: </w:t>
      </w:r>
      <w:hyperlink r:id="rId218" w:history="1">
        <w:r w:rsidRPr="005B3C51">
          <w:rPr>
            <w:rStyle w:val="Hyperlink"/>
            <w:rFonts w:ascii="Calibri" w:hAnsi="Calibri"/>
            <w:noProof/>
            <w:sz w:val="22"/>
          </w:rPr>
          <w:t>http://www.ncbi.nlm.nih.gov/pubmed/10340798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133.</w:t>
      </w:r>
      <w:r w:rsidRPr="005B3C51">
        <w:rPr>
          <w:rFonts w:ascii="Calibri" w:hAnsi="Calibri"/>
          <w:noProof/>
          <w:sz w:val="22"/>
        </w:rPr>
        <w:tab/>
        <w:t xml:space="preserve">Kleinert S, Horton R. Rethinking and reframing obesity. The Lancet. 2015;385:2326-8. Available from: </w:t>
      </w:r>
      <w:hyperlink r:id="rId219" w:history="1">
        <w:r w:rsidRPr="005B3C51">
          <w:rPr>
            <w:rStyle w:val="Hyperlink"/>
            <w:rFonts w:ascii="Calibri" w:hAnsi="Calibri"/>
            <w:noProof/>
            <w:sz w:val="22"/>
          </w:rPr>
          <w:t>http://www.thelancet.com/journals/lancet/article/PIIS0140-6736(15)60163-5/abstract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134.</w:t>
      </w:r>
      <w:r w:rsidRPr="005B3C51">
        <w:rPr>
          <w:rFonts w:ascii="Calibri" w:hAnsi="Calibri"/>
          <w:noProof/>
          <w:sz w:val="22"/>
        </w:rPr>
        <w:tab/>
        <w:t xml:space="preserve">Donath S. Who's overweight? Comparison of the medical definition and community views. Med J Aust. 2000;172(8):375-7. Available from: </w:t>
      </w:r>
      <w:hyperlink r:id="rId220" w:history="1">
        <w:r w:rsidRPr="005B3C51">
          <w:rPr>
            <w:rStyle w:val="Hyperlink"/>
            <w:rFonts w:ascii="Calibri" w:hAnsi="Calibri"/>
            <w:noProof/>
            <w:sz w:val="22"/>
          </w:rPr>
          <w:t>http://www.ncbi.nlm.nih.gov/pubmed/10840489</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135.</w:t>
      </w:r>
      <w:r w:rsidRPr="005B3C51">
        <w:rPr>
          <w:rFonts w:ascii="Calibri" w:hAnsi="Calibri"/>
          <w:noProof/>
          <w:sz w:val="22"/>
        </w:rPr>
        <w:tab/>
        <w:t xml:space="preserve">Merema MR, Sullivan DL, Pollard CM, Abraham JA, Tomlin SM, Radomiljac AL. Parents' perception of their child's weight status and intention to intervene: a Western Australian cross-sectional population survey, 2009-12. Aust N Z J Publ Health. 2015 2015/11/11;40(1):68-70. Available from: </w:t>
      </w:r>
      <w:hyperlink r:id="rId221" w:history="1">
        <w:r w:rsidRPr="005B3C51">
          <w:rPr>
            <w:rStyle w:val="Hyperlink"/>
            <w:rFonts w:ascii="Calibri" w:hAnsi="Calibri"/>
            <w:noProof/>
            <w:sz w:val="22"/>
          </w:rPr>
          <w:t>http://dx.doi.org/10.1111/1753-6405.12483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136.</w:t>
      </w:r>
      <w:r w:rsidRPr="005B3C51">
        <w:rPr>
          <w:rFonts w:ascii="Calibri" w:hAnsi="Calibri"/>
          <w:noProof/>
          <w:sz w:val="22"/>
        </w:rPr>
        <w:tab/>
        <w:t xml:space="preserve">Buunk B, Gibbons F, Reis-Bergan M. Social comparison in health and illness: a historical overview. In: Gibbons F, Buunk A, editors. Health, coping and well-being: perspectives from Social Comparison Theory. New York: Psychology Press; 2013. </w:t>
      </w:r>
    </w:p>
    <w:p w:rsidR="005B3C51" w:rsidRPr="005B3C51" w:rsidRDefault="005B3C51" w:rsidP="005B3C51">
      <w:pPr>
        <w:ind w:left="720" w:hanging="720"/>
        <w:rPr>
          <w:rFonts w:ascii="Calibri" w:hAnsi="Calibri"/>
          <w:noProof/>
          <w:sz w:val="22"/>
        </w:rPr>
      </w:pPr>
      <w:r w:rsidRPr="005B3C51">
        <w:rPr>
          <w:rFonts w:ascii="Calibri" w:hAnsi="Calibri"/>
          <w:noProof/>
          <w:sz w:val="22"/>
        </w:rPr>
        <w:t>137.</w:t>
      </w:r>
      <w:r w:rsidRPr="005B3C51">
        <w:rPr>
          <w:rFonts w:ascii="Calibri" w:hAnsi="Calibri"/>
          <w:noProof/>
          <w:sz w:val="22"/>
        </w:rPr>
        <w:tab/>
        <w:t xml:space="preserve">Guh D, Zhang W, Bansback N, et al. The incidence of co-morbidities related to obesity and overweight: a systematic review and meta-analysis. BMC Public Health. 2009;9:Article no. 88. Available from: </w:t>
      </w:r>
      <w:hyperlink r:id="rId222" w:history="1">
        <w:r w:rsidRPr="005B3C51">
          <w:rPr>
            <w:rStyle w:val="Hyperlink"/>
            <w:rFonts w:ascii="Calibri" w:hAnsi="Calibri"/>
            <w:noProof/>
            <w:sz w:val="22"/>
          </w:rPr>
          <w:t>http://bmcpublichealth.biomedcentral.com/articles/10.1186/1471-2458-9-88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138.</w:t>
      </w:r>
      <w:r w:rsidRPr="005B3C51">
        <w:rPr>
          <w:rFonts w:ascii="Calibri" w:hAnsi="Calibri"/>
          <w:noProof/>
          <w:sz w:val="22"/>
        </w:rPr>
        <w:tab/>
        <w:t xml:space="preserve">National Health and Medical Research Council. Clinical practice guidelines for the management of overweight and obesity in adults, adolescents and children in Australia. Melbourne: National Health and Medical Research Council, 2013. Available from: </w:t>
      </w:r>
      <w:hyperlink r:id="rId223" w:history="1">
        <w:r w:rsidRPr="005B3C51">
          <w:rPr>
            <w:rStyle w:val="Hyperlink"/>
            <w:rFonts w:ascii="Calibri" w:hAnsi="Calibri"/>
            <w:noProof/>
            <w:sz w:val="22"/>
          </w:rPr>
          <w:t>http://www.nhmrc.gov.au/guidelines-publications/n57</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139.</w:t>
      </w:r>
      <w:r w:rsidRPr="005B3C51">
        <w:rPr>
          <w:rFonts w:ascii="Calibri" w:hAnsi="Calibri"/>
          <w:noProof/>
          <w:sz w:val="22"/>
        </w:rPr>
        <w:tab/>
        <w:t xml:space="preserve">Banks E, Joshy G, Weber MF, Liu B, Grenfell R, Egger S, et al. Tobacco smoking and all-cause mortality in a large Australian cohort study: findings from a mature epidemic with current low smoking prevalence. BMC Med. 2015;13(1):38. Available from: </w:t>
      </w:r>
      <w:hyperlink r:id="rId224" w:history="1">
        <w:r w:rsidRPr="005B3C51">
          <w:rPr>
            <w:rStyle w:val="Hyperlink"/>
            <w:rFonts w:ascii="Calibri" w:hAnsi="Calibri"/>
            <w:noProof/>
            <w:sz w:val="22"/>
          </w:rPr>
          <w:t>http://dx.doi.org/10.1186/s12916-015-0281-z</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140.</w:t>
      </w:r>
      <w:r w:rsidRPr="005B3C51">
        <w:rPr>
          <w:rFonts w:ascii="Calibri" w:hAnsi="Calibri"/>
          <w:noProof/>
          <w:sz w:val="22"/>
        </w:rPr>
        <w:tab/>
        <w:t xml:space="preserve">Department of Health, Western Australia. Australian Secondary Students’ Alcohol and Drug Survey 2014: Western Australian results: tobacco.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141.</w:t>
      </w:r>
      <w:r w:rsidRPr="005B3C51">
        <w:rPr>
          <w:rFonts w:ascii="Calibri" w:hAnsi="Calibri"/>
          <w:noProof/>
          <w:sz w:val="22"/>
        </w:rPr>
        <w:tab/>
        <w:t xml:space="preserve">Australian Bureau of Statistics. 4727.0.55.006 - Australian Aboriginal and Torres Strait Islander Health Survey: Updated Results, 2012–13. Canberra: ABS, 2014. Available from: </w:t>
      </w:r>
      <w:hyperlink r:id="rId225" w:history="1">
        <w:r w:rsidRPr="005B3C51">
          <w:rPr>
            <w:rStyle w:val="Hyperlink"/>
            <w:rFonts w:ascii="Calibri" w:hAnsi="Calibri"/>
            <w:noProof/>
            <w:sz w:val="22"/>
          </w:rPr>
          <w:t>http://www.abs.gov.au/ausstats/abs@.nsf/Lookup/by%20Subject/4727.0.55.006~2012%E2%80%9313~Main%20Features~Selected%20health%20risk%20factors~11</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142.</w:t>
      </w:r>
      <w:r w:rsidRPr="005B3C51">
        <w:rPr>
          <w:rFonts w:ascii="Calibri" w:hAnsi="Calibri"/>
          <w:noProof/>
          <w:sz w:val="22"/>
        </w:rPr>
        <w:tab/>
        <w:t xml:space="preserve">Australian Institute of Health and Welfare. National Drug Strategy Household Survey detailed report 2013. Drug statistics series no. 28. Cat. no. PHE 283. Canberra: Australian Institute of Health and Welfare, 2014. Available from: </w:t>
      </w:r>
      <w:hyperlink r:id="rId226" w:history="1">
        <w:r w:rsidRPr="005B3C51">
          <w:rPr>
            <w:rStyle w:val="Hyperlink"/>
            <w:rFonts w:ascii="Calibri" w:hAnsi="Calibri"/>
            <w:noProof/>
            <w:sz w:val="22"/>
          </w:rPr>
          <w:t>http://www.aihw.gov.au/WorkArea/DownloadAsset.aspx?id=60129549848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143.</w:t>
      </w:r>
      <w:r w:rsidRPr="005B3C51">
        <w:rPr>
          <w:rFonts w:ascii="Calibri" w:hAnsi="Calibri"/>
          <w:noProof/>
          <w:sz w:val="22"/>
        </w:rPr>
        <w:tab/>
        <w:t xml:space="preserve">Butler T, Papanastasiou C. National Prison Entrants' Bloodborne Virus and Risk Behaviour Survey report, 2004 and 2007: National Drug Research Institute, Curtin University, and National Centre in HIV Epidemiology and Clinical Research, University of New South Wales, 2008. Available from: </w:t>
      </w:r>
      <w:hyperlink r:id="rId227" w:history="1">
        <w:r w:rsidRPr="005B3C51">
          <w:rPr>
            <w:rStyle w:val="Hyperlink"/>
            <w:rFonts w:ascii="Calibri" w:hAnsi="Calibri"/>
            <w:noProof/>
            <w:sz w:val="22"/>
          </w:rPr>
          <w:t>http://ndri.curtin.edu.au/local/docs/pdf/publications/R223.pdf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144.</w:t>
      </w:r>
      <w:r w:rsidRPr="005B3C51">
        <w:rPr>
          <w:rFonts w:ascii="Calibri" w:hAnsi="Calibri"/>
          <w:noProof/>
          <w:sz w:val="22"/>
        </w:rPr>
        <w:tab/>
        <w:t xml:space="preserve">Australian Institute of Health and Welfare. National Drug Strategy Household Survey detailed </w:t>
      </w:r>
      <w:r w:rsidRPr="005B3C51">
        <w:rPr>
          <w:rFonts w:ascii="Calibri" w:hAnsi="Calibri"/>
          <w:noProof/>
          <w:sz w:val="22"/>
        </w:rPr>
        <w:lastRenderedPageBreak/>
        <w:t xml:space="preserve">report 2013. Supplementary tables. Specific population groups tables. Canberra: Australian Institute of Health and Welfare, 2013. Available from: </w:t>
      </w:r>
      <w:hyperlink r:id="rId228" w:history="1">
        <w:r w:rsidRPr="005B3C51">
          <w:rPr>
            <w:rStyle w:val="Hyperlink"/>
            <w:rFonts w:ascii="Calibri" w:hAnsi="Calibri"/>
            <w:noProof/>
            <w:sz w:val="22"/>
          </w:rPr>
          <w:t>http://www.aihw.gov.au/publication-detail/?id=%2060129549469&amp;tab=3</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145.</w:t>
      </w:r>
      <w:r w:rsidRPr="005B3C51">
        <w:rPr>
          <w:rFonts w:ascii="Calibri" w:hAnsi="Calibri"/>
          <w:noProof/>
          <w:sz w:val="22"/>
        </w:rPr>
        <w:tab/>
        <w:t xml:space="preserve">Australian Institute of Health and Welfare. Perinatal data portal. Smoking. Canberra: Australian Institute of Health and Welfare, 2015. </w:t>
      </w:r>
    </w:p>
    <w:p w:rsidR="005B3C51" w:rsidRPr="005B3C51" w:rsidRDefault="005B3C51" w:rsidP="005B3C51">
      <w:pPr>
        <w:ind w:left="720" w:hanging="720"/>
        <w:rPr>
          <w:rFonts w:ascii="Calibri" w:hAnsi="Calibri"/>
          <w:noProof/>
          <w:sz w:val="22"/>
        </w:rPr>
      </w:pPr>
      <w:r w:rsidRPr="005B3C51">
        <w:rPr>
          <w:rFonts w:ascii="Calibri" w:hAnsi="Calibri"/>
          <w:noProof/>
          <w:sz w:val="22"/>
        </w:rPr>
        <w:t>146.</w:t>
      </w:r>
      <w:r w:rsidRPr="005B3C51">
        <w:rPr>
          <w:rFonts w:ascii="Calibri" w:hAnsi="Calibri"/>
          <w:noProof/>
          <w:sz w:val="22"/>
        </w:rPr>
        <w:tab/>
        <w:t xml:space="preserve">Winstanley M. Chapter 3 . The health effects of active smoking. In: Winstanley M, Scollo M, editors. Tobacco in Australia: facts and issues. Melbourne: Cancer Council Victoria. Available from: </w:t>
      </w:r>
      <w:hyperlink r:id="rId229" w:history="1">
        <w:r w:rsidRPr="005B3C51">
          <w:rPr>
            <w:rStyle w:val="Hyperlink"/>
            <w:rFonts w:ascii="Calibri" w:hAnsi="Calibri"/>
            <w:noProof/>
            <w:sz w:val="22"/>
          </w:rPr>
          <w:t>http://www.tobaccoinaustralia.org.au/chapter-3-health-effects</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147.</w:t>
      </w:r>
      <w:r w:rsidRPr="005B3C51">
        <w:rPr>
          <w:rFonts w:ascii="Calibri" w:hAnsi="Calibri"/>
          <w:noProof/>
          <w:sz w:val="22"/>
        </w:rPr>
        <w:tab/>
        <w:t xml:space="preserve">Intergovernmental Committee on Drugs. National Tobacco Strategy 2012–2018. Canberra: Department of Health and Ageing, 2012. Available from: </w:t>
      </w:r>
      <w:hyperlink r:id="rId230" w:history="1">
        <w:r w:rsidRPr="005B3C51">
          <w:rPr>
            <w:rStyle w:val="Hyperlink"/>
            <w:rFonts w:ascii="Calibri" w:hAnsi="Calibri"/>
            <w:noProof/>
            <w:sz w:val="22"/>
          </w:rPr>
          <w:t>http://www.nationaldrugstrategy.gov.au/internet/drugstrategy/publishing.nsf/Content/national_ts_2012_2018</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148.</w:t>
      </w:r>
      <w:r w:rsidRPr="005B3C51">
        <w:rPr>
          <w:rFonts w:ascii="Calibri" w:hAnsi="Calibri"/>
          <w:noProof/>
          <w:sz w:val="22"/>
        </w:rPr>
        <w:tab/>
        <w:t xml:space="preserve">World Health Organization. Framework Convention on Tobacco Control. Geneva: World Health Organization, 2003. Available from: </w:t>
      </w:r>
      <w:hyperlink r:id="rId231" w:history="1">
        <w:r w:rsidRPr="005B3C51">
          <w:rPr>
            <w:rStyle w:val="Hyperlink"/>
            <w:rFonts w:ascii="Calibri" w:hAnsi="Calibri"/>
            <w:noProof/>
            <w:sz w:val="22"/>
          </w:rPr>
          <w:t>http://www.who.int/fctc/text_download/en/index.html</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149.</w:t>
      </w:r>
      <w:r w:rsidRPr="005B3C51">
        <w:rPr>
          <w:rFonts w:ascii="Calibri" w:hAnsi="Calibri"/>
          <w:noProof/>
          <w:sz w:val="22"/>
        </w:rPr>
        <w:tab/>
        <w:t xml:space="preserve">National Cancer Institute. The role of the media in promoting and reducing tobacco use. Tobacco control monograph no. 19. Bethesda, MD: US Department of Health and Human Services, National Institutes of Health, National Cancer Institute, 2008. Available from: </w:t>
      </w:r>
      <w:hyperlink r:id="rId232" w:history="1">
        <w:r w:rsidRPr="005B3C51">
          <w:rPr>
            <w:rStyle w:val="Hyperlink"/>
            <w:rFonts w:ascii="Calibri" w:hAnsi="Calibri"/>
            <w:noProof/>
            <w:sz w:val="22"/>
          </w:rPr>
          <w:t>http://cancercontrol.cancer.gov/brp/tcrb/monographs/19/m19_complete.pdf?bcsi_scan_2F83426B613409AB=S8WEo/BOq+mL0blS6lI+fJ0eW7gUAAAADweDeA==&amp;bcsi_scan_filename=m19_complete.pdf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150.</w:t>
      </w:r>
      <w:r w:rsidRPr="005B3C51">
        <w:rPr>
          <w:rFonts w:ascii="Calibri" w:hAnsi="Calibri"/>
          <w:noProof/>
          <w:sz w:val="22"/>
        </w:rPr>
        <w:tab/>
        <w:t xml:space="preserve">Frazer K, Callinan JE, McHugh J, van Baarsel S, Clarke A, Doherty K, et al. Legislative smoking bans for reducing harms from secondhand smoke exposure, smoking prevalence and tobacco consumption. Cochrane Database of Systematic Reviews. 2016:Article no. CD005992. Available from: </w:t>
      </w:r>
      <w:hyperlink r:id="rId233" w:history="1">
        <w:r w:rsidRPr="005B3C51">
          <w:rPr>
            <w:rStyle w:val="Hyperlink"/>
            <w:rFonts w:ascii="Calibri" w:hAnsi="Calibri"/>
            <w:noProof/>
            <w:sz w:val="22"/>
          </w:rPr>
          <w:t>http://onlinelibrary.wiley.com/doi/10.1002/14651858.CD005992.pub3/epdf/abstract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151.</w:t>
      </w:r>
      <w:r w:rsidRPr="005B3C51">
        <w:rPr>
          <w:rFonts w:ascii="Calibri" w:hAnsi="Calibri"/>
          <w:noProof/>
          <w:sz w:val="22"/>
        </w:rPr>
        <w:tab/>
        <w:t xml:space="preserve">Queensland Health. Review of smokefree laws: discussion paper. Brisbane: Queensland Health, 2007. </w:t>
      </w:r>
    </w:p>
    <w:p w:rsidR="005B3C51" w:rsidRPr="005B3C51" w:rsidRDefault="005B3C51" w:rsidP="005B3C51">
      <w:pPr>
        <w:ind w:left="720" w:hanging="720"/>
        <w:rPr>
          <w:rFonts w:ascii="Calibri" w:hAnsi="Calibri"/>
          <w:noProof/>
          <w:sz w:val="22"/>
        </w:rPr>
      </w:pPr>
      <w:r w:rsidRPr="005B3C51">
        <w:rPr>
          <w:rFonts w:ascii="Calibri" w:hAnsi="Calibri"/>
          <w:noProof/>
          <w:sz w:val="22"/>
        </w:rPr>
        <w:t>152.</w:t>
      </w:r>
      <w:r w:rsidRPr="005B3C51">
        <w:rPr>
          <w:rFonts w:ascii="Calibri" w:hAnsi="Calibri"/>
          <w:noProof/>
          <w:sz w:val="22"/>
        </w:rPr>
        <w:tab/>
        <w:t xml:space="preserve">Thomas DP, Davey ME, Briggs VL, Borland R. Talking About The Smokes: summary and key findings. Med J Aust. 2015;202(10):3-4. Available from: </w:t>
      </w:r>
      <w:hyperlink r:id="rId234" w:history="1">
        <w:r w:rsidRPr="005B3C51">
          <w:rPr>
            <w:rStyle w:val="Hyperlink"/>
            <w:rFonts w:ascii="Calibri" w:hAnsi="Calibri"/>
            <w:noProof/>
            <w:sz w:val="22"/>
          </w:rPr>
          <w:t>http://dx.doi.org/10.5694/mja15.00464</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153.</w:t>
      </w:r>
      <w:r w:rsidRPr="005B3C51">
        <w:rPr>
          <w:rFonts w:ascii="Calibri" w:hAnsi="Calibri"/>
          <w:noProof/>
          <w:sz w:val="22"/>
        </w:rPr>
        <w:tab/>
        <w:t xml:space="preserve">Cancer Council Victoria. Smoking and disadvantage: an evidence brief. Canberra: Australian National Preventive Health Agency, 2013. Available from: </w:t>
      </w:r>
      <w:hyperlink r:id="rId235" w:history="1">
        <w:r w:rsidRPr="005B3C51">
          <w:rPr>
            <w:rStyle w:val="Hyperlink"/>
            <w:rFonts w:ascii="Calibri" w:hAnsi="Calibri"/>
            <w:noProof/>
            <w:sz w:val="22"/>
          </w:rPr>
          <w:t>http://www.health.gov.au/internet/anpha/publishing.nsf/Content/667CA10FF85FD2CDCA257B8C0031F7D3/$File/Screen%20res-Smoking&amp;Disad_ev%20brief.pdf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154.</w:t>
      </w:r>
      <w:r w:rsidRPr="005B3C51">
        <w:rPr>
          <w:rFonts w:ascii="Calibri" w:hAnsi="Calibri"/>
          <w:noProof/>
          <w:sz w:val="22"/>
        </w:rPr>
        <w:tab/>
        <w:t>Ipsos-Eureka Social Research Institute. Public health value of disclosed cigarette ingredients and emissions data. Prepared for the Department of Health and Ageing. Ipsos-Eureka Project 4241, January 2009. Sydney: Ipsos-Eureka Social Research Institute, 2009. Available from: file:///C:/Users/he55179/Downloads/phv-cig-ing-em-data.pdf</w:t>
      </w:r>
    </w:p>
    <w:p w:rsidR="005B3C51" w:rsidRPr="005B3C51" w:rsidRDefault="005B3C51" w:rsidP="005B3C51">
      <w:pPr>
        <w:ind w:left="720" w:hanging="720"/>
        <w:rPr>
          <w:rFonts w:ascii="Calibri" w:hAnsi="Calibri"/>
          <w:noProof/>
          <w:sz w:val="22"/>
        </w:rPr>
      </w:pPr>
      <w:r w:rsidRPr="005B3C51">
        <w:rPr>
          <w:rFonts w:ascii="Calibri" w:hAnsi="Calibri"/>
          <w:noProof/>
          <w:sz w:val="22"/>
        </w:rPr>
        <w:t>155.</w:t>
      </w:r>
      <w:r w:rsidRPr="005B3C51">
        <w:rPr>
          <w:rFonts w:ascii="Calibri" w:hAnsi="Calibri"/>
          <w:noProof/>
          <w:sz w:val="22"/>
        </w:rPr>
        <w:tab/>
        <w:t xml:space="preserve">Department of Health WA. Australian Secondary Students’ Alcohol and Drug Survey 2014. Unpublished dataset, cited with permission. Perth: Chronic Disease Prevention Directorate, Public Health Division, Department of Health WA, 2016. </w:t>
      </w:r>
    </w:p>
    <w:p w:rsidR="005B3C51" w:rsidRPr="005B3C51" w:rsidRDefault="005B3C51" w:rsidP="005B3C51">
      <w:pPr>
        <w:ind w:left="720" w:hanging="720"/>
        <w:rPr>
          <w:rFonts w:ascii="Calibri" w:hAnsi="Calibri"/>
          <w:noProof/>
          <w:sz w:val="22"/>
        </w:rPr>
      </w:pPr>
      <w:r w:rsidRPr="005B3C51">
        <w:rPr>
          <w:rFonts w:ascii="Calibri" w:hAnsi="Calibri"/>
          <w:noProof/>
          <w:sz w:val="22"/>
        </w:rPr>
        <w:t>156.</w:t>
      </w:r>
      <w:r w:rsidRPr="005B3C51">
        <w:rPr>
          <w:rFonts w:ascii="Calibri" w:hAnsi="Calibri"/>
          <w:noProof/>
          <w:sz w:val="22"/>
        </w:rPr>
        <w:tab/>
        <w:t xml:space="preserve">Tobacco Compliance Branch. Report on the Tobacco Compliance Survey 2015. Perth: Department of Health, Government of Western Australia, 2016. Available from: </w:t>
      </w:r>
      <w:hyperlink r:id="rId236" w:history="1">
        <w:r w:rsidRPr="005B3C51">
          <w:rPr>
            <w:rStyle w:val="Hyperlink"/>
            <w:rFonts w:ascii="Calibri" w:hAnsi="Calibri"/>
            <w:noProof/>
            <w:sz w:val="22"/>
          </w:rPr>
          <w:t>http://ww2.health.wa.gov.au/~/media/Files/Corporate/general%20documents/Tobacco/PDF/2015-Tobacco-retailer-compliance-survey-final.ashx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157.</w:t>
      </w:r>
      <w:r w:rsidRPr="005B3C51">
        <w:rPr>
          <w:rFonts w:ascii="Calibri" w:hAnsi="Calibri"/>
          <w:noProof/>
          <w:sz w:val="22"/>
        </w:rPr>
        <w:tab/>
        <w:t xml:space="preserve">NSW Health. Protecting young people from tobacco: A NSW Government discussion paper on the next steps to reduce tobacco-related harm, 2008.  Sydney: Department of Health, Government of New South Wales; 2008; Available from: </w:t>
      </w:r>
      <w:hyperlink r:id="rId237" w:history="1">
        <w:r w:rsidRPr="005B3C51">
          <w:rPr>
            <w:rStyle w:val="Hyperlink"/>
            <w:rFonts w:ascii="Calibri" w:hAnsi="Calibri"/>
            <w:noProof/>
            <w:sz w:val="22"/>
          </w:rPr>
          <w:t>http://www.health.nsw.gov.au/pubs/2008/protecting_children.html</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158.</w:t>
      </w:r>
      <w:r w:rsidRPr="005B3C51">
        <w:rPr>
          <w:rFonts w:ascii="Calibri" w:hAnsi="Calibri"/>
          <w:noProof/>
          <w:sz w:val="22"/>
        </w:rPr>
        <w:tab/>
        <w:t xml:space="preserve">Government of South Australia, Department of Health. Preventing the sale of tobacco </w:t>
      </w:r>
      <w:r w:rsidRPr="005B3C51">
        <w:rPr>
          <w:rFonts w:ascii="Calibri" w:hAnsi="Calibri"/>
          <w:noProof/>
          <w:sz w:val="22"/>
        </w:rPr>
        <w:lastRenderedPageBreak/>
        <w:t xml:space="preserve">products to minors. Adelaide: Department of Health, 2005. Available from: </w:t>
      </w:r>
      <w:hyperlink r:id="rId238" w:history="1">
        <w:r w:rsidRPr="005B3C51">
          <w:rPr>
            <w:rStyle w:val="Hyperlink"/>
            <w:rFonts w:ascii="Calibri" w:hAnsi="Calibri"/>
            <w:noProof/>
            <w:sz w:val="22"/>
          </w:rPr>
          <w:t>http://www.tobaccolaws.sa.gov.au/Default.aspx?tabid=90</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159.</w:t>
      </w:r>
      <w:r w:rsidRPr="005B3C51">
        <w:rPr>
          <w:rFonts w:ascii="Calibri" w:hAnsi="Calibri"/>
          <w:noProof/>
          <w:sz w:val="22"/>
        </w:rPr>
        <w:tab/>
        <w:t xml:space="preserve">Tobacco Control Branch. Tobacco Retailer Compliance Survey, 2002. Perth: Government of Western Australia, Department of Health, 2002. </w:t>
      </w:r>
    </w:p>
    <w:p w:rsidR="005B3C51" w:rsidRPr="005B3C51" w:rsidRDefault="005B3C51" w:rsidP="005B3C51">
      <w:pPr>
        <w:ind w:left="720" w:hanging="720"/>
        <w:rPr>
          <w:rFonts w:ascii="Calibri" w:hAnsi="Calibri"/>
          <w:noProof/>
          <w:sz w:val="22"/>
        </w:rPr>
      </w:pPr>
      <w:r w:rsidRPr="005B3C51">
        <w:rPr>
          <w:rFonts w:ascii="Calibri" w:hAnsi="Calibri"/>
          <w:noProof/>
          <w:sz w:val="22"/>
        </w:rPr>
        <w:t>160.</w:t>
      </w:r>
      <w:r w:rsidRPr="005B3C51">
        <w:rPr>
          <w:rFonts w:ascii="Calibri" w:hAnsi="Calibri"/>
          <w:noProof/>
          <w:sz w:val="22"/>
        </w:rPr>
        <w:tab/>
        <w:t xml:space="preserve">Tobacco Control Branch. Tobacco Retailer Compliance Survey, 2004. Perth: Government of Western Australia, Department of Health, 2004. </w:t>
      </w:r>
    </w:p>
    <w:p w:rsidR="005B3C51" w:rsidRPr="005B3C51" w:rsidRDefault="005B3C51" w:rsidP="005B3C51">
      <w:pPr>
        <w:ind w:left="720" w:hanging="720"/>
        <w:rPr>
          <w:rFonts w:ascii="Calibri" w:hAnsi="Calibri"/>
          <w:noProof/>
          <w:sz w:val="22"/>
        </w:rPr>
      </w:pPr>
      <w:r w:rsidRPr="005B3C51">
        <w:rPr>
          <w:rFonts w:ascii="Calibri" w:hAnsi="Calibri"/>
          <w:noProof/>
          <w:sz w:val="22"/>
        </w:rPr>
        <w:t>161.</w:t>
      </w:r>
      <w:r w:rsidRPr="005B3C51">
        <w:rPr>
          <w:rFonts w:ascii="Calibri" w:hAnsi="Calibri"/>
          <w:noProof/>
          <w:sz w:val="22"/>
        </w:rPr>
        <w:tab/>
        <w:t xml:space="preserve">Tobacco Control Branch. Tobacco Retailer Compliance Survey, 2011. Perth: Government of Western Australia, Department of Health, 2011. </w:t>
      </w:r>
    </w:p>
    <w:p w:rsidR="005B3C51" w:rsidRPr="005B3C51" w:rsidRDefault="005B3C51" w:rsidP="005B3C51">
      <w:pPr>
        <w:ind w:left="720" w:hanging="720"/>
        <w:rPr>
          <w:rFonts w:ascii="Calibri" w:hAnsi="Calibri"/>
          <w:noProof/>
          <w:sz w:val="22"/>
        </w:rPr>
      </w:pPr>
      <w:r w:rsidRPr="005B3C51">
        <w:rPr>
          <w:rFonts w:ascii="Calibri" w:hAnsi="Calibri"/>
          <w:noProof/>
          <w:sz w:val="22"/>
        </w:rPr>
        <w:t>162.</w:t>
      </w:r>
      <w:r w:rsidRPr="005B3C51">
        <w:rPr>
          <w:rFonts w:ascii="Calibri" w:hAnsi="Calibri"/>
          <w:noProof/>
          <w:sz w:val="22"/>
        </w:rPr>
        <w:tab/>
        <w:t xml:space="preserve">Tobacco Control Branch. Tobacco Retailer Compliance Survey 2013. Perth: Government of Western Australia, Department of Health, 2014. </w:t>
      </w:r>
    </w:p>
    <w:p w:rsidR="005B3C51" w:rsidRPr="005B3C51" w:rsidRDefault="005B3C51" w:rsidP="005B3C51">
      <w:pPr>
        <w:ind w:left="720" w:hanging="720"/>
        <w:rPr>
          <w:rFonts w:ascii="Calibri" w:hAnsi="Calibri"/>
          <w:noProof/>
          <w:sz w:val="22"/>
        </w:rPr>
      </w:pPr>
      <w:r w:rsidRPr="005B3C51">
        <w:rPr>
          <w:rFonts w:ascii="Calibri" w:hAnsi="Calibri"/>
          <w:noProof/>
          <w:sz w:val="22"/>
        </w:rPr>
        <w:t>163.</w:t>
      </w:r>
      <w:r w:rsidRPr="005B3C51">
        <w:rPr>
          <w:rFonts w:ascii="Calibri" w:hAnsi="Calibri"/>
          <w:noProof/>
          <w:sz w:val="22"/>
        </w:rPr>
        <w:tab/>
        <w:t xml:space="preserve">Tobacco Control Branch. Tobacco Retailer Compliance Survey 2015. Perth: Government of Western Australia, Department of Health, 2016. Available from: </w:t>
      </w:r>
      <w:hyperlink r:id="rId239" w:history="1">
        <w:r w:rsidRPr="005B3C51">
          <w:rPr>
            <w:rStyle w:val="Hyperlink"/>
            <w:rFonts w:ascii="Calibri" w:hAnsi="Calibri"/>
            <w:noProof/>
            <w:sz w:val="22"/>
          </w:rPr>
          <w:t>http://ww2.health.wa.gov.au/~/media/Files/Corporate/general%20documents/Tobacco/PDF/2015-Tobacco-retailer-compliance-survey-final.ashx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164.</w:t>
      </w:r>
      <w:r w:rsidRPr="005B3C51">
        <w:rPr>
          <w:rFonts w:ascii="Calibri" w:hAnsi="Calibri"/>
          <w:noProof/>
          <w:sz w:val="22"/>
        </w:rPr>
        <w:tab/>
        <w:t xml:space="preserve">National Health and Medical Research Council. NHMRC CEO statement: electronic cigarettes (e-cigarettes). March 2015. Canberra: National Health and Medical Research Council, 2015. Available from: </w:t>
      </w:r>
      <w:hyperlink r:id="rId240" w:history="1">
        <w:r w:rsidRPr="005B3C51">
          <w:rPr>
            <w:rStyle w:val="Hyperlink"/>
            <w:rFonts w:ascii="Calibri" w:hAnsi="Calibri"/>
            <w:noProof/>
            <w:sz w:val="22"/>
          </w:rPr>
          <w:t>http://www.nhmrc.gov.au/_files_nhmrc/publications/attachments/ds13_nhmrc_ceo_statement_ecigarettes.pdf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165.</w:t>
      </w:r>
      <w:r w:rsidRPr="005B3C51">
        <w:rPr>
          <w:rFonts w:ascii="Calibri" w:hAnsi="Calibri"/>
          <w:noProof/>
          <w:sz w:val="22"/>
        </w:rPr>
        <w:tab/>
        <w:t xml:space="preserve">Conference of the Parties to the WHO Framework Convention on Tobacco Control. Electronic nicotine delivery systems. Report by WHO. 21 July 2014. Geneva: World Health Organization 2014. Available from: </w:t>
      </w:r>
      <w:hyperlink r:id="rId241" w:history="1">
        <w:r w:rsidRPr="005B3C51">
          <w:rPr>
            <w:rStyle w:val="Hyperlink"/>
            <w:rFonts w:ascii="Calibri" w:hAnsi="Calibri"/>
            <w:noProof/>
            <w:sz w:val="22"/>
          </w:rPr>
          <w:t>http://apps.who.int/gb/fctc/PDF/cop6/FCTC_COP6_10-en.pdf?ua=1</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166.</w:t>
      </w:r>
      <w:r w:rsidRPr="005B3C51">
        <w:rPr>
          <w:rFonts w:ascii="Calibri" w:hAnsi="Calibri"/>
          <w:noProof/>
          <w:sz w:val="22"/>
        </w:rPr>
        <w:tab/>
        <w:t>Therapeutic Goods Administration. What the TGA regulates.  Canberra: Therapeutic Goods Administration, Department of Health; Undated [cited 12 August 2016]; Available from: https://</w:t>
      </w:r>
      <w:hyperlink r:id="rId242" w:history="1">
        <w:r w:rsidRPr="005B3C51">
          <w:rPr>
            <w:rStyle w:val="Hyperlink"/>
            <w:rFonts w:ascii="Calibri" w:hAnsi="Calibri"/>
            <w:noProof/>
            <w:sz w:val="22"/>
          </w:rPr>
          <w:t>www.tga.gov.au/what-tga-regulates</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167.</w:t>
      </w:r>
      <w:r w:rsidRPr="005B3C51">
        <w:rPr>
          <w:rFonts w:ascii="Calibri" w:hAnsi="Calibri"/>
          <w:noProof/>
          <w:sz w:val="22"/>
        </w:rPr>
        <w:tab/>
        <w:t xml:space="preserve">Mental Health Commission, Western Australia. Better Choices. Better Lives. Western Australian Mental Health, Alcohol and Other Drug Services Plan 2015-2025. Perth: Mental Health Commission, Western Australia, 2015. Available from: </w:t>
      </w:r>
      <w:hyperlink r:id="rId243" w:history="1">
        <w:r w:rsidRPr="005B3C51">
          <w:rPr>
            <w:rStyle w:val="Hyperlink"/>
            <w:rFonts w:ascii="Calibri" w:hAnsi="Calibri"/>
            <w:noProof/>
            <w:sz w:val="22"/>
          </w:rPr>
          <w:t>http://www.mentalhealth.wa.gov.au/Libraries/pdf_docs/The_Plan_81215_3.sflb.ashx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168.</w:t>
      </w:r>
      <w:r w:rsidRPr="005B3C51">
        <w:rPr>
          <w:rFonts w:ascii="Calibri" w:hAnsi="Calibri"/>
          <w:noProof/>
          <w:sz w:val="22"/>
        </w:rPr>
        <w:tab/>
        <w:t xml:space="preserve">Bridle R, Harrison A, Goggin L. Australian School Students Alcohol and other Drug Survey.  Western Australian results 2014. Perth: Mental Health Commission, Western Australia, 2016. Available from: </w:t>
      </w:r>
      <w:hyperlink r:id="rId244" w:history="1">
        <w:r w:rsidRPr="005B3C51">
          <w:rPr>
            <w:rStyle w:val="Hyperlink"/>
            <w:rFonts w:ascii="Calibri" w:hAnsi="Calibri"/>
            <w:noProof/>
            <w:sz w:val="22"/>
          </w:rPr>
          <w:t>http://www.dao.health.wa.gov.au/Informationandresources/Publicationsandresources/Researchandstatistics/Statistics/AustralianSchoolStudentsAlcoholandDrugsurvey.aspx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169.</w:t>
      </w:r>
      <w:r w:rsidRPr="005B3C51">
        <w:rPr>
          <w:rFonts w:ascii="Calibri" w:hAnsi="Calibri"/>
          <w:noProof/>
          <w:sz w:val="22"/>
        </w:rPr>
        <w:tab/>
        <w:t xml:space="preserve">Epidemiology Branch in collaboration with the CRC for Spatial Information. HealthTracks reporting 1.1 (2016). Alcohol drug-caused deaths – comparison between ARIA classifications.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170.</w:t>
      </w:r>
      <w:r w:rsidRPr="005B3C51">
        <w:rPr>
          <w:rFonts w:ascii="Calibri" w:hAnsi="Calibri"/>
          <w:noProof/>
          <w:sz w:val="22"/>
        </w:rPr>
        <w:tab/>
        <w:t xml:space="preserve">Epidemiology Branch in collaboration with the CRC for Spatial Information. HealthTracks reporting 1.1 (2016). Alcohol drug-caused hospitalisations – state of Western Australia.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171.</w:t>
      </w:r>
      <w:r w:rsidRPr="005B3C51">
        <w:rPr>
          <w:rFonts w:ascii="Calibri" w:hAnsi="Calibri"/>
          <w:noProof/>
          <w:sz w:val="22"/>
        </w:rPr>
        <w:tab/>
        <w:t xml:space="preserve">National Health and Medical Research Council. Australian guidelines to reduce health risks from drinking alcohol. Canberra: Commonwealth of Australia, 2009. Available from: </w:t>
      </w:r>
      <w:hyperlink r:id="rId245" w:history="1">
        <w:r w:rsidRPr="005B3C51">
          <w:rPr>
            <w:rStyle w:val="Hyperlink"/>
            <w:rFonts w:ascii="Calibri" w:hAnsi="Calibri"/>
            <w:noProof/>
            <w:sz w:val="22"/>
          </w:rPr>
          <w:t>http://www.nhmrc.gov.au/publications/synopses/ds10syn.htm</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172.</w:t>
      </w:r>
      <w:r w:rsidRPr="005B3C51">
        <w:rPr>
          <w:rFonts w:ascii="Calibri" w:hAnsi="Calibri"/>
          <w:noProof/>
          <w:sz w:val="22"/>
        </w:rPr>
        <w:tab/>
        <w:t xml:space="preserve">National Heart Foundation of Australia. Position statement. Antioxidants in food, drinks and supplements for cardiovascular health. Canberra: National Heart Foundation of Australia, 2010. Available from: </w:t>
      </w:r>
      <w:hyperlink r:id="rId246" w:history="1">
        <w:r w:rsidRPr="005B3C51">
          <w:rPr>
            <w:rStyle w:val="Hyperlink"/>
            <w:rFonts w:ascii="Calibri" w:hAnsi="Calibri"/>
            <w:noProof/>
            <w:sz w:val="22"/>
          </w:rPr>
          <w:t>http://heartfoundation.org.au/images/uploads/publications/Antioxidants-Position-Statement.pdf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173.</w:t>
      </w:r>
      <w:r w:rsidRPr="005B3C51">
        <w:rPr>
          <w:rFonts w:ascii="Calibri" w:hAnsi="Calibri"/>
          <w:noProof/>
          <w:sz w:val="22"/>
        </w:rPr>
        <w:tab/>
        <w:t xml:space="preserve">Winstanley MH, Pratt S, Chapman K, Griffin H, Croager E, Olver I, et al. Alcohol and cancer:  a position statement from Cancer Council Australia. Med J Aust. 2011;194:479-82. Available from: </w:t>
      </w:r>
      <w:hyperlink r:id="rId247" w:history="1">
        <w:r w:rsidRPr="005B3C51">
          <w:rPr>
            <w:rStyle w:val="Hyperlink"/>
            <w:rFonts w:ascii="Calibri" w:hAnsi="Calibri"/>
            <w:noProof/>
            <w:sz w:val="22"/>
          </w:rPr>
          <w:t>http://www.mja.com.au/public/issues/194_09_020511/win10641_fm.html</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lastRenderedPageBreak/>
        <w:t>174.</w:t>
      </w:r>
      <w:r w:rsidRPr="005B3C51">
        <w:rPr>
          <w:rFonts w:ascii="Calibri" w:hAnsi="Calibri"/>
          <w:noProof/>
          <w:sz w:val="22"/>
        </w:rPr>
        <w:tab/>
        <w:t xml:space="preserve">World Health Organization. Prevention of cardiovascular disease. Guidelines for assessment and management of cardiovascular risk. Geneva: World Health Organization, 2007. Available from: </w:t>
      </w:r>
      <w:hyperlink r:id="rId248" w:history="1">
        <w:r w:rsidRPr="005B3C51">
          <w:rPr>
            <w:rStyle w:val="Hyperlink"/>
            <w:rFonts w:ascii="Calibri" w:hAnsi="Calibri"/>
            <w:noProof/>
            <w:sz w:val="22"/>
          </w:rPr>
          <w:t>http://www.who.int/cardiovascular_diseases/guidelines/Full%20text.pdf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175.</w:t>
      </w:r>
      <w:r w:rsidRPr="005B3C51">
        <w:rPr>
          <w:rFonts w:ascii="Calibri" w:hAnsi="Calibri"/>
          <w:noProof/>
          <w:sz w:val="22"/>
        </w:rPr>
        <w:tab/>
        <w:t xml:space="preserve">Alcohol Working Group. Australia: the healthiest country by 2020. Technical report no. 3. Preventing alcohol-related harm in Australia: a window of opportunity. Including addendum for October 2008 to June 2009.  Prepared for the National Preventative Health Taskforce by the Alcohol Working Group. Canberra: Commonwealth of Australia, 2009. Available from: </w:t>
      </w:r>
      <w:hyperlink r:id="rId249" w:history="1">
        <w:r w:rsidRPr="005B3C51">
          <w:rPr>
            <w:rStyle w:val="Hyperlink"/>
            <w:rFonts w:ascii="Calibri" w:hAnsi="Calibri"/>
            <w:noProof/>
            <w:sz w:val="22"/>
          </w:rPr>
          <w:t>http://www.health.gov.au/internet/preventativehealth/publishing.nsf/Content/09C94C0F1B9799F5CA2574DD0081E770/$File/alcohol-jul09.pdf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176.</w:t>
      </w:r>
      <w:r w:rsidRPr="005B3C51">
        <w:rPr>
          <w:rFonts w:ascii="Calibri" w:hAnsi="Calibri"/>
          <w:noProof/>
          <w:sz w:val="22"/>
        </w:rPr>
        <w:tab/>
        <w:t xml:space="preserve">Stockwell T, Hawks D, Lang E, Rydon P. Unravelling the preventive paradox for acute alcohol problems. Drug Alcohol Rev. 1996 1996/03/01;15(1):7-15. Available from: </w:t>
      </w:r>
      <w:hyperlink r:id="rId250" w:history="1">
        <w:r w:rsidRPr="005B3C51">
          <w:rPr>
            <w:rStyle w:val="Hyperlink"/>
            <w:rFonts w:ascii="Calibri" w:hAnsi="Calibri"/>
            <w:noProof/>
            <w:sz w:val="22"/>
          </w:rPr>
          <w:t>http://www.ncbi.nlm.nih.gov/pubmed/16203346</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177.</w:t>
      </w:r>
      <w:r w:rsidRPr="005B3C51">
        <w:rPr>
          <w:rFonts w:ascii="Calibri" w:hAnsi="Calibri"/>
          <w:noProof/>
          <w:sz w:val="22"/>
        </w:rPr>
        <w:tab/>
        <w:t xml:space="preserve">Steer A, Coase P. Alcohol. Think Again post-campaign evaluation.  Prepared for the Drug and Alcohol Office by TNS Social Research. Perth: Drug and Alcohol Office, 2011. </w:t>
      </w:r>
    </w:p>
    <w:p w:rsidR="005B3C51" w:rsidRPr="005B3C51" w:rsidRDefault="005B3C51" w:rsidP="005B3C51">
      <w:pPr>
        <w:ind w:left="720" w:hanging="720"/>
        <w:rPr>
          <w:rFonts w:ascii="Calibri" w:hAnsi="Calibri"/>
          <w:noProof/>
          <w:sz w:val="22"/>
        </w:rPr>
      </w:pPr>
      <w:r w:rsidRPr="005B3C51">
        <w:rPr>
          <w:rFonts w:ascii="Calibri" w:hAnsi="Calibri"/>
          <w:noProof/>
          <w:sz w:val="22"/>
        </w:rPr>
        <w:t>178.</w:t>
      </w:r>
      <w:r w:rsidRPr="005B3C51">
        <w:rPr>
          <w:rFonts w:ascii="Calibri" w:hAnsi="Calibri"/>
          <w:noProof/>
          <w:sz w:val="22"/>
        </w:rPr>
        <w:tab/>
        <w:t xml:space="preserve">Education and Health Standing Committee of the Legislative Assembly, Parliament of Western Australia. Alcohol restrictions in the Kimberley: a ‘window of opportunity’ for improved health, education, housing and employment.  Report No. 8. Perth: Legislative Assembly, Parliament of Western Australia, 2011. Available from: </w:t>
      </w:r>
      <w:hyperlink r:id="rId251" w:history="1">
        <w:r w:rsidRPr="005B3C51">
          <w:rPr>
            <w:rStyle w:val="Hyperlink"/>
            <w:rFonts w:ascii="Calibri" w:hAnsi="Calibri"/>
            <w:noProof/>
            <w:sz w:val="22"/>
          </w:rPr>
          <w:t>http://www.parliament.wa.gov.au/Parliament/commit.nsf/(Report+Lookup+by+Com+ID)/460AD36276677B1B482578560022E6EE/$file/35607530.pdf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179.</w:t>
      </w:r>
      <w:r w:rsidRPr="005B3C51">
        <w:rPr>
          <w:rFonts w:ascii="Calibri" w:hAnsi="Calibri"/>
          <w:noProof/>
          <w:sz w:val="22"/>
        </w:rPr>
        <w:tab/>
        <w:t xml:space="preserve">Department of Racing GaL. Liquor Legislation Amendment Act 2015. Perth: Department of Racing, Gaming and Liquor, Western Australia, 2016. Available from: </w:t>
      </w:r>
      <w:hyperlink r:id="rId252" w:history="1">
        <w:r w:rsidRPr="005B3C51">
          <w:rPr>
            <w:rStyle w:val="Hyperlink"/>
            <w:rFonts w:ascii="Calibri" w:hAnsi="Calibri"/>
            <w:noProof/>
            <w:sz w:val="22"/>
          </w:rPr>
          <w:t>http://www.rgl.wa.gov.au/liquor/liquor-legislation-amendment-act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180.</w:t>
      </w:r>
      <w:r w:rsidRPr="005B3C51">
        <w:rPr>
          <w:rFonts w:ascii="Calibri" w:hAnsi="Calibri"/>
          <w:noProof/>
          <w:sz w:val="22"/>
        </w:rPr>
        <w:tab/>
        <w:t xml:space="preserve">Ballestas T, Xiao J, McEvoy S, Somerford P. The epidemiology of injury in Western Australia, 2000-2008. Perth: Department of Health, Western Australia, 2011. Available from: </w:t>
      </w:r>
      <w:hyperlink r:id="rId253" w:history="1">
        <w:r w:rsidRPr="005B3C51">
          <w:rPr>
            <w:rStyle w:val="Hyperlink"/>
            <w:rFonts w:ascii="Calibri" w:hAnsi="Calibri"/>
            <w:noProof/>
            <w:sz w:val="22"/>
          </w:rPr>
          <w:t>http://www.public.health.wa.gov.au/cproot/4228/2/injury_report_2011.pdf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181.</w:t>
      </w:r>
      <w:r w:rsidRPr="005B3C51">
        <w:rPr>
          <w:rFonts w:ascii="Calibri" w:hAnsi="Calibri"/>
          <w:noProof/>
          <w:sz w:val="22"/>
        </w:rPr>
        <w:tab/>
        <w:t xml:space="preserve">National Public Health Partnership. The National Injury Prevention and Safety Promotion Plan:  2004-2014. Canberra: National Public Health Partnership, 2005. Available from: </w:t>
      </w:r>
      <w:hyperlink r:id="rId254" w:history="1">
        <w:r w:rsidRPr="005B3C51">
          <w:rPr>
            <w:rStyle w:val="Hyperlink"/>
            <w:rFonts w:ascii="Calibri" w:hAnsi="Calibri"/>
            <w:noProof/>
            <w:sz w:val="22"/>
          </w:rPr>
          <w:t>http://www.nphp.gov.au/publications/sipp/nipspp.pdf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182.</w:t>
      </w:r>
      <w:r w:rsidRPr="005B3C51">
        <w:rPr>
          <w:rFonts w:ascii="Calibri" w:hAnsi="Calibri"/>
          <w:noProof/>
          <w:sz w:val="22"/>
        </w:rPr>
        <w:tab/>
        <w:t xml:space="preserve">Epidemiology Branch, Department of Health, Western Australia. Leading causes of death 2009-2013 and hospitalisation 2010-2014 by injury in WA. Perth: Department of Health, Western Australia, 2016. </w:t>
      </w:r>
    </w:p>
    <w:p w:rsidR="005B3C51" w:rsidRPr="005B3C51" w:rsidRDefault="005B3C51" w:rsidP="005B3C51">
      <w:pPr>
        <w:ind w:left="720" w:hanging="720"/>
        <w:rPr>
          <w:rFonts w:ascii="Calibri" w:hAnsi="Calibri"/>
          <w:noProof/>
          <w:sz w:val="22"/>
        </w:rPr>
      </w:pPr>
      <w:r w:rsidRPr="005B3C51">
        <w:rPr>
          <w:rFonts w:ascii="Calibri" w:hAnsi="Calibri"/>
          <w:noProof/>
          <w:sz w:val="22"/>
        </w:rPr>
        <w:t>183.</w:t>
      </w:r>
      <w:r w:rsidRPr="005B3C51">
        <w:rPr>
          <w:rFonts w:ascii="Calibri" w:hAnsi="Calibri"/>
          <w:noProof/>
          <w:sz w:val="22"/>
        </w:rPr>
        <w:tab/>
        <w:t xml:space="preserve">Leeds M, Richards J, Stepan A, Xiao A, Skarin S. WA childhood injury report: patterns of injuries among 0-19 year olds in Western Australia, 2001-2011. Perth: Kidsafe WA, 2015. Available from: </w:t>
      </w:r>
      <w:hyperlink r:id="rId255" w:history="1">
        <w:r w:rsidRPr="005B3C51">
          <w:rPr>
            <w:rStyle w:val="Hyperlink"/>
            <w:rFonts w:ascii="Calibri" w:hAnsi="Calibri"/>
            <w:noProof/>
            <w:sz w:val="22"/>
          </w:rPr>
          <w:t>http://www.kidsafewa.com.au/_assets/files/KidsafeWAChildhoodInjuryReport.pdf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184.</w:t>
      </w:r>
      <w:r w:rsidRPr="005B3C51">
        <w:rPr>
          <w:rFonts w:ascii="Calibri" w:hAnsi="Calibri"/>
          <w:noProof/>
          <w:sz w:val="22"/>
        </w:rPr>
        <w:tab/>
        <w:t>Office of Road Safety. Towards Zero.  Road Safety Strategy to Reduce Road Trauma in Western Australia 2008-2020. Perth: Government of Western Australia, 2008. Available from: https://rsc.wa.gov.au/towards-zero</w:t>
      </w:r>
    </w:p>
    <w:p w:rsidR="005B3C51" w:rsidRPr="005B3C51" w:rsidRDefault="005B3C51" w:rsidP="005B3C51">
      <w:pPr>
        <w:ind w:left="720" w:hanging="720"/>
        <w:rPr>
          <w:rFonts w:ascii="Calibri" w:hAnsi="Calibri"/>
          <w:noProof/>
          <w:sz w:val="22"/>
        </w:rPr>
      </w:pPr>
      <w:r w:rsidRPr="005B3C51">
        <w:rPr>
          <w:rFonts w:ascii="Calibri" w:hAnsi="Calibri"/>
          <w:noProof/>
          <w:sz w:val="22"/>
        </w:rPr>
        <w:t>185.</w:t>
      </w:r>
      <w:r w:rsidRPr="005B3C51">
        <w:rPr>
          <w:rFonts w:ascii="Calibri" w:hAnsi="Calibri"/>
          <w:noProof/>
          <w:sz w:val="22"/>
        </w:rPr>
        <w:tab/>
        <w:t xml:space="preserve">Road Safety Commission, Western Australia. 2015 summary. Preliminary fatal and critical injuries on Western Australian roads. Perth: Road Safety Commission, Western Australia, 2016. Available from: </w:t>
      </w:r>
      <w:hyperlink r:id="rId256" w:history="1">
        <w:r w:rsidRPr="005B3C51">
          <w:rPr>
            <w:rStyle w:val="Hyperlink"/>
            <w:rFonts w:ascii="Calibri" w:hAnsi="Calibri"/>
            <w:noProof/>
            <w:sz w:val="22"/>
          </w:rPr>
          <w:t>http://rsc.wa.gov.au/Stats/Annual/annual-prelim-crash-statistics-2015.aspx</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186.</w:t>
      </w:r>
      <w:r w:rsidRPr="005B3C51">
        <w:rPr>
          <w:rFonts w:ascii="Calibri" w:hAnsi="Calibri"/>
          <w:noProof/>
          <w:sz w:val="22"/>
        </w:rPr>
        <w:tab/>
        <w:t xml:space="preserve">Australian Water Safety Council. Australian Water Safety Strategy 2016-2020. Sydney: Australian Water Safety Council, 2016. Available from: </w:t>
      </w:r>
      <w:hyperlink r:id="rId257" w:history="1">
        <w:r w:rsidRPr="005B3C51">
          <w:rPr>
            <w:rStyle w:val="Hyperlink"/>
            <w:rFonts w:ascii="Calibri" w:hAnsi="Calibri"/>
            <w:noProof/>
            <w:sz w:val="22"/>
          </w:rPr>
          <w:t>http://www.watersafety.com.au/Portals/0/AWSC%20Strategy%202016-20/RLS_AWSS2016_Report_2016LR.pdf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187.</w:t>
      </w:r>
      <w:r w:rsidRPr="005B3C51">
        <w:rPr>
          <w:rFonts w:ascii="Calibri" w:hAnsi="Calibri"/>
          <w:noProof/>
          <w:sz w:val="22"/>
        </w:rPr>
        <w:tab/>
        <w:t xml:space="preserve">Department of Child Protection, Western Australia. Western Australia's Family and Domestic Violence Prevention Strategy to 2022. Creating Safer Communities. Perth: Department of Child Protection, Western Australia, Undated. Available from: </w:t>
      </w:r>
      <w:hyperlink r:id="rId258" w:history="1">
        <w:r w:rsidRPr="005B3C51">
          <w:rPr>
            <w:rStyle w:val="Hyperlink"/>
            <w:rFonts w:ascii="Calibri" w:hAnsi="Calibri"/>
            <w:noProof/>
            <w:sz w:val="22"/>
          </w:rPr>
          <w:t>http://www.dcp.wa.gov.au/Documents/WA%20FDV%20Prevention%20Strategy%20to%202</w:t>
        </w:r>
        <w:r w:rsidRPr="005B3C51">
          <w:rPr>
            <w:rStyle w:val="Hyperlink"/>
            <w:rFonts w:ascii="Calibri" w:hAnsi="Calibri"/>
            <w:noProof/>
            <w:sz w:val="22"/>
          </w:rPr>
          <w:lastRenderedPageBreak/>
          <w:t>022.pdf</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188.</w:t>
      </w:r>
      <w:r w:rsidRPr="005B3C51">
        <w:rPr>
          <w:rFonts w:ascii="Calibri" w:hAnsi="Calibri"/>
          <w:noProof/>
          <w:sz w:val="22"/>
        </w:rPr>
        <w:tab/>
        <w:t xml:space="preserve">McKetin R, Lubman D, Najman J, Dawe S, Butterworth P, Baker A. Does methamphetamine use increase violent behaviour? Evidence from a prospective longitudinal study. Addiction. 2014;109:798-806. </w:t>
      </w:r>
    </w:p>
    <w:p w:rsidR="005B3C51" w:rsidRPr="005B3C51" w:rsidRDefault="005B3C51" w:rsidP="005B3C51">
      <w:pPr>
        <w:ind w:left="720" w:hanging="720"/>
        <w:rPr>
          <w:rFonts w:ascii="Calibri" w:hAnsi="Calibri"/>
          <w:noProof/>
          <w:sz w:val="22"/>
        </w:rPr>
      </w:pPr>
      <w:r w:rsidRPr="005B3C51">
        <w:rPr>
          <w:rFonts w:ascii="Calibri" w:hAnsi="Calibri"/>
          <w:noProof/>
          <w:sz w:val="22"/>
        </w:rPr>
        <w:t>189.</w:t>
      </w:r>
      <w:r w:rsidRPr="005B3C51">
        <w:rPr>
          <w:rFonts w:ascii="Calibri" w:hAnsi="Calibri"/>
          <w:noProof/>
          <w:sz w:val="22"/>
        </w:rPr>
        <w:tab/>
        <w:t xml:space="preserve">Department of Health, Western Australia. Annual report 2014-15.  Perth: Department of Health, Western Australia; 2016; Available from: </w:t>
      </w:r>
      <w:hyperlink r:id="rId259" w:history="1">
        <w:r w:rsidRPr="005B3C51">
          <w:rPr>
            <w:rStyle w:val="Hyperlink"/>
            <w:rFonts w:ascii="Calibri" w:hAnsi="Calibri"/>
            <w:noProof/>
            <w:sz w:val="22"/>
          </w:rPr>
          <w:t>http://ww2.health.wa.gov.au/Reports-and-publications/Annual-report</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190.</w:t>
      </w:r>
      <w:r w:rsidRPr="005B3C51">
        <w:rPr>
          <w:rFonts w:ascii="Calibri" w:hAnsi="Calibri"/>
          <w:noProof/>
          <w:sz w:val="22"/>
        </w:rPr>
        <w:tab/>
        <w:t xml:space="preserve">Department of Health, Western Australia. Research and evaluation framework and implementation guide. Perth: Chronic Disease Prevention Directorate, Department of Health, Western Australia, 2013. Available from: </w:t>
      </w:r>
      <w:hyperlink r:id="rId260" w:history="1">
        <w:r w:rsidRPr="005B3C51">
          <w:rPr>
            <w:rStyle w:val="Hyperlink"/>
            <w:rFonts w:ascii="Calibri" w:hAnsi="Calibri"/>
            <w:noProof/>
            <w:sz w:val="22"/>
          </w:rPr>
          <w:t>http://www.public.health.wa.gov.au/2/1770/2/research_and_evaluation_framework.pm</w:t>
        </w:r>
      </w:hyperlink>
    </w:p>
    <w:p w:rsidR="005B3C51" w:rsidRPr="005B3C51" w:rsidRDefault="005B3C51" w:rsidP="005B3C51">
      <w:pPr>
        <w:ind w:left="720" w:hanging="720"/>
        <w:rPr>
          <w:rFonts w:ascii="Calibri" w:hAnsi="Calibri"/>
          <w:noProof/>
          <w:sz w:val="22"/>
        </w:rPr>
      </w:pPr>
      <w:r w:rsidRPr="005B3C51">
        <w:rPr>
          <w:rFonts w:ascii="Calibri" w:hAnsi="Calibri"/>
          <w:noProof/>
          <w:sz w:val="22"/>
        </w:rPr>
        <w:t>191.</w:t>
      </w:r>
      <w:r w:rsidRPr="005B3C51">
        <w:rPr>
          <w:rFonts w:ascii="Calibri" w:hAnsi="Calibri"/>
          <w:noProof/>
          <w:sz w:val="22"/>
        </w:rPr>
        <w:tab/>
        <w:t xml:space="preserve">National Health and Medical Research Council. The virtuous cycle.  Working together for health and medical research.  Health and medical research strategic review:  summary. Canberra: Commonwealth of Australia, 1998. </w:t>
      </w:r>
    </w:p>
    <w:p w:rsidR="005B3C51" w:rsidRPr="005B3C51" w:rsidRDefault="005B3C51" w:rsidP="005B3C51">
      <w:pPr>
        <w:ind w:left="720" w:hanging="720"/>
        <w:rPr>
          <w:rFonts w:ascii="Calibri" w:hAnsi="Calibri"/>
          <w:noProof/>
          <w:sz w:val="22"/>
        </w:rPr>
      </w:pPr>
      <w:r w:rsidRPr="005B3C51">
        <w:rPr>
          <w:rFonts w:ascii="Calibri" w:hAnsi="Calibri"/>
          <w:noProof/>
          <w:sz w:val="22"/>
        </w:rPr>
        <w:t>192.</w:t>
      </w:r>
      <w:r w:rsidRPr="005B3C51">
        <w:rPr>
          <w:rFonts w:ascii="Calibri" w:hAnsi="Calibri"/>
          <w:noProof/>
          <w:sz w:val="22"/>
        </w:rPr>
        <w:tab/>
        <w:t xml:space="preserve">Australian National Preventive Health Agency. National Preventive Health Research Strategy 2013-2018. Canberra: Australian National Preventive Health Agency, 2013. Available from: </w:t>
      </w:r>
      <w:hyperlink r:id="rId261" w:history="1">
        <w:r w:rsidRPr="005B3C51">
          <w:rPr>
            <w:rStyle w:val="Hyperlink"/>
            <w:rFonts w:ascii="Calibri" w:hAnsi="Calibri"/>
            <w:noProof/>
            <w:sz w:val="22"/>
          </w:rPr>
          <w:t>http://www.saxinstitute.org.au/wp-content/uploads/ANPHA-Research-Strategy-2013-18.pdf</w:t>
        </w:r>
      </w:hyperlink>
    </w:p>
    <w:p w:rsidR="005B3C51" w:rsidRDefault="005B3C51" w:rsidP="005B3C51">
      <w:pPr>
        <w:rPr>
          <w:rFonts w:ascii="Calibri" w:hAnsi="Calibri"/>
          <w:noProof/>
          <w:sz w:val="22"/>
        </w:rPr>
      </w:pPr>
    </w:p>
    <w:p w:rsidR="00AE5D77" w:rsidRDefault="008E4A1B" w:rsidP="007B61EB">
      <w:pPr>
        <w:rPr>
          <w:sz w:val="16"/>
        </w:rPr>
      </w:pPr>
      <w:r>
        <w:rPr>
          <w:sz w:val="16"/>
        </w:rPr>
        <w:fldChar w:fldCharType="end"/>
      </w:r>
    </w:p>
    <w:sectPr w:rsidR="00AE5D77" w:rsidSect="001D44F0">
      <w:headerReference w:type="default" r:id="rId262"/>
      <w:footerReference w:type="default" r:id="rId263"/>
      <w:footnotePr>
        <w:numFmt w:val="chicago"/>
        <w:numRestart w:val="eachPage"/>
      </w:footnotePr>
      <w:type w:val="continuous"/>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F4" w:rsidRDefault="00F65DF4" w:rsidP="00823AA2">
      <w:r>
        <w:separator/>
      </w:r>
    </w:p>
  </w:endnote>
  <w:endnote w:type="continuationSeparator" w:id="0">
    <w:p w:rsidR="00F65DF4" w:rsidRDefault="00F65DF4" w:rsidP="0082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Std Cond">
    <w:altName w:val="Arial MT Std Cond"/>
    <w:panose1 w:val="00000000000000000000"/>
    <w:charset w:val="00"/>
    <w:family w:val="swiss"/>
    <w:notTrueType/>
    <w:pitch w:val="default"/>
    <w:sig w:usb0="00000003" w:usb1="00000000" w:usb2="00000000" w:usb3="00000000" w:csb0="00000001"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239070"/>
      <w:docPartObj>
        <w:docPartGallery w:val="Page Numbers (Bottom of Page)"/>
        <w:docPartUnique/>
      </w:docPartObj>
    </w:sdtPr>
    <w:sdtEndPr>
      <w:rPr>
        <w:noProof/>
      </w:rPr>
    </w:sdtEndPr>
    <w:sdtContent>
      <w:p w:rsidR="00F65DF4" w:rsidRDefault="00F65DF4">
        <w:pPr>
          <w:pStyle w:val="Footer"/>
          <w:jc w:val="right"/>
        </w:pPr>
        <w:r>
          <w:fldChar w:fldCharType="begin"/>
        </w:r>
        <w:r>
          <w:instrText xml:space="preserve"> PAGE   \* MERGEFORMAT </w:instrText>
        </w:r>
        <w:r>
          <w:fldChar w:fldCharType="separate"/>
        </w:r>
        <w:r w:rsidR="00C71FCC">
          <w:rPr>
            <w:noProof/>
          </w:rPr>
          <w:t>82</w:t>
        </w:r>
        <w:r>
          <w:rPr>
            <w:noProof/>
          </w:rPr>
          <w:fldChar w:fldCharType="end"/>
        </w:r>
      </w:p>
    </w:sdtContent>
  </w:sdt>
  <w:p w:rsidR="00F65DF4" w:rsidRDefault="00F65DF4">
    <w:pPr>
      <w:spacing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F4" w:rsidRDefault="00F65DF4" w:rsidP="00823AA2">
      <w:r>
        <w:separator/>
      </w:r>
    </w:p>
  </w:footnote>
  <w:footnote w:type="continuationSeparator" w:id="0">
    <w:p w:rsidR="00F65DF4" w:rsidRDefault="00F65DF4" w:rsidP="00823AA2">
      <w:r>
        <w:continuationSeparator/>
      </w:r>
    </w:p>
  </w:footnote>
  <w:footnote w:id="1">
    <w:p w:rsidR="00F65DF4" w:rsidRPr="00CA5DCC" w:rsidRDefault="00F65DF4" w:rsidP="006E4621">
      <w:pPr>
        <w:pStyle w:val="FootnoteText"/>
        <w:rPr>
          <w:lang w:val="en-AU"/>
        </w:rPr>
      </w:pPr>
      <w:r w:rsidRPr="006D0C8F">
        <w:rPr>
          <w:rStyle w:val="FootnoteReference"/>
          <w:rFonts w:eastAsiaTheme="minorEastAsia"/>
        </w:rPr>
        <w:footnoteRef/>
      </w:r>
      <w:r w:rsidRPr="006D0C8F">
        <w:t xml:space="preserve"> The </w:t>
      </w:r>
      <w:r w:rsidRPr="00B52BFA">
        <w:rPr>
          <w:i/>
        </w:rPr>
        <w:t>Australian Dietary Guidelines</w:t>
      </w:r>
      <w:r w:rsidRPr="006D0C8F">
        <w:t xml:space="preserve"> define </w:t>
      </w:r>
      <w:r w:rsidRPr="006D0C8F">
        <w:rPr>
          <w:lang w:val="en-AU"/>
        </w:rPr>
        <w:t>foods and drinks as ‘discretionary’ when they are not necessary to provide the nutrients the body need (although do add variety to the diet). Many are high in saturated fats, sugars, salt and or alcohol and are energy dense.  Guideline 3 recommends limiting intake of these items (Box 8)</w:t>
      </w:r>
      <w:r>
        <w:rPr>
          <w:lang w:val="en-AU"/>
        </w:rPr>
        <w:t>.</w:t>
      </w:r>
    </w:p>
  </w:footnote>
  <w:footnote w:id="2">
    <w:p w:rsidR="00F65DF4" w:rsidRPr="007B50A7" w:rsidRDefault="00F65DF4" w:rsidP="006E4621">
      <w:pPr>
        <w:pStyle w:val="FootnoteText"/>
        <w:rPr>
          <w:lang w:val="en-AU"/>
        </w:rPr>
      </w:pPr>
      <w:r w:rsidRPr="007B50A7">
        <w:rPr>
          <w:rStyle w:val="FootnoteReference"/>
          <w:rFonts w:eastAsiaTheme="minorEastAsia"/>
        </w:rPr>
        <w:footnoteRef/>
      </w:r>
      <w:r w:rsidRPr="007B50A7">
        <w:t xml:space="preserve"> </w:t>
      </w:r>
      <w:r w:rsidRPr="007B50A7">
        <w:rPr>
          <w:lang w:val="en-AU"/>
        </w:rPr>
        <w:t xml:space="preserve">‘Free sugars’ extends the definition of added sugars to include sugars naturally present in honey, fruit juice and fruit juice concentrates. </w:t>
      </w:r>
    </w:p>
  </w:footnote>
  <w:footnote w:id="3">
    <w:p w:rsidR="00F65DF4" w:rsidRPr="00B91B2C" w:rsidRDefault="00F65DF4" w:rsidP="001866DB">
      <w:pPr>
        <w:pStyle w:val="FootnoteText"/>
        <w:rPr>
          <w:lang w:val="en-AU"/>
        </w:rPr>
      </w:pPr>
      <w:r w:rsidRPr="00477E47">
        <w:rPr>
          <w:rStyle w:val="FootnoteReference"/>
          <w:rFonts w:eastAsiaTheme="minorEastAsia"/>
          <w:szCs w:val="22"/>
        </w:rPr>
        <w:footnoteRef/>
      </w:r>
      <w:r w:rsidRPr="00477E47">
        <w:rPr>
          <w:sz w:val="22"/>
          <w:szCs w:val="22"/>
        </w:rPr>
        <w:t xml:space="preserve"> </w:t>
      </w:r>
      <w:r>
        <w:rPr>
          <w:sz w:val="22"/>
          <w:szCs w:val="22"/>
        </w:rPr>
        <w:t xml:space="preserve">Food insecurity may be defined as </w:t>
      </w:r>
      <w:r w:rsidRPr="00D1119B">
        <w:rPr>
          <w:i/>
          <w:sz w:val="22"/>
          <w:szCs w:val="22"/>
        </w:rPr>
        <w:t>“A situation that exists when people lack secure access to sufficient amounts of safe and nutritious food for normal growth and development and an active and healthy life.  Food insecurity may be chronic, seasonal or transitory.”</w:t>
      </w:r>
      <w:r w:rsidRPr="00BA4E45">
        <w:rPr>
          <w:color w:val="FFFFFF" w:themeColor="background1"/>
          <w:sz w:val="22"/>
          <w:szCs w:val="22"/>
        </w:rPr>
        <w:t xml:space="preserve">  </w:t>
      </w:r>
    </w:p>
  </w:footnote>
  <w:footnote w:id="4">
    <w:p w:rsidR="00F65DF4" w:rsidRPr="000A3CA4" w:rsidRDefault="00F65DF4" w:rsidP="00E05D33">
      <w:pPr>
        <w:pStyle w:val="FootnoteText"/>
        <w:rPr>
          <w:lang w:val="en-AU"/>
        </w:rPr>
      </w:pPr>
      <w:r>
        <w:rPr>
          <w:rStyle w:val="FootnoteReference"/>
          <w:rFonts w:eastAsiaTheme="minorEastAsia"/>
        </w:rPr>
        <w:footnoteRef/>
      </w:r>
      <w:r>
        <w:t xml:space="preserve"> The food system includes </w:t>
      </w:r>
      <w:r w:rsidRPr="00664BD3">
        <w:t>primary food production</w:t>
      </w:r>
      <w:r>
        <w:t>,</w:t>
      </w:r>
      <w:r w:rsidRPr="00664BD3">
        <w:t xml:space="preserve"> food processing</w:t>
      </w:r>
      <w:r>
        <w:t>,</w:t>
      </w:r>
      <w:r w:rsidRPr="00664BD3">
        <w:t xml:space="preserve"> food distribution</w:t>
      </w:r>
      <w:r>
        <w:t>,</w:t>
      </w:r>
      <w:r w:rsidRPr="00664BD3">
        <w:t xml:space="preserve"> food marketing</w:t>
      </w:r>
      <w:r>
        <w:t>,</w:t>
      </w:r>
      <w:r w:rsidRPr="00664BD3">
        <w:t xml:space="preserve"> food retail</w:t>
      </w:r>
      <w:r>
        <w:t>,</w:t>
      </w:r>
      <w:r w:rsidRPr="00664BD3">
        <w:t xml:space="preserve"> food service</w:t>
      </w:r>
      <w:r>
        <w:t>,</w:t>
      </w:r>
      <w:r w:rsidRPr="00664BD3">
        <w:t xml:space="preserve"> food purchasing and </w:t>
      </w:r>
      <w:r w:rsidRPr="00B272AF">
        <w:t>consumption</w:t>
      </w:r>
      <w:r>
        <w:t>.</w:t>
      </w:r>
      <w:r w:rsidRPr="00B272AF">
        <w:rPr>
          <w:vertAlign w:val="superscript"/>
        </w:rPr>
        <w:t>77</w:t>
      </w:r>
      <w:r w:rsidRPr="00B272AF">
        <w:t xml:space="preserve"> </w:t>
      </w:r>
      <w:r w:rsidRPr="00B272AF">
        <w:rPr>
          <w:color w:val="FFFFFF" w:themeColor="background1"/>
        </w:rPr>
        <w:fldChar w:fldCharType="begin"/>
      </w:r>
      <w:r>
        <w:rPr>
          <w:color w:val="FFFFFF" w:themeColor="background1"/>
        </w:rPr>
        <w:instrText xml:space="preserve"> ADDIN EN.CITE &lt;EndNote&gt;&lt;Cite&gt;&lt;Author&gt;Australian Bureau of Statistics&lt;/Author&gt;&lt;Year&gt;2014&lt;/Year&gt;&lt;RecNum&gt;987&lt;/RecNum&gt;&lt;DisplayText&gt;76.&amp;#x9;Australian Bureau of Statistics. 4364.0.55.007 - Australian Health Survey: nutrition first results - foods and nutrients, 2011-12. Canberra: Australian Bureau of Statistics, 2014. Available from: http://www.abs.gov.au/ausstats/abs@.nsf/Lookup/4364.0.55.007main+features12011-12&lt;/DisplayText&gt;&lt;record&gt;&lt;rec-number&gt;987&lt;/rec-number&gt;&lt;foreign-keys&gt;&lt;key app="EN" db-id="zxa00wf2opvf9oeeset50xz7ezpfwre2v20z"&gt;987&lt;/key&gt;&lt;/foreign-keys&gt;&lt;ref-type name="Report"&gt;27&lt;/ref-type&gt;&lt;contributors&gt;&lt;authors&gt;&lt;author&gt;Australian Bureau of Statistics,&lt;/author&gt;&lt;/authors&gt;&lt;/contributors&gt;&lt;titles&gt;&lt;title&gt;4364.0.55.007 - Australian Health Survey: nutrition first results - foods and nutrients, 2011-12&lt;/title&gt;&lt;/titles&gt;&lt;dates&gt;&lt;year&gt;2014&lt;/year&gt;&lt;/dates&gt;&lt;pub-location&gt;Canberra&lt;/pub-location&gt;&lt;publisher&gt;Australian Bureau of Statistics&lt;/publisher&gt;&lt;urls&gt;&lt;related-urls&gt;&lt;url&gt;http://www.abs.gov.au/ausstats/abs@.nsf/Lookup/4364.0.55.007main+features12011-12&lt;/url&gt;&lt;/related-urls&gt;&lt;/urls&gt;&lt;/record&gt;&lt;/Cite&gt;&lt;/EndNote&gt;</w:instrText>
      </w:r>
      <w:r w:rsidRPr="00B272AF">
        <w:rPr>
          <w:color w:val="FFFFFF" w:themeColor="background1"/>
        </w:rPr>
        <w:fldChar w:fldCharType="separate"/>
      </w:r>
      <w:r>
        <w:rPr>
          <w:noProof/>
          <w:color w:val="FFFFFF" w:themeColor="background1"/>
        </w:rPr>
        <w:t>76.</w:t>
      </w:r>
      <w:r>
        <w:rPr>
          <w:noProof/>
          <w:color w:val="FFFFFF" w:themeColor="background1"/>
        </w:rPr>
        <w:tab/>
        <w:t>Australian Bureau of Statistics. 4364.0.55.007 - Australian Health Survey: nutrition first results - foods and nutrients, 2011-12. Canberra: Australian Bureau of Statistics, 2014. Available from: http://www.abs.gov.au/ausstats/abs@.nsf/Lookup/4364.0.55.007main+features12011-12</w:t>
      </w:r>
      <w:r w:rsidRPr="00B272AF">
        <w:rPr>
          <w:color w:val="FFFFFF" w:themeColor="background1"/>
        </w:rPr>
        <w:fldChar w:fldCharType="end"/>
      </w:r>
    </w:p>
  </w:footnote>
  <w:footnote w:id="5">
    <w:p w:rsidR="00F65DF4" w:rsidRPr="00B037CF" w:rsidRDefault="00F65DF4" w:rsidP="00A13E73">
      <w:pPr>
        <w:pStyle w:val="FootnoteText"/>
        <w:rPr>
          <w:lang w:val="en-AU"/>
        </w:rPr>
      </w:pPr>
      <w:r>
        <w:rPr>
          <w:rStyle w:val="FootnoteReference"/>
        </w:rPr>
        <w:footnoteRef/>
      </w:r>
      <w:r>
        <w:t xml:space="preserve"> </w:t>
      </w:r>
      <w:r>
        <w:rPr>
          <w:lang w:val="en-AU"/>
        </w:rPr>
        <w:t xml:space="preserve">‘Free sugars’ extends the definition of added sugars to include sugars naturally present in honey, fruit juice and fruit juice concentrates. In 2015, the WHO issued a recommendation that adults and children reduce their daily intake of free sugars to less than 10% of their total energy intake.  </w:t>
      </w:r>
    </w:p>
  </w:footnote>
  <w:footnote w:id="6">
    <w:p w:rsidR="00F65DF4" w:rsidRPr="00B007A4" w:rsidRDefault="00F65DF4" w:rsidP="00F74A9B">
      <w:pPr>
        <w:pStyle w:val="FootnoteText"/>
        <w:rPr>
          <w:lang w:val="en-AU"/>
        </w:rPr>
      </w:pPr>
      <w:r>
        <w:rPr>
          <w:rStyle w:val="FootnoteReference"/>
        </w:rPr>
        <w:footnoteRef/>
      </w:r>
      <w:r>
        <w:t xml:space="preserve"> Food and drinks high in saturated fats, sugars and/or salt that have little nutritional value.</w:t>
      </w:r>
    </w:p>
  </w:footnote>
  <w:footnote w:id="7">
    <w:p w:rsidR="00F65DF4" w:rsidRPr="00AA7321" w:rsidRDefault="00F65DF4" w:rsidP="002F54AA">
      <w:pPr>
        <w:pStyle w:val="FootnoteText"/>
        <w:rPr>
          <w:lang w:val="en-AU"/>
        </w:rPr>
      </w:pPr>
      <w:r>
        <w:rPr>
          <w:rStyle w:val="FootnoteReference"/>
        </w:rPr>
        <w:footnoteRef/>
      </w:r>
      <w:r>
        <w:t xml:space="preserve"> Community injuries are those which are typically sustained in places such as the home, workplace or street.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DF4" w:rsidRDefault="00F65DF4">
    <w:pPr>
      <w:spacing w:line="0" w:lineRule="atLeast"/>
      <w:rPr>
        <w:sz w:val="0"/>
        <w:szCs w:val="0"/>
      </w:rPr>
    </w:pPr>
    <w:r>
      <w:rPr>
        <w:sz w:val="0"/>
        <w:szCs w:val="0"/>
      </w:rPr>
      <w:t>zzz</w:t>
    </w:r>
  </w:p>
  <w:p w:rsidR="00F65DF4" w:rsidRDefault="00F65DF4">
    <w:r>
      <w:t>WA Health Pr</w:t>
    </w:r>
    <w:r w:rsidR="00C71FCC">
      <w:t>omotion Strategic Framework 2017</w:t>
    </w:r>
    <w:r>
      <w:t>–2021</w:t>
    </w:r>
  </w:p>
  <w:p w:rsidR="00F65DF4" w:rsidRPr="005F4C26" w:rsidRDefault="00F65DF4" w:rsidP="00216D80">
    <w:pPr>
      <w:rPr>
        <w:color w:val="808080" w:themeColor="background1" w:themeShade="80"/>
      </w:rPr>
    </w:pPr>
    <w:r w:rsidRPr="005F4C26">
      <w:rPr>
        <w:color w:val="808080" w:themeColor="background1" w:themeShade="80"/>
      </w:rPr>
      <w:t>CONSULTATION DRAFT</w:t>
    </w:r>
  </w:p>
  <w:p w:rsidR="00F65DF4" w:rsidRPr="00C06A59" w:rsidRDefault="00F65DF4">
    <w:pPr>
      <w:rPr>
        <w:b/>
        <w:color w:val="31849B" w:themeColor="accent5"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926"/>
    <w:multiLevelType w:val="hybridMultilevel"/>
    <w:tmpl w:val="9F201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051EFC"/>
    <w:multiLevelType w:val="hybridMultilevel"/>
    <w:tmpl w:val="E06C4794"/>
    <w:lvl w:ilvl="0" w:tplc="0C090001">
      <w:start w:val="1"/>
      <w:numFmt w:val="bullet"/>
      <w:lvlText w:val=""/>
      <w:lvlJc w:val="left"/>
      <w:pPr>
        <w:ind w:left="426" w:hanging="360"/>
      </w:pPr>
      <w:rPr>
        <w:rFonts w:ascii="Symbol" w:hAnsi="Symbol" w:hint="default"/>
      </w:rPr>
    </w:lvl>
    <w:lvl w:ilvl="1" w:tplc="0C090003" w:tentative="1">
      <w:start w:val="1"/>
      <w:numFmt w:val="bullet"/>
      <w:lvlText w:val="o"/>
      <w:lvlJc w:val="left"/>
      <w:pPr>
        <w:ind w:left="1146" w:hanging="360"/>
      </w:pPr>
      <w:rPr>
        <w:rFonts w:ascii="Courier New" w:hAnsi="Courier New" w:cs="Courier New" w:hint="default"/>
      </w:rPr>
    </w:lvl>
    <w:lvl w:ilvl="2" w:tplc="0C090005" w:tentative="1">
      <w:start w:val="1"/>
      <w:numFmt w:val="bullet"/>
      <w:lvlText w:val=""/>
      <w:lvlJc w:val="left"/>
      <w:pPr>
        <w:ind w:left="1866" w:hanging="360"/>
      </w:pPr>
      <w:rPr>
        <w:rFonts w:ascii="Wingdings" w:hAnsi="Wingdings" w:hint="default"/>
      </w:rPr>
    </w:lvl>
    <w:lvl w:ilvl="3" w:tplc="0C090001" w:tentative="1">
      <w:start w:val="1"/>
      <w:numFmt w:val="bullet"/>
      <w:lvlText w:val=""/>
      <w:lvlJc w:val="left"/>
      <w:pPr>
        <w:ind w:left="2586" w:hanging="360"/>
      </w:pPr>
      <w:rPr>
        <w:rFonts w:ascii="Symbol" w:hAnsi="Symbol" w:hint="default"/>
      </w:rPr>
    </w:lvl>
    <w:lvl w:ilvl="4" w:tplc="0C090003" w:tentative="1">
      <w:start w:val="1"/>
      <w:numFmt w:val="bullet"/>
      <w:lvlText w:val="o"/>
      <w:lvlJc w:val="left"/>
      <w:pPr>
        <w:ind w:left="3306" w:hanging="360"/>
      </w:pPr>
      <w:rPr>
        <w:rFonts w:ascii="Courier New" w:hAnsi="Courier New" w:cs="Courier New" w:hint="default"/>
      </w:rPr>
    </w:lvl>
    <w:lvl w:ilvl="5" w:tplc="0C090005" w:tentative="1">
      <w:start w:val="1"/>
      <w:numFmt w:val="bullet"/>
      <w:lvlText w:val=""/>
      <w:lvlJc w:val="left"/>
      <w:pPr>
        <w:ind w:left="4026" w:hanging="360"/>
      </w:pPr>
      <w:rPr>
        <w:rFonts w:ascii="Wingdings" w:hAnsi="Wingdings" w:hint="default"/>
      </w:rPr>
    </w:lvl>
    <w:lvl w:ilvl="6" w:tplc="0C090001" w:tentative="1">
      <w:start w:val="1"/>
      <w:numFmt w:val="bullet"/>
      <w:lvlText w:val=""/>
      <w:lvlJc w:val="left"/>
      <w:pPr>
        <w:ind w:left="4746" w:hanging="360"/>
      </w:pPr>
      <w:rPr>
        <w:rFonts w:ascii="Symbol" w:hAnsi="Symbol" w:hint="default"/>
      </w:rPr>
    </w:lvl>
    <w:lvl w:ilvl="7" w:tplc="0C090003" w:tentative="1">
      <w:start w:val="1"/>
      <w:numFmt w:val="bullet"/>
      <w:lvlText w:val="o"/>
      <w:lvlJc w:val="left"/>
      <w:pPr>
        <w:ind w:left="5466" w:hanging="360"/>
      </w:pPr>
      <w:rPr>
        <w:rFonts w:ascii="Courier New" w:hAnsi="Courier New" w:cs="Courier New" w:hint="default"/>
      </w:rPr>
    </w:lvl>
    <w:lvl w:ilvl="8" w:tplc="0C090005" w:tentative="1">
      <w:start w:val="1"/>
      <w:numFmt w:val="bullet"/>
      <w:lvlText w:val=""/>
      <w:lvlJc w:val="left"/>
      <w:pPr>
        <w:ind w:left="6186" w:hanging="360"/>
      </w:pPr>
      <w:rPr>
        <w:rFonts w:ascii="Wingdings" w:hAnsi="Wingdings" w:hint="default"/>
      </w:rPr>
    </w:lvl>
  </w:abstractNum>
  <w:abstractNum w:abstractNumId="2">
    <w:nsid w:val="037D03A3"/>
    <w:multiLevelType w:val="hybridMultilevel"/>
    <w:tmpl w:val="57A0EC4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EF1F36"/>
    <w:multiLevelType w:val="hybridMultilevel"/>
    <w:tmpl w:val="622A38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ABC7E9F"/>
    <w:multiLevelType w:val="hybridMultilevel"/>
    <w:tmpl w:val="F6E658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BA31166"/>
    <w:multiLevelType w:val="hybridMultilevel"/>
    <w:tmpl w:val="F1422332"/>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0BCB29B4"/>
    <w:multiLevelType w:val="hybridMultilevel"/>
    <w:tmpl w:val="28408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E4794B"/>
    <w:multiLevelType w:val="hybridMultilevel"/>
    <w:tmpl w:val="2E5CC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0A541C2"/>
    <w:multiLevelType w:val="hybridMultilevel"/>
    <w:tmpl w:val="DB665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19CA1285"/>
    <w:multiLevelType w:val="hybridMultilevel"/>
    <w:tmpl w:val="CF8A9A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FB0635B"/>
    <w:multiLevelType w:val="hybridMultilevel"/>
    <w:tmpl w:val="C100AC6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1">
    <w:nsid w:val="221D5F6B"/>
    <w:multiLevelType w:val="hybridMultilevel"/>
    <w:tmpl w:val="C5387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5418D9"/>
    <w:multiLevelType w:val="hybridMultilevel"/>
    <w:tmpl w:val="D2FA5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45E54E6"/>
    <w:multiLevelType w:val="hybridMultilevel"/>
    <w:tmpl w:val="89D89E0A"/>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4">
    <w:nsid w:val="259874F3"/>
    <w:multiLevelType w:val="multilevel"/>
    <w:tmpl w:val="C308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E25ACD"/>
    <w:multiLevelType w:val="hybridMultilevel"/>
    <w:tmpl w:val="7124E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7006E5E"/>
    <w:multiLevelType w:val="hybridMultilevel"/>
    <w:tmpl w:val="BFFCD4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2A886F8F"/>
    <w:multiLevelType w:val="multilevel"/>
    <w:tmpl w:val="45C61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2C882272"/>
    <w:multiLevelType w:val="hybridMultilevel"/>
    <w:tmpl w:val="176AA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C06EFE"/>
    <w:multiLevelType w:val="hybridMultilevel"/>
    <w:tmpl w:val="6CBE2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E6E5C36"/>
    <w:multiLevelType w:val="hybridMultilevel"/>
    <w:tmpl w:val="854C2F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F187488"/>
    <w:multiLevelType w:val="hybridMultilevel"/>
    <w:tmpl w:val="9FD8B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F46463C"/>
    <w:multiLevelType w:val="hybridMultilevel"/>
    <w:tmpl w:val="3872D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3660882"/>
    <w:multiLevelType w:val="hybridMultilevel"/>
    <w:tmpl w:val="9A6456F6"/>
    <w:lvl w:ilvl="0" w:tplc="784EB8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4D63279"/>
    <w:multiLevelType w:val="hybridMultilevel"/>
    <w:tmpl w:val="F6D26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47030D"/>
    <w:multiLevelType w:val="hybridMultilevel"/>
    <w:tmpl w:val="54861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6830015"/>
    <w:multiLevelType w:val="hybridMultilevel"/>
    <w:tmpl w:val="C1625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A186A31"/>
    <w:multiLevelType w:val="hybridMultilevel"/>
    <w:tmpl w:val="44A02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3E3954E3"/>
    <w:multiLevelType w:val="hybridMultilevel"/>
    <w:tmpl w:val="5FDCE7F4"/>
    <w:lvl w:ilvl="0" w:tplc="96EC89D0">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nsid w:val="3F38088F"/>
    <w:multiLevelType w:val="hybridMultilevel"/>
    <w:tmpl w:val="0C36C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F887DA2"/>
    <w:multiLevelType w:val="multilevel"/>
    <w:tmpl w:val="0DE0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6B0ABB"/>
    <w:multiLevelType w:val="hybridMultilevel"/>
    <w:tmpl w:val="E3188A1E"/>
    <w:lvl w:ilvl="0" w:tplc="82BE417E">
      <w:start w:val="1"/>
      <w:numFmt w:val="lowerLetter"/>
      <w:pStyle w:val="BodyTextbullet"/>
      <w:lvlText w:val="%1)."/>
      <w:lvlJc w:val="left"/>
      <w:pPr>
        <w:tabs>
          <w:tab w:val="num" w:pos="821"/>
        </w:tabs>
        <w:ind w:left="821" w:hanging="538"/>
      </w:pPr>
      <w:rPr>
        <w:rFonts w:hint="default"/>
      </w:r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32">
    <w:nsid w:val="4A933FF5"/>
    <w:multiLevelType w:val="hybridMultilevel"/>
    <w:tmpl w:val="9D8699C0"/>
    <w:lvl w:ilvl="0" w:tplc="0C090001">
      <w:start w:val="1"/>
      <w:numFmt w:val="bullet"/>
      <w:lvlText w:val=""/>
      <w:lvlJc w:val="left"/>
      <w:pPr>
        <w:ind w:left="2625" w:hanging="360"/>
      </w:pPr>
      <w:rPr>
        <w:rFonts w:ascii="Symbol" w:hAnsi="Symbol" w:hint="default"/>
      </w:rPr>
    </w:lvl>
    <w:lvl w:ilvl="1" w:tplc="0C090003" w:tentative="1">
      <w:start w:val="1"/>
      <w:numFmt w:val="bullet"/>
      <w:lvlText w:val="o"/>
      <w:lvlJc w:val="left"/>
      <w:pPr>
        <w:ind w:left="3345" w:hanging="360"/>
      </w:pPr>
      <w:rPr>
        <w:rFonts w:ascii="Courier New" w:hAnsi="Courier New" w:cs="Courier New" w:hint="default"/>
      </w:rPr>
    </w:lvl>
    <w:lvl w:ilvl="2" w:tplc="0C090005" w:tentative="1">
      <w:start w:val="1"/>
      <w:numFmt w:val="bullet"/>
      <w:lvlText w:val=""/>
      <w:lvlJc w:val="left"/>
      <w:pPr>
        <w:ind w:left="4065" w:hanging="360"/>
      </w:pPr>
      <w:rPr>
        <w:rFonts w:ascii="Wingdings" w:hAnsi="Wingdings" w:hint="default"/>
      </w:rPr>
    </w:lvl>
    <w:lvl w:ilvl="3" w:tplc="0C090001" w:tentative="1">
      <w:start w:val="1"/>
      <w:numFmt w:val="bullet"/>
      <w:lvlText w:val=""/>
      <w:lvlJc w:val="left"/>
      <w:pPr>
        <w:ind w:left="4785" w:hanging="360"/>
      </w:pPr>
      <w:rPr>
        <w:rFonts w:ascii="Symbol" w:hAnsi="Symbol" w:hint="default"/>
      </w:rPr>
    </w:lvl>
    <w:lvl w:ilvl="4" w:tplc="0C090003" w:tentative="1">
      <w:start w:val="1"/>
      <w:numFmt w:val="bullet"/>
      <w:lvlText w:val="o"/>
      <w:lvlJc w:val="left"/>
      <w:pPr>
        <w:ind w:left="5505" w:hanging="360"/>
      </w:pPr>
      <w:rPr>
        <w:rFonts w:ascii="Courier New" w:hAnsi="Courier New" w:cs="Courier New" w:hint="default"/>
      </w:rPr>
    </w:lvl>
    <w:lvl w:ilvl="5" w:tplc="0C090005" w:tentative="1">
      <w:start w:val="1"/>
      <w:numFmt w:val="bullet"/>
      <w:lvlText w:val=""/>
      <w:lvlJc w:val="left"/>
      <w:pPr>
        <w:ind w:left="6225" w:hanging="360"/>
      </w:pPr>
      <w:rPr>
        <w:rFonts w:ascii="Wingdings" w:hAnsi="Wingdings" w:hint="default"/>
      </w:rPr>
    </w:lvl>
    <w:lvl w:ilvl="6" w:tplc="0C090001" w:tentative="1">
      <w:start w:val="1"/>
      <w:numFmt w:val="bullet"/>
      <w:lvlText w:val=""/>
      <w:lvlJc w:val="left"/>
      <w:pPr>
        <w:ind w:left="6945" w:hanging="360"/>
      </w:pPr>
      <w:rPr>
        <w:rFonts w:ascii="Symbol" w:hAnsi="Symbol" w:hint="default"/>
      </w:rPr>
    </w:lvl>
    <w:lvl w:ilvl="7" w:tplc="0C090003" w:tentative="1">
      <w:start w:val="1"/>
      <w:numFmt w:val="bullet"/>
      <w:lvlText w:val="o"/>
      <w:lvlJc w:val="left"/>
      <w:pPr>
        <w:ind w:left="7665" w:hanging="360"/>
      </w:pPr>
      <w:rPr>
        <w:rFonts w:ascii="Courier New" w:hAnsi="Courier New" w:cs="Courier New" w:hint="default"/>
      </w:rPr>
    </w:lvl>
    <w:lvl w:ilvl="8" w:tplc="0C090005" w:tentative="1">
      <w:start w:val="1"/>
      <w:numFmt w:val="bullet"/>
      <w:lvlText w:val=""/>
      <w:lvlJc w:val="left"/>
      <w:pPr>
        <w:ind w:left="8385" w:hanging="360"/>
      </w:pPr>
      <w:rPr>
        <w:rFonts w:ascii="Wingdings" w:hAnsi="Wingdings" w:hint="default"/>
      </w:rPr>
    </w:lvl>
  </w:abstractNum>
  <w:abstractNum w:abstractNumId="33">
    <w:nsid w:val="4B431369"/>
    <w:multiLevelType w:val="multilevel"/>
    <w:tmpl w:val="CCD4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2C46802"/>
    <w:multiLevelType w:val="hybridMultilevel"/>
    <w:tmpl w:val="CC7EA9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66640BD"/>
    <w:multiLevelType w:val="hybridMultilevel"/>
    <w:tmpl w:val="937C731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nsid w:val="66FD376E"/>
    <w:multiLevelType w:val="hybridMultilevel"/>
    <w:tmpl w:val="5B4E224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7">
    <w:nsid w:val="67922AC8"/>
    <w:multiLevelType w:val="hybridMultilevel"/>
    <w:tmpl w:val="DE4CA5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9DF6846"/>
    <w:multiLevelType w:val="hybridMultilevel"/>
    <w:tmpl w:val="1658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A909DD"/>
    <w:multiLevelType w:val="hybridMultilevel"/>
    <w:tmpl w:val="AB3243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158" w:hanging="360"/>
      </w:pPr>
      <w:rPr>
        <w:rFonts w:ascii="Courier New" w:hAnsi="Courier New" w:cs="Courier New" w:hint="default"/>
      </w:rPr>
    </w:lvl>
    <w:lvl w:ilvl="2" w:tplc="0C090005" w:tentative="1">
      <w:start w:val="1"/>
      <w:numFmt w:val="bullet"/>
      <w:lvlText w:val=""/>
      <w:lvlJc w:val="left"/>
      <w:pPr>
        <w:ind w:left="1878" w:hanging="360"/>
      </w:pPr>
      <w:rPr>
        <w:rFonts w:ascii="Wingdings" w:hAnsi="Wingdings" w:hint="default"/>
      </w:rPr>
    </w:lvl>
    <w:lvl w:ilvl="3" w:tplc="0C090001" w:tentative="1">
      <w:start w:val="1"/>
      <w:numFmt w:val="bullet"/>
      <w:lvlText w:val=""/>
      <w:lvlJc w:val="left"/>
      <w:pPr>
        <w:ind w:left="2598" w:hanging="360"/>
      </w:pPr>
      <w:rPr>
        <w:rFonts w:ascii="Symbol" w:hAnsi="Symbol" w:hint="default"/>
      </w:rPr>
    </w:lvl>
    <w:lvl w:ilvl="4" w:tplc="0C090003" w:tentative="1">
      <w:start w:val="1"/>
      <w:numFmt w:val="bullet"/>
      <w:lvlText w:val="o"/>
      <w:lvlJc w:val="left"/>
      <w:pPr>
        <w:ind w:left="3318" w:hanging="360"/>
      </w:pPr>
      <w:rPr>
        <w:rFonts w:ascii="Courier New" w:hAnsi="Courier New" w:cs="Courier New" w:hint="default"/>
      </w:rPr>
    </w:lvl>
    <w:lvl w:ilvl="5" w:tplc="0C090005" w:tentative="1">
      <w:start w:val="1"/>
      <w:numFmt w:val="bullet"/>
      <w:lvlText w:val=""/>
      <w:lvlJc w:val="left"/>
      <w:pPr>
        <w:ind w:left="4038" w:hanging="360"/>
      </w:pPr>
      <w:rPr>
        <w:rFonts w:ascii="Wingdings" w:hAnsi="Wingdings" w:hint="default"/>
      </w:rPr>
    </w:lvl>
    <w:lvl w:ilvl="6" w:tplc="0C090001" w:tentative="1">
      <w:start w:val="1"/>
      <w:numFmt w:val="bullet"/>
      <w:lvlText w:val=""/>
      <w:lvlJc w:val="left"/>
      <w:pPr>
        <w:ind w:left="4758" w:hanging="360"/>
      </w:pPr>
      <w:rPr>
        <w:rFonts w:ascii="Symbol" w:hAnsi="Symbol" w:hint="default"/>
      </w:rPr>
    </w:lvl>
    <w:lvl w:ilvl="7" w:tplc="0C090003" w:tentative="1">
      <w:start w:val="1"/>
      <w:numFmt w:val="bullet"/>
      <w:lvlText w:val="o"/>
      <w:lvlJc w:val="left"/>
      <w:pPr>
        <w:ind w:left="5478" w:hanging="360"/>
      </w:pPr>
      <w:rPr>
        <w:rFonts w:ascii="Courier New" w:hAnsi="Courier New" w:cs="Courier New" w:hint="default"/>
      </w:rPr>
    </w:lvl>
    <w:lvl w:ilvl="8" w:tplc="0C090005" w:tentative="1">
      <w:start w:val="1"/>
      <w:numFmt w:val="bullet"/>
      <w:lvlText w:val=""/>
      <w:lvlJc w:val="left"/>
      <w:pPr>
        <w:ind w:left="6198" w:hanging="360"/>
      </w:pPr>
      <w:rPr>
        <w:rFonts w:ascii="Wingdings" w:hAnsi="Wingdings" w:hint="default"/>
      </w:rPr>
    </w:lvl>
  </w:abstractNum>
  <w:abstractNum w:abstractNumId="40">
    <w:nsid w:val="7E1005E2"/>
    <w:multiLevelType w:val="hybridMultilevel"/>
    <w:tmpl w:val="996C5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38"/>
  </w:num>
  <w:num w:numId="3">
    <w:abstractNumId w:val="40"/>
  </w:num>
  <w:num w:numId="4">
    <w:abstractNumId w:val="10"/>
  </w:num>
  <w:num w:numId="5">
    <w:abstractNumId w:val="19"/>
  </w:num>
  <w:num w:numId="6">
    <w:abstractNumId w:val="13"/>
  </w:num>
  <w:num w:numId="7">
    <w:abstractNumId w:val="18"/>
  </w:num>
  <w:num w:numId="8">
    <w:abstractNumId w:val="25"/>
  </w:num>
  <w:num w:numId="9">
    <w:abstractNumId w:val="31"/>
  </w:num>
  <w:num w:numId="10">
    <w:abstractNumId w:val="39"/>
  </w:num>
  <w:num w:numId="11">
    <w:abstractNumId w:val="3"/>
  </w:num>
  <w:num w:numId="12">
    <w:abstractNumId w:val="27"/>
  </w:num>
  <w:num w:numId="13">
    <w:abstractNumId w:val="12"/>
  </w:num>
  <w:num w:numId="14">
    <w:abstractNumId w:val="15"/>
  </w:num>
  <w:num w:numId="15">
    <w:abstractNumId w:val="0"/>
  </w:num>
  <w:num w:numId="16">
    <w:abstractNumId w:val="23"/>
  </w:num>
  <w:num w:numId="17">
    <w:abstractNumId w:val="2"/>
  </w:num>
  <w:num w:numId="18">
    <w:abstractNumId w:val="34"/>
  </w:num>
  <w:num w:numId="19">
    <w:abstractNumId w:val="4"/>
  </w:num>
  <w:num w:numId="20">
    <w:abstractNumId w:val="26"/>
  </w:num>
  <w:num w:numId="21">
    <w:abstractNumId w:val="8"/>
  </w:num>
  <w:num w:numId="22">
    <w:abstractNumId w:val="16"/>
  </w:num>
  <w:num w:numId="23">
    <w:abstractNumId w:val="32"/>
  </w:num>
  <w:num w:numId="24">
    <w:abstractNumId w:val="36"/>
  </w:num>
  <w:num w:numId="25">
    <w:abstractNumId w:val="11"/>
  </w:num>
  <w:num w:numId="26">
    <w:abstractNumId w:val="21"/>
  </w:num>
  <w:num w:numId="27">
    <w:abstractNumId w:val="24"/>
  </w:num>
  <w:num w:numId="28">
    <w:abstractNumId w:val="37"/>
  </w:num>
  <w:num w:numId="29">
    <w:abstractNumId w:val="17"/>
  </w:num>
  <w:num w:numId="30">
    <w:abstractNumId w:val="33"/>
  </w:num>
  <w:num w:numId="31">
    <w:abstractNumId w:val="14"/>
  </w:num>
  <w:num w:numId="32">
    <w:abstractNumId w:val="30"/>
  </w:num>
  <w:num w:numId="33">
    <w:abstractNumId w:val="5"/>
  </w:num>
  <w:num w:numId="34">
    <w:abstractNumId w:val="9"/>
  </w:num>
  <w:num w:numId="35">
    <w:abstractNumId w:val="22"/>
  </w:num>
  <w:num w:numId="36">
    <w:abstractNumId w:val="6"/>
  </w:num>
  <w:num w:numId="37">
    <w:abstractNumId w:val="1"/>
  </w:num>
  <w:num w:numId="38">
    <w:abstractNumId w:val="35"/>
  </w:num>
  <w:num w:numId="39">
    <w:abstractNumId w:val="20"/>
  </w:num>
  <w:num w:numId="40">
    <w:abstractNumId w:val="7"/>
  </w:num>
  <w:num w:numId="41">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hdrShapeDefaults>
    <o:shapedefaults v:ext="edit" spidmax="716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zxa00wf2opvf9oeeset50xz7ezpfwre2v20z&quot;&gt;Master HPSF 2017-2021 EndNote Library&lt;record-ids&gt;&lt;item&gt;2&lt;/item&gt;&lt;item&gt;4&lt;/item&gt;&lt;item&gt;5&lt;/item&gt;&lt;item&gt;16&lt;/item&gt;&lt;item&gt;20&lt;/item&gt;&lt;item&gt;26&lt;/item&gt;&lt;item&gt;30&lt;/item&gt;&lt;item&gt;36&lt;/item&gt;&lt;item&gt;47&lt;/item&gt;&lt;item&gt;51&lt;/item&gt;&lt;item&gt;58&lt;/item&gt;&lt;item&gt;68&lt;/item&gt;&lt;item&gt;77&lt;/item&gt;&lt;item&gt;79&lt;/item&gt;&lt;item&gt;93&lt;/item&gt;&lt;item&gt;95&lt;/item&gt;&lt;item&gt;119&lt;/item&gt;&lt;item&gt;121&lt;/item&gt;&lt;item&gt;123&lt;/item&gt;&lt;item&gt;135&lt;/item&gt;&lt;item&gt;149&lt;/item&gt;&lt;item&gt;197&lt;/item&gt;&lt;item&gt;200&lt;/item&gt;&lt;item&gt;207&lt;/item&gt;&lt;item&gt;209&lt;/item&gt;&lt;item&gt;212&lt;/item&gt;&lt;item&gt;220&lt;/item&gt;&lt;item&gt;225&lt;/item&gt;&lt;item&gt;228&lt;/item&gt;&lt;item&gt;234&lt;/item&gt;&lt;item&gt;263&lt;/item&gt;&lt;item&gt;277&lt;/item&gt;&lt;item&gt;285&lt;/item&gt;&lt;item&gt;288&lt;/item&gt;&lt;item&gt;290&lt;/item&gt;&lt;item&gt;331&lt;/item&gt;&lt;item&gt;339&lt;/item&gt;&lt;item&gt;353&lt;/item&gt;&lt;item&gt;400&lt;/item&gt;&lt;item&gt;413&lt;/item&gt;&lt;item&gt;418&lt;/item&gt;&lt;item&gt;429&lt;/item&gt;&lt;item&gt;432&lt;/item&gt;&lt;item&gt;453&lt;/item&gt;&lt;item&gt;454&lt;/item&gt;&lt;item&gt;460&lt;/item&gt;&lt;item&gt;467&lt;/item&gt;&lt;item&gt;479&lt;/item&gt;&lt;item&gt;500&lt;/item&gt;&lt;item&gt;507&lt;/item&gt;&lt;item&gt;508&lt;/item&gt;&lt;item&gt;528&lt;/item&gt;&lt;item&gt;544&lt;/item&gt;&lt;item&gt;568&lt;/item&gt;&lt;item&gt;572&lt;/item&gt;&lt;item&gt;588&lt;/item&gt;&lt;item&gt;626&lt;/item&gt;&lt;item&gt;651&lt;/item&gt;&lt;item&gt;653&lt;/item&gt;&lt;item&gt;657&lt;/item&gt;&lt;item&gt;665&lt;/item&gt;&lt;item&gt;667&lt;/item&gt;&lt;item&gt;668&lt;/item&gt;&lt;item&gt;672&lt;/item&gt;&lt;item&gt;673&lt;/item&gt;&lt;item&gt;679&lt;/item&gt;&lt;item&gt;681&lt;/item&gt;&lt;item&gt;683&lt;/item&gt;&lt;item&gt;702&lt;/item&gt;&lt;item&gt;708&lt;/item&gt;&lt;item&gt;709&lt;/item&gt;&lt;item&gt;725&lt;/item&gt;&lt;item&gt;732&lt;/item&gt;&lt;item&gt;749&lt;/item&gt;&lt;item&gt;750&lt;/item&gt;&lt;item&gt;807&lt;/item&gt;&lt;item&gt;809&lt;/item&gt;&lt;item&gt;829&lt;/item&gt;&lt;item&gt;833&lt;/item&gt;&lt;item&gt;852&lt;/item&gt;&lt;item&gt;856&lt;/item&gt;&lt;item&gt;883&lt;/item&gt;&lt;item&gt;894&lt;/item&gt;&lt;item&gt;898&lt;/item&gt;&lt;item&gt;904&lt;/item&gt;&lt;item&gt;914&lt;/item&gt;&lt;item&gt;916&lt;/item&gt;&lt;item&gt;924&lt;/item&gt;&lt;item&gt;925&lt;/item&gt;&lt;item&gt;934&lt;/item&gt;&lt;item&gt;938&lt;/item&gt;&lt;item&gt;941&lt;/item&gt;&lt;item&gt;942&lt;/item&gt;&lt;item&gt;944&lt;/item&gt;&lt;item&gt;969&lt;/item&gt;&lt;item&gt;970&lt;/item&gt;&lt;item&gt;971&lt;/item&gt;&lt;item&gt;972&lt;/item&gt;&lt;item&gt;973&lt;/item&gt;&lt;item&gt;974&lt;/item&gt;&lt;item&gt;975&lt;/item&gt;&lt;item&gt;977&lt;/item&gt;&lt;item&gt;978&lt;/item&gt;&lt;item&gt;979&lt;/item&gt;&lt;item&gt;980&lt;/item&gt;&lt;item&gt;981&lt;/item&gt;&lt;item&gt;982&lt;/item&gt;&lt;item&gt;983&lt;/item&gt;&lt;item&gt;987&lt;/item&gt;&lt;item&gt;988&lt;/item&gt;&lt;item&gt;989&lt;/item&gt;&lt;item&gt;990&lt;/item&gt;&lt;item&gt;991&lt;/item&gt;&lt;item&gt;992&lt;/item&gt;&lt;item&gt;994&lt;/item&gt;&lt;item&gt;995&lt;/item&gt;&lt;item&gt;999&lt;/item&gt;&lt;item&gt;1002&lt;/item&gt;&lt;item&gt;1003&lt;/item&gt;&lt;item&gt;1005&lt;/item&gt;&lt;item&gt;1007&lt;/item&gt;&lt;item&gt;1008&lt;/item&gt;&lt;item&gt;1011&lt;/item&gt;&lt;item&gt;1012&lt;/item&gt;&lt;item&gt;1014&lt;/item&gt;&lt;item&gt;1015&lt;/item&gt;&lt;item&gt;1016&lt;/item&gt;&lt;item&gt;1017&lt;/item&gt;&lt;item&gt;1019&lt;/item&gt;&lt;item&gt;1021&lt;/item&gt;&lt;item&gt;1022&lt;/item&gt;&lt;item&gt;1023&lt;/item&gt;&lt;item&gt;1025&lt;/item&gt;&lt;item&gt;1026&lt;/item&gt;&lt;item&gt;1027&lt;/item&gt;&lt;item&gt;1028&lt;/item&gt;&lt;item&gt;1034&lt;/item&gt;&lt;item&gt;1038&lt;/item&gt;&lt;item&gt;1040&lt;/item&gt;&lt;item&gt;1041&lt;/item&gt;&lt;item&gt;1044&lt;/item&gt;&lt;item&gt;1045&lt;/item&gt;&lt;item&gt;1046&lt;/item&gt;&lt;item&gt;1047&lt;/item&gt;&lt;item&gt;1048&lt;/item&gt;&lt;item&gt;1049&lt;/item&gt;&lt;item&gt;1050&lt;/item&gt;&lt;item&gt;1051&lt;/item&gt;&lt;item&gt;1052&lt;/item&gt;&lt;item&gt;1053&lt;/item&gt;&lt;item&gt;1054&lt;/item&gt;&lt;item&gt;1055&lt;/item&gt;&lt;item&gt;1056&lt;/item&gt;&lt;item&gt;1057&lt;/item&gt;&lt;item&gt;1058&lt;/item&gt;&lt;item&gt;1059&lt;/item&gt;&lt;item&gt;1061&lt;/item&gt;&lt;item&gt;1062&lt;/item&gt;&lt;item&gt;1063&lt;/item&gt;&lt;item&gt;1064&lt;/item&gt;&lt;item&gt;1065&lt;/item&gt;&lt;item&gt;1066&lt;/item&gt;&lt;item&gt;1067&lt;/item&gt;&lt;item&gt;1068&lt;/item&gt;&lt;item&gt;1070&lt;/item&gt;&lt;item&gt;1071&lt;/item&gt;&lt;item&gt;1072&lt;/item&gt;&lt;item&gt;1076&lt;/item&gt;&lt;item&gt;1077&lt;/item&gt;&lt;item&gt;1078&lt;/item&gt;&lt;item&gt;1080&lt;/item&gt;&lt;item&gt;1081&lt;/item&gt;&lt;item&gt;1084&lt;/item&gt;&lt;item&gt;1085&lt;/item&gt;&lt;item&gt;1086&lt;/item&gt;&lt;item&gt;1087&lt;/item&gt;&lt;item&gt;1088&lt;/item&gt;&lt;item&gt;1090&lt;/item&gt;&lt;item&gt;1091&lt;/item&gt;&lt;item&gt;1093&lt;/item&gt;&lt;item&gt;1094&lt;/item&gt;&lt;item&gt;1095&lt;/item&gt;&lt;item&gt;1096&lt;/item&gt;&lt;item&gt;1097&lt;/item&gt;&lt;item&gt;1098&lt;/item&gt;&lt;item&gt;1099&lt;/item&gt;&lt;item&gt;1100&lt;/item&gt;&lt;item&gt;1101&lt;/item&gt;&lt;item&gt;1102&lt;/item&gt;&lt;item&gt;1103&lt;/item&gt;&lt;item&gt;1104&lt;/item&gt;&lt;/record-ids&gt;&lt;/item&gt;&lt;/Libraries&gt;"/>
  </w:docVars>
  <w:rsids>
    <w:rsidRoot w:val="00CC5555"/>
    <w:rsid w:val="000003A2"/>
    <w:rsid w:val="00000B20"/>
    <w:rsid w:val="0000106F"/>
    <w:rsid w:val="000011AB"/>
    <w:rsid w:val="00001DCD"/>
    <w:rsid w:val="000020E1"/>
    <w:rsid w:val="00002B79"/>
    <w:rsid w:val="00003C9A"/>
    <w:rsid w:val="00003ED4"/>
    <w:rsid w:val="000042A7"/>
    <w:rsid w:val="00004717"/>
    <w:rsid w:val="00005521"/>
    <w:rsid w:val="00006D91"/>
    <w:rsid w:val="00007794"/>
    <w:rsid w:val="000077A4"/>
    <w:rsid w:val="00010649"/>
    <w:rsid w:val="0001077B"/>
    <w:rsid w:val="00010850"/>
    <w:rsid w:val="00010ADF"/>
    <w:rsid w:val="00010F00"/>
    <w:rsid w:val="00010FAD"/>
    <w:rsid w:val="000116B8"/>
    <w:rsid w:val="00013120"/>
    <w:rsid w:val="00014408"/>
    <w:rsid w:val="000145F7"/>
    <w:rsid w:val="00014F9E"/>
    <w:rsid w:val="000151A9"/>
    <w:rsid w:val="000153FC"/>
    <w:rsid w:val="000159F8"/>
    <w:rsid w:val="000160F7"/>
    <w:rsid w:val="0001636A"/>
    <w:rsid w:val="00016D51"/>
    <w:rsid w:val="00016FA9"/>
    <w:rsid w:val="000205D0"/>
    <w:rsid w:val="000209F4"/>
    <w:rsid w:val="000220A2"/>
    <w:rsid w:val="00023048"/>
    <w:rsid w:val="00023280"/>
    <w:rsid w:val="00023385"/>
    <w:rsid w:val="00023624"/>
    <w:rsid w:val="0002366C"/>
    <w:rsid w:val="00023F35"/>
    <w:rsid w:val="000243E2"/>
    <w:rsid w:val="0002451F"/>
    <w:rsid w:val="00025375"/>
    <w:rsid w:val="00025425"/>
    <w:rsid w:val="00025790"/>
    <w:rsid w:val="00025DC4"/>
    <w:rsid w:val="00026249"/>
    <w:rsid w:val="00026480"/>
    <w:rsid w:val="00026EE2"/>
    <w:rsid w:val="00027046"/>
    <w:rsid w:val="0002723C"/>
    <w:rsid w:val="00027C46"/>
    <w:rsid w:val="00030965"/>
    <w:rsid w:val="0003123F"/>
    <w:rsid w:val="0003171B"/>
    <w:rsid w:val="00031976"/>
    <w:rsid w:val="00031B94"/>
    <w:rsid w:val="00032422"/>
    <w:rsid w:val="00032C40"/>
    <w:rsid w:val="00032F98"/>
    <w:rsid w:val="0003325D"/>
    <w:rsid w:val="000336FE"/>
    <w:rsid w:val="00033ED5"/>
    <w:rsid w:val="000343EB"/>
    <w:rsid w:val="0003459B"/>
    <w:rsid w:val="00034B8C"/>
    <w:rsid w:val="0003515D"/>
    <w:rsid w:val="000353A6"/>
    <w:rsid w:val="000354A5"/>
    <w:rsid w:val="000356DD"/>
    <w:rsid w:val="00035D6B"/>
    <w:rsid w:val="00035DDD"/>
    <w:rsid w:val="00036516"/>
    <w:rsid w:val="00036E5F"/>
    <w:rsid w:val="00036FB7"/>
    <w:rsid w:val="00037780"/>
    <w:rsid w:val="00037CF6"/>
    <w:rsid w:val="00037F9B"/>
    <w:rsid w:val="000407E0"/>
    <w:rsid w:val="000421BB"/>
    <w:rsid w:val="0004299B"/>
    <w:rsid w:val="00042CCA"/>
    <w:rsid w:val="00042ECE"/>
    <w:rsid w:val="00043014"/>
    <w:rsid w:val="00043187"/>
    <w:rsid w:val="000433C3"/>
    <w:rsid w:val="000439F1"/>
    <w:rsid w:val="00043FAA"/>
    <w:rsid w:val="00045236"/>
    <w:rsid w:val="00045472"/>
    <w:rsid w:val="00045E34"/>
    <w:rsid w:val="000466B8"/>
    <w:rsid w:val="000468B3"/>
    <w:rsid w:val="00047F11"/>
    <w:rsid w:val="0005064F"/>
    <w:rsid w:val="0005080A"/>
    <w:rsid w:val="0005088E"/>
    <w:rsid w:val="00051965"/>
    <w:rsid w:val="00051CEE"/>
    <w:rsid w:val="000521EF"/>
    <w:rsid w:val="0005244E"/>
    <w:rsid w:val="00052649"/>
    <w:rsid w:val="00052EA3"/>
    <w:rsid w:val="000546FA"/>
    <w:rsid w:val="000553A4"/>
    <w:rsid w:val="0005547D"/>
    <w:rsid w:val="00055AAA"/>
    <w:rsid w:val="00055AB1"/>
    <w:rsid w:val="00055B35"/>
    <w:rsid w:val="00055E63"/>
    <w:rsid w:val="00055FD1"/>
    <w:rsid w:val="00056302"/>
    <w:rsid w:val="000565FB"/>
    <w:rsid w:val="00056ED0"/>
    <w:rsid w:val="0005713D"/>
    <w:rsid w:val="000572CC"/>
    <w:rsid w:val="0005746C"/>
    <w:rsid w:val="00057478"/>
    <w:rsid w:val="00057599"/>
    <w:rsid w:val="00057C9B"/>
    <w:rsid w:val="00057DE6"/>
    <w:rsid w:val="0006060C"/>
    <w:rsid w:val="000609E7"/>
    <w:rsid w:val="000611CC"/>
    <w:rsid w:val="00061271"/>
    <w:rsid w:val="00061556"/>
    <w:rsid w:val="00062528"/>
    <w:rsid w:val="0006280F"/>
    <w:rsid w:val="00062D50"/>
    <w:rsid w:val="00062F12"/>
    <w:rsid w:val="00063F27"/>
    <w:rsid w:val="000641DD"/>
    <w:rsid w:val="000643DF"/>
    <w:rsid w:val="0006461E"/>
    <w:rsid w:val="00064AF5"/>
    <w:rsid w:val="00064C31"/>
    <w:rsid w:val="00064F45"/>
    <w:rsid w:val="00064F6F"/>
    <w:rsid w:val="00065913"/>
    <w:rsid w:val="000668FA"/>
    <w:rsid w:val="00067954"/>
    <w:rsid w:val="00067AD9"/>
    <w:rsid w:val="0007018A"/>
    <w:rsid w:val="000701A9"/>
    <w:rsid w:val="00070BCF"/>
    <w:rsid w:val="00070CB3"/>
    <w:rsid w:val="00071B5D"/>
    <w:rsid w:val="000730C3"/>
    <w:rsid w:val="00073102"/>
    <w:rsid w:val="00073424"/>
    <w:rsid w:val="00073450"/>
    <w:rsid w:val="0007354F"/>
    <w:rsid w:val="000741C3"/>
    <w:rsid w:val="00074E5F"/>
    <w:rsid w:val="00074FD2"/>
    <w:rsid w:val="00075036"/>
    <w:rsid w:val="000754C1"/>
    <w:rsid w:val="00076F2D"/>
    <w:rsid w:val="00076FB9"/>
    <w:rsid w:val="000776BA"/>
    <w:rsid w:val="000777E0"/>
    <w:rsid w:val="00080024"/>
    <w:rsid w:val="00080841"/>
    <w:rsid w:val="0008134D"/>
    <w:rsid w:val="00081A13"/>
    <w:rsid w:val="00081A8B"/>
    <w:rsid w:val="0008202B"/>
    <w:rsid w:val="000821E0"/>
    <w:rsid w:val="00083009"/>
    <w:rsid w:val="000830A7"/>
    <w:rsid w:val="00083B0B"/>
    <w:rsid w:val="00084745"/>
    <w:rsid w:val="00084799"/>
    <w:rsid w:val="0008526F"/>
    <w:rsid w:val="000853EC"/>
    <w:rsid w:val="00085ECA"/>
    <w:rsid w:val="000864A0"/>
    <w:rsid w:val="000869A5"/>
    <w:rsid w:val="0009014D"/>
    <w:rsid w:val="000903A8"/>
    <w:rsid w:val="000905CB"/>
    <w:rsid w:val="00091309"/>
    <w:rsid w:val="0009141F"/>
    <w:rsid w:val="0009191F"/>
    <w:rsid w:val="00091E1B"/>
    <w:rsid w:val="000927A7"/>
    <w:rsid w:val="00092871"/>
    <w:rsid w:val="00092BC2"/>
    <w:rsid w:val="00093FDD"/>
    <w:rsid w:val="00094A0F"/>
    <w:rsid w:val="00095012"/>
    <w:rsid w:val="00095596"/>
    <w:rsid w:val="00095DFA"/>
    <w:rsid w:val="00097037"/>
    <w:rsid w:val="00097376"/>
    <w:rsid w:val="00097920"/>
    <w:rsid w:val="00097DD4"/>
    <w:rsid w:val="000A0C40"/>
    <w:rsid w:val="000A133D"/>
    <w:rsid w:val="000A1A06"/>
    <w:rsid w:val="000A2051"/>
    <w:rsid w:val="000A2ADA"/>
    <w:rsid w:val="000A31F8"/>
    <w:rsid w:val="000A33E2"/>
    <w:rsid w:val="000A3CA4"/>
    <w:rsid w:val="000A401C"/>
    <w:rsid w:val="000A68B2"/>
    <w:rsid w:val="000A68C8"/>
    <w:rsid w:val="000B13BB"/>
    <w:rsid w:val="000B1B78"/>
    <w:rsid w:val="000B218C"/>
    <w:rsid w:val="000B2817"/>
    <w:rsid w:val="000B3BD5"/>
    <w:rsid w:val="000B417D"/>
    <w:rsid w:val="000B49BA"/>
    <w:rsid w:val="000B5170"/>
    <w:rsid w:val="000B53F1"/>
    <w:rsid w:val="000B541D"/>
    <w:rsid w:val="000B5DBA"/>
    <w:rsid w:val="000B5F2F"/>
    <w:rsid w:val="000B65A1"/>
    <w:rsid w:val="000B7488"/>
    <w:rsid w:val="000B752E"/>
    <w:rsid w:val="000B7593"/>
    <w:rsid w:val="000B78C3"/>
    <w:rsid w:val="000C01D0"/>
    <w:rsid w:val="000C1427"/>
    <w:rsid w:val="000C1781"/>
    <w:rsid w:val="000C22E0"/>
    <w:rsid w:val="000C263B"/>
    <w:rsid w:val="000C26A1"/>
    <w:rsid w:val="000C2838"/>
    <w:rsid w:val="000C2BA0"/>
    <w:rsid w:val="000C2E52"/>
    <w:rsid w:val="000C341E"/>
    <w:rsid w:val="000C39AE"/>
    <w:rsid w:val="000C57E3"/>
    <w:rsid w:val="000C5A84"/>
    <w:rsid w:val="000C5C7C"/>
    <w:rsid w:val="000C614F"/>
    <w:rsid w:val="000C66E6"/>
    <w:rsid w:val="000C6C89"/>
    <w:rsid w:val="000C6FA7"/>
    <w:rsid w:val="000C700C"/>
    <w:rsid w:val="000C70F8"/>
    <w:rsid w:val="000C73E8"/>
    <w:rsid w:val="000C79DF"/>
    <w:rsid w:val="000C7BC6"/>
    <w:rsid w:val="000C7C24"/>
    <w:rsid w:val="000D0CF7"/>
    <w:rsid w:val="000D14F8"/>
    <w:rsid w:val="000D1890"/>
    <w:rsid w:val="000D20C7"/>
    <w:rsid w:val="000D220C"/>
    <w:rsid w:val="000D2A1C"/>
    <w:rsid w:val="000D2C91"/>
    <w:rsid w:val="000D2FA7"/>
    <w:rsid w:val="000D30F4"/>
    <w:rsid w:val="000D3308"/>
    <w:rsid w:val="000D3516"/>
    <w:rsid w:val="000D362A"/>
    <w:rsid w:val="000D3718"/>
    <w:rsid w:val="000D563F"/>
    <w:rsid w:val="000D58C4"/>
    <w:rsid w:val="000D5EB0"/>
    <w:rsid w:val="000D6E37"/>
    <w:rsid w:val="000D7142"/>
    <w:rsid w:val="000D75E2"/>
    <w:rsid w:val="000D76A4"/>
    <w:rsid w:val="000D7D8A"/>
    <w:rsid w:val="000E0099"/>
    <w:rsid w:val="000E01F5"/>
    <w:rsid w:val="000E0377"/>
    <w:rsid w:val="000E08BA"/>
    <w:rsid w:val="000E13B5"/>
    <w:rsid w:val="000E1750"/>
    <w:rsid w:val="000E1FBF"/>
    <w:rsid w:val="000E2931"/>
    <w:rsid w:val="000E2B79"/>
    <w:rsid w:val="000E2E6A"/>
    <w:rsid w:val="000E35A5"/>
    <w:rsid w:val="000E4AA9"/>
    <w:rsid w:val="000E5592"/>
    <w:rsid w:val="000E63C1"/>
    <w:rsid w:val="000E6983"/>
    <w:rsid w:val="000E6C71"/>
    <w:rsid w:val="000E6E6F"/>
    <w:rsid w:val="000E791C"/>
    <w:rsid w:val="000F0981"/>
    <w:rsid w:val="000F0AC8"/>
    <w:rsid w:val="000F1148"/>
    <w:rsid w:val="000F17FC"/>
    <w:rsid w:val="000F185E"/>
    <w:rsid w:val="000F1A7F"/>
    <w:rsid w:val="000F3788"/>
    <w:rsid w:val="000F5146"/>
    <w:rsid w:val="000F553C"/>
    <w:rsid w:val="000F69DD"/>
    <w:rsid w:val="00100117"/>
    <w:rsid w:val="00100386"/>
    <w:rsid w:val="001005AB"/>
    <w:rsid w:val="0010158C"/>
    <w:rsid w:val="001017C1"/>
    <w:rsid w:val="00102303"/>
    <w:rsid w:val="001033BB"/>
    <w:rsid w:val="00103DC3"/>
    <w:rsid w:val="00104E17"/>
    <w:rsid w:val="00105B8F"/>
    <w:rsid w:val="001062A9"/>
    <w:rsid w:val="00106324"/>
    <w:rsid w:val="00106705"/>
    <w:rsid w:val="00106AB3"/>
    <w:rsid w:val="00106B3F"/>
    <w:rsid w:val="00107807"/>
    <w:rsid w:val="001105C5"/>
    <w:rsid w:val="00110831"/>
    <w:rsid w:val="0011093C"/>
    <w:rsid w:val="001125AC"/>
    <w:rsid w:val="00112AAD"/>
    <w:rsid w:val="00112C70"/>
    <w:rsid w:val="00113EAA"/>
    <w:rsid w:val="00114690"/>
    <w:rsid w:val="00114692"/>
    <w:rsid w:val="00114E7E"/>
    <w:rsid w:val="001168BE"/>
    <w:rsid w:val="00116D27"/>
    <w:rsid w:val="001172DB"/>
    <w:rsid w:val="00117415"/>
    <w:rsid w:val="001204B9"/>
    <w:rsid w:val="00120773"/>
    <w:rsid w:val="00120913"/>
    <w:rsid w:val="00120C48"/>
    <w:rsid w:val="001214D1"/>
    <w:rsid w:val="00121D92"/>
    <w:rsid w:val="00121E26"/>
    <w:rsid w:val="001253B8"/>
    <w:rsid w:val="00125709"/>
    <w:rsid w:val="001262B1"/>
    <w:rsid w:val="00126E25"/>
    <w:rsid w:val="00126FA0"/>
    <w:rsid w:val="00127233"/>
    <w:rsid w:val="00127459"/>
    <w:rsid w:val="001275AF"/>
    <w:rsid w:val="00131AAC"/>
    <w:rsid w:val="001324D2"/>
    <w:rsid w:val="001326C9"/>
    <w:rsid w:val="00132842"/>
    <w:rsid w:val="00133372"/>
    <w:rsid w:val="00133B0C"/>
    <w:rsid w:val="00133CE7"/>
    <w:rsid w:val="00134057"/>
    <w:rsid w:val="00134084"/>
    <w:rsid w:val="00134501"/>
    <w:rsid w:val="001346BA"/>
    <w:rsid w:val="0013485E"/>
    <w:rsid w:val="00134E8E"/>
    <w:rsid w:val="00135205"/>
    <w:rsid w:val="0013558E"/>
    <w:rsid w:val="001374D9"/>
    <w:rsid w:val="0013798A"/>
    <w:rsid w:val="00140E96"/>
    <w:rsid w:val="00142732"/>
    <w:rsid w:val="0014284E"/>
    <w:rsid w:val="00142874"/>
    <w:rsid w:val="001428B4"/>
    <w:rsid w:val="00143C42"/>
    <w:rsid w:val="0014478F"/>
    <w:rsid w:val="00144F6A"/>
    <w:rsid w:val="00146805"/>
    <w:rsid w:val="001469D8"/>
    <w:rsid w:val="00146CE7"/>
    <w:rsid w:val="001503D7"/>
    <w:rsid w:val="001504E3"/>
    <w:rsid w:val="0015145B"/>
    <w:rsid w:val="00151C79"/>
    <w:rsid w:val="0015222B"/>
    <w:rsid w:val="0015238D"/>
    <w:rsid w:val="00152468"/>
    <w:rsid w:val="00152748"/>
    <w:rsid w:val="00153014"/>
    <w:rsid w:val="0015353E"/>
    <w:rsid w:val="00154346"/>
    <w:rsid w:val="00154C32"/>
    <w:rsid w:val="00155353"/>
    <w:rsid w:val="0015578C"/>
    <w:rsid w:val="001559AA"/>
    <w:rsid w:val="00155D80"/>
    <w:rsid w:val="00155E72"/>
    <w:rsid w:val="00155FD9"/>
    <w:rsid w:val="0015604E"/>
    <w:rsid w:val="00156E69"/>
    <w:rsid w:val="001575BA"/>
    <w:rsid w:val="001576CA"/>
    <w:rsid w:val="00160159"/>
    <w:rsid w:val="00160343"/>
    <w:rsid w:val="001604EA"/>
    <w:rsid w:val="001616F4"/>
    <w:rsid w:val="00161951"/>
    <w:rsid w:val="0016217A"/>
    <w:rsid w:val="00164B16"/>
    <w:rsid w:val="00164E33"/>
    <w:rsid w:val="00165AFA"/>
    <w:rsid w:val="00165D26"/>
    <w:rsid w:val="001673A9"/>
    <w:rsid w:val="00167E54"/>
    <w:rsid w:val="00167F91"/>
    <w:rsid w:val="0017025F"/>
    <w:rsid w:val="001705DA"/>
    <w:rsid w:val="00170CA3"/>
    <w:rsid w:val="0017101B"/>
    <w:rsid w:val="00171760"/>
    <w:rsid w:val="0017180F"/>
    <w:rsid w:val="00172351"/>
    <w:rsid w:val="001729A3"/>
    <w:rsid w:val="00172FD1"/>
    <w:rsid w:val="001738D8"/>
    <w:rsid w:val="00174647"/>
    <w:rsid w:val="00174971"/>
    <w:rsid w:val="001752C7"/>
    <w:rsid w:val="0017552B"/>
    <w:rsid w:val="001768AE"/>
    <w:rsid w:val="00176A38"/>
    <w:rsid w:val="001778AD"/>
    <w:rsid w:val="00180BB5"/>
    <w:rsid w:val="001815AC"/>
    <w:rsid w:val="001816EC"/>
    <w:rsid w:val="00181A10"/>
    <w:rsid w:val="00181D9D"/>
    <w:rsid w:val="001826B9"/>
    <w:rsid w:val="00182820"/>
    <w:rsid w:val="00182C3E"/>
    <w:rsid w:val="00182C49"/>
    <w:rsid w:val="0018395E"/>
    <w:rsid w:val="00184CCC"/>
    <w:rsid w:val="00185493"/>
    <w:rsid w:val="00185C9E"/>
    <w:rsid w:val="001864A3"/>
    <w:rsid w:val="001866DB"/>
    <w:rsid w:val="00187ED4"/>
    <w:rsid w:val="001904F1"/>
    <w:rsid w:val="00190E6D"/>
    <w:rsid w:val="00191221"/>
    <w:rsid w:val="00191988"/>
    <w:rsid w:val="00191AD2"/>
    <w:rsid w:val="00191F40"/>
    <w:rsid w:val="00193B5E"/>
    <w:rsid w:val="00194A25"/>
    <w:rsid w:val="00194AD8"/>
    <w:rsid w:val="001955B4"/>
    <w:rsid w:val="001963DB"/>
    <w:rsid w:val="0019684C"/>
    <w:rsid w:val="001A1423"/>
    <w:rsid w:val="001A1607"/>
    <w:rsid w:val="001A199D"/>
    <w:rsid w:val="001A1A5C"/>
    <w:rsid w:val="001A2225"/>
    <w:rsid w:val="001A2563"/>
    <w:rsid w:val="001A322E"/>
    <w:rsid w:val="001A38E7"/>
    <w:rsid w:val="001A3EC2"/>
    <w:rsid w:val="001A45B7"/>
    <w:rsid w:val="001A4BBD"/>
    <w:rsid w:val="001A5168"/>
    <w:rsid w:val="001A5BE2"/>
    <w:rsid w:val="001A65ED"/>
    <w:rsid w:val="001A68FE"/>
    <w:rsid w:val="001A6FDA"/>
    <w:rsid w:val="001A7084"/>
    <w:rsid w:val="001B0BBB"/>
    <w:rsid w:val="001B0CB5"/>
    <w:rsid w:val="001B1284"/>
    <w:rsid w:val="001B1D8A"/>
    <w:rsid w:val="001B22F0"/>
    <w:rsid w:val="001B336C"/>
    <w:rsid w:val="001B37F2"/>
    <w:rsid w:val="001B385C"/>
    <w:rsid w:val="001B4509"/>
    <w:rsid w:val="001B467F"/>
    <w:rsid w:val="001B5944"/>
    <w:rsid w:val="001B5C40"/>
    <w:rsid w:val="001B639D"/>
    <w:rsid w:val="001B64C4"/>
    <w:rsid w:val="001B68EA"/>
    <w:rsid w:val="001B6ED5"/>
    <w:rsid w:val="001B71BE"/>
    <w:rsid w:val="001B7306"/>
    <w:rsid w:val="001B7976"/>
    <w:rsid w:val="001B7B2B"/>
    <w:rsid w:val="001C0313"/>
    <w:rsid w:val="001C0A6C"/>
    <w:rsid w:val="001C2F99"/>
    <w:rsid w:val="001C4D76"/>
    <w:rsid w:val="001C5398"/>
    <w:rsid w:val="001C5743"/>
    <w:rsid w:val="001C63A5"/>
    <w:rsid w:val="001C65CE"/>
    <w:rsid w:val="001C6A28"/>
    <w:rsid w:val="001C74A1"/>
    <w:rsid w:val="001C761D"/>
    <w:rsid w:val="001D033B"/>
    <w:rsid w:val="001D047D"/>
    <w:rsid w:val="001D153F"/>
    <w:rsid w:val="001D1AA4"/>
    <w:rsid w:val="001D1B27"/>
    <w:rsid w:val="001D1DC2"/>
    <w:rsid w:val="001D20EA"/>
    <w:rsid w:val="001D2516"/>
    <w:rsid w:val="001D2EA2"/>
    <w:rsid w:val="001D3FB1"/>
    <w:rsid w:val="001D44F0"/>
    <w:rsid w:val="001D5171"/>
    <w:rsid w:val="001D535B"/>
    <w:rsid w:val="001D545A"/>
    <w:rsid w:val="001D5A34"/>
    <w:rsid w:val="001D6036"/>
    <w:rsid w:val="001D7857"/>
    <w:rsid w:val="001E03BA"/>
    <w:rsid w:val="001E062A"/>
    <w:rsid w:val="001E06A5"/>
    <w:rsid w:val="001E0EC5"/>
    <w:rsid w:val="001E1169"/>
    <w:rsid w:val="001E1857"/>
    <w:rsid w:val="001E1A84"/>
    <w:rsid w:val="001E2B6C"/>
    <w:rsid w:val="001E3770"/>
    <w:rsid w:val="001E406F"/>
    <w:rsid w:val="001E458B"/>
    <w:rsid w:val="001E4B78"/>
    <w:rsid w:val="001E50B0"/>
    <w:rsid w:val="001E57B3"/>
    <w:rsid w:val="001E682E"/>
    <w:rsid w:val="001E69DC"/>
    <w:rsid w:val="001E7525"/>
    <w:rsid w:val="001E7689"/>
    <w:rsid w:val="001E7B4E"/>
    <w:rsid w:val="001E7E7C"/>
    <w:rsid w:val="001F0482"/>
    <w:rsid w:val="001F05BA"/>
    <w:rsid w:val="001F0C9B"/>
    <w:rsid w:val="001F12C3"/>
    <w:rsid w:val="001F19CA"/>
    <w:rsid w:val="001F1B81"/>
    <w:rsid w:val="001F1C51"/>
    <w:rsid w:val="001F22E0"/>
    <w:rsid w:val="001F26CE"/>
    <w:rsid w:val="001F3E29"/>
    <w:rsid w:val="001F3F74"/>
    <w:rsid w:val="001F4D74"/>
    <w:rsid w:val="001F52E7"/>
    <w:rsid w:val="001F5674"/>
    <w:rsid w:val="001F5BC8"/>
    <w:rsid w:val="001F60B7"/>
    <w:rsid w:val="001F7138"/>
    <w:rsid w:val="001F7BB7"/>
    <w:rsid w:val="0020016C"/>
    <w:rsid w:val="00200825"/>
    <w:rsid w:val="00201798"/>
    <w:rsid w:val="00201C1B"/>
    <w:rsid w:val="00201D41"/>
    <w:rsid w:val="002020D7"/>
    <w:rsid w:val="002022EE"/>
    <w:rsid w:val="002036A6"/>
    <w:rsid w:val="002040D0"/>
    <w:rsid w:val="002041C8"/>
    <w:rsid w:val="00204395"/>
    <w:rsid w:val="00205483"/>
    <w:rsid w:val="002055F5"/>
    <w:rsid w:val="00205766"/>
    <w:rsid w:val="00206C87"/>
    <w:rsid w:val="00206DCE"/>
    <w:rsid w:val="0020731D"/>
    <w:rsid w:val="002073E3"/>
    <w:rsid w:val="00207716"/>
    <w:rsid w:val="00207B39"/>
    <w:rsid w:val="002105B9"/>
    <w:rsid w:val="0021142D"/>
    <w:rsid w:val="00212F1F"/>
    <w:rsid w:val="002134BF"/>
    <w:rsid w:val="002136CD"/>
    <w:rsid w:val="00213886"/>
    <w:rsid w:val="00213A32"/>
    <w:rsid w:val="00213A65"/>
    <w:rsid w:val="00213AAE"/>
    <w:rsid w:val="00213C69"/>
    <w:rsid w:val="00213D5D"/>
    <w:rsid w:val="002146B7"/>
    <w:rsid w:val="0021477D"/>
    <w:rsid w:val="002151E6"/>
    <w:rsid w:val="00215758"/>
    <w:rsid w:val="0021635F"/>
    <w:rsid w:val="00216643"/>
    <w:rsid w:val="00216D80"/>
    <w:rsid w:val="002170B6"/>
    <w:rsid w:val="00217A52"/>
    <w:rsid w:val="0022010C"/>
    <w:rsid w:val="00221953"/>
    <w:rsid w:val="00224508"/>
    <w:rsid w:val="00224561"/>
    <w:rsid w:val="00224C3D"/>
    <w:rsid w:val="00225638"/>
    <w:rsid w:val="00226870"/>
    <w:rsid w:val="00227752"/>
    <w:rsid w:val="002278C2"/>
    <w:rsid w:val="00230AC8"/>
    <w:rsid w:val="00230FF6"/>
    <w:rsid w:val="00231413"/>
    <w:rsid w:val="00231A06"/>
    <w:rsid w:val="00231C6C"/>
    <w:rsid w:val="00233647"/>
    <w:rsid w:val="00233AA6"/>
    <w:rsid w:val="002344C8"/>
    <w:rsid w:val="002349C4"/>
    <w:rsid w:val="002362EA"/>
    <w:rsid w:val="00236F28"/>
    <w:rsid w:val="00237F3A"/>
    <w:rsid w:val="0024047D"/>
    <w:rsid w:val="00240FF8"/>
    <w:rsid w:val="002413BE"/>
    <w:rsid w:val="0024154D"/>
    <w:rsid w:val="00241B4F"/>
    <w:rsid w:val="00242151"/>
    <w:rsid w:val="00242B79"/>
    <w:rsid w:val="00242D61"/>
    <w:rsid w:val="00243059"/>
    <w:rsid w:val="00243B5B"/>
    <w:rsid w:val="00244281"/>
    <w:rsid w:val="0024535C"/>
    <w:rsid w:val="00245FE9"/>
    <w:rsid w:val="002462B2"/>
    <w:rsid w:val="002464E3"/>
    <w:rsid w:val="00246B43"/>
    <w:rsid w:val="00246EF1"/>
    <w:rsid w:val="00246F3C"/>
    <w:rsid w:val="00247066"/>
    <w:rsid w:val="00247939"/>
    <w:rsid w:val="0025030D"/>
    <w:rsid w:val="002504ED"/>
    <w:rsid w:val="00250960"/>
    <w:rsid w:val="002510F8"/>
    <w:rsid w:val="0025140C"/>
    <w:rsid w:val="00252231"/>
    <w:rsid w:val="002526A0"/>
    <w:rsid w:val="00252D71"/>
    <w:rsid w:val="002542C2"/>
    <w:rsid w:val="002550CE"/>
    <w:rsid w:val="00255434"/>
    <w:rsid w:val="002556B6"/>
    <w:rsid w:val="002559F1"/>
    <w:rsid w:val="00255EF3"/>
    <w:rsid w:val="00256309"/>
    <w:rsid w:val="00257FB6"/>
    <w:rsid w:val="00260552"/>
    <w:rsid w:val="00260667"/>
    <w:rsid w:val="00261F09"/>
    <w:rsid w:val="002628C2"/>
    <w:rsid w:val="00262C0A"/>
    <w:rsid w:val="00263277"/>
    <w:rsid w:val="00263290"/>
    <w:rsid w:val="002635DF"/>
    <w:rsid w:val="00263A87"/>
    <w:rsid w:val="00263F9E"/>
    <w:rsid w:val="002640CD"/>
    <w:rsid w:val="0026413F"/>
    <w:rsid w:val="00264219"/>
    <w:rsid w:val="00264CA0"/>
    <w:rsid w:val="00265D3E"/>
    <w:rsid w:val="00266D5D"/>
    <w:rsid w:val="00266D72"/>
    <w:rsid w:val="00266E2A"/>
    <w:rsid w:val="00267AE6"/>
    <w:rsid w:val="00267D01"/>
    <w:rsid w:val="0027015C"/>
    <w:rsid w:val="002704DE"/>
    <w:rsid w:val="00270FB3"/>
    <w:rsid w:val="00271057"/>
    <w:rsid w:val="00271485"/>
    <w:rsid w:val="00271990"/>
    <w:rsid w:val="00271CC3"/>
    <w:rsid w:val="00272615"/>
    <w:rsid w:val="00272A14"/>
    <w:rsid w:val="00272E94"/>
    <w:rsid w:val="00273109"/>
    <w:rsid w:val="00273E0C"/>
    <w:rsid w:val="00273E72"/>
    <w:rsid w:val="00274559"/>
    <w:rsid w:val="0027455E"/>
    <w:rsid w:val="002747DC"/>
    <w:rsid w:val="00274B00"/>
    <w:rsid w:val="002752C0"/>
    <w:rsid w:val="00275388"/>
    <w:rsid w:val="002754AA"/>
    <w:rsid w:val="0027618A"/>
    <w:rsid w:val="00281D41"/>
    <w:rsid w:val="002827DE"/>
    <w:rsid w:val="00282ADF"/>
    <w:rsid w:val="00282AED"/>
    <w:rsid w:val="00283420"/>
    <w:rsid w:val="0028553A"/>
    <w:rsid w:val="00285AFC"/>
    <w:rsid w:val="002860DB"/>
    <w:rsid w:val="0028686C"/>
    <w:rsid w:val="0028766D"/>
    <w:rsid w:val="00287B7C"/>
    <w:rsid w:val="002900B3"/>
    <w:rsid w:val="00290FE2"/>
    <w:rsid w:val="00291439"/>
    <w:rsid w:val="0029147E"/>
    <w:rsid w:val="00291709"/>
    <w:rsid w:val="002918A3"/>
    <w:rsid w:val="00291EDB"/>
    <w:rsid w:val="00292036"/>
    <w:rsid w:val="00292270"/>
    <w:rsid w:val="00292561"/>
    <w:rsid w:val="00292BA1"/>
    <w:rsid w:val="00292FAA"/>
    <w:rsid w:val="00295779"/>
    <w:rsid w:val="002966CB"/>
    <w:rsid w:val="00296B5E"/>
    <w:rsid w:val="00296DE0"/>
    <w:rsid w:val="00297148"/>
    <w:rsid w:val="00297409"/>
    <w:rsid w:val="002A040A"/>
    <w:rsid w:val="002A090E"/>
    <w:rsid w:val="002A0D88"/>
    <w:rsid w:val="002A1766"/>
    <w:rsid w:val="002A1BCA"/>
    <w:rsid w:val="002A248C"/>
    <w:rsid w:val="002A2F4B"/>
    <w:rsid w:val="002A30BC"/>
    <w:rsid w:val="002A34EB"/>
    <w:rsid w:val="002A373E"/>
    <w:rsid w:val="002A4494"/>
    <w:rsid w:val="002A4729"/>
    <w:rsid w:val="002A4FA7"/>
    <w:rsid w:val="002A6C3C"/>
    <w:rsid w:val="002A6D82"/>
    <w:rsid w:val="002A6E9B"/>
    <w:rsid w:val="002A7368"/>
    <w:rsid w:val="002A7ADB"/>
    <w:rsid w:val="002B0BFC"/>
    <w:rsid w:val="002B0D0A"/>
    <w:rsid w:val="002B14E2"/>
    <w:rsid w:val="002B1C98"/>
    <w:rsid w:val="002B1CEF"/>
    <w:rsid w:val="002B1DDE"/>
    <w:rsid w:val="002B243E"/>
    <w:rsid w:val="002B28A0"/>
    <w:rsid w:val="002B2C3C"/>
    <w:rsid w:val="002B2C60"/>
    <w:rsid w:val="002B2F9D"/>
    <w:rsid w:val="002B40C6"/>
    <w:rsid w:val="002B411C"/>
    <w:rsid w:val="002B433E"/>
    <w:rsid w:val="002B4DDD"/>
    <w:rsid w:val="002B4DFA"/>
    <w:rsid w:val="002B61CD"/>
    <w:rsid w:val="002B6880"/>
    <w:rsid w:val="002B6993"/>
    <w:rsid w:val="002B69A7"/>
    <w:rsid w:val="002B745A"/>
    <w:rsid w:val="002B75D6"/>
    <w:rsid w:val="002B75EF"/>
    <w:rsid w:val="002B78EE"/>
    <w:rsid w:val="002B7DA3"/>
    <w:rsid w:val="002B7DD8"/>
    <w:rsid w:val="002C0CA3"/>
    <w:rsid w:val="002C0E36"/>
    <w:rsid w:val="002C1C9C"/>
    <w:rsid w:val="002C1D4D"/>
    <w:rsid w:val="002C1E54"/>
    <w:rsid w:val="002C1EC1"/>
    <w:rsid w:val="002C1F22"/>
    <w:rsid w:val="002C2B99"/>
    <w:rsid w:val="002C30CA"/>
    <w:rsid w:val="002C35FD"/>
    <w:rsid w:val="002C3A24"/>
    <w:rsid w:val="002C3F29"/>
    <w:rsid w:val="002C483F"/>
    <w:rsid w:val="002C4DB2"/>
    <w:rsid w:val="002C50CD"/>
    <w:rsid w:val="002C5478"/>
    <w:rsid w:val="002C5EBD"/>
    <w:rsid w:val="002C63DF"/>
    <w:rsid w:val="002C6770"/>
    <w:rsid w:val="002C69FA"/>
    <w:rsid w:val="002C7294"/>
    <w:rsid w:val="002C72C6"/>
    <w:rsid w:val="002C74D7"/>
    <w:rsid w:val="002C7F87"/>
    <w:rsid w:val="002C7F8B"/>
    <w:rsid w:val="002D00D2"/>
    <w:rsid w:val="002D02B7"/>
    <w:rsid w:val="002D0311"/>
    <w:rsid w:val="002D033A"/>
    <w:rsid w:val="002D03E8"/>
    <w:rsid w:val="002D1310"/>
    <w:rsid w:val="002D1D6D"/>
    <w:rsid w:val="002D36BF"/>
    <w:rsid w:val="002D3837"/>
    <w:rsid w:val="002D43EF"/>
    <w:rsid w:val="002D4A7A"/>
    <w:rsid w:val="002D4BF7"/>
    <w:rsid w:val="002D4E78"/>
    <w:rsid w:val="002D5022"/>
    <w:rsid w:val="002D5953"/>
    <w:rsid w:val="002D5AA1"/>
    <w:rsid w:val="002D6141"/>
    <w:rsid w:val="002D6AE3"/>
    <w:rsid w:val="002D7258"/>
    <w:rsid w:val="002D73E1"/>
    <w:rsid w:val="002D7491"/>
    <w:rsid w:val="002D7DE4"/>
    <w:rsid w:val="002D7E22"/>
    <w:rsid w:val="002E02D1"/>
    <w:rsid w:val="002E07FE"/>
    <w:rsid w:val="002E08DA"/>
    <w:rsid w:val="002E14C5"/>
    <w:rsid w:val="002E3571"/>
    <w:rsid w:val="002E4198"/>
    <w:rsid w:val="002E47C4"/>
    <w:rsid w:val="002E55C0"/>
    <w:rsid w:val="002E59B7"/>
    <w:rsid w:val="002E5CD0"/>
    <w:rsid w:val="002E60B9"/>
    <w:rsid w:val="002E698E"/>
    <w:rsid w:val="002E6C38"/>
    <w:rsid w:val="002E7EB3"/>
    <w:rsid w:val="002F0E10"/>
    <w:rsid w:val="002F11D9"/>
    <w:rsid w:val="002F121A"/>
    <w:rsid w:val="002F1A00"/>
    <w:rsid w:val="002F20AB"/>
    <w:rsid w:val="002F312A"/>
    <w:rsid w:val="002F325B"/>
    <w:rsid w:val="002F37C4"/>
    <w:rsid w:val="002F3868"/>
    <w:rsid w:val="002F39E7"/>
    <w:rsid w:val="002F401B"/>
    <w:rsid w:val="002F4615"/>
    <w:rsid w:val="002F4CEF"/>
    <w:rsid w:val="002F54AA"/>
    <w:rsid w:val="002F6140"/>
    <w:rsid w:val="002F6213"/>
    <w:rsid w:val="002F6386"/>
    <w:rsid w:val="002F68C2"/>
    <w:rsid w:val="002F6C32"/>
    <w:rsid w:val="002F7905"/>
    <w:rsid w:val="003002FE"/>
    <w:rsid w:val="003004D3"/>
    <w:rsid w:val="00300D6D"/>
    <w:rsid w:val="00300D72"/>
    <w:rsid w:val="003019C4"/>
    <w:rsid w:val="00301CAA"/>
    <w:rsid w:val="00302710"/>
    <w:rsid w:val="00302FF8"/>
    <w:rsid w:val="00303826"/>
    <w:rsid w:val="003039BA"/>
    <w:rsid w:val="00304BF4"/>
    <w:rsid w:val="00304C7A"/>
    <w:rsid w:val="003055FC"/>
    <w:rsid w:val="00306553"/>
    <w:rsid w:val="00307341"/>
    <w:rsid w:val="00307557"/>
    <w:rsid w:val="00307EA4"/>
    <w:rsid w:val="00310EA8"/>
    <w:rsid w:val="0031124F"/>
    <w:rsid w:val="003120C6"/>
    <w:rsid w:val="00312549"/>
    <w:rsid w:val="003129EA"/>
    <w:rsid w:val="00312D14"/>
    <w:rsid w:val="003138E3"/>
    <w:rsid w:val="00313A40"/>
    <w:rsid w:val="003142EF"/>
    <w:rsid w:val="003158C5"/>
    <w:rsid w:val="0031683D"/>
    <w:rsid w:val="00316B3A"/>
    <w:rsid w:val="00316C7F"/>
    <w:rsid w:val="00316DA5"/>
    <w:rsid w:val="00317310"/>
    <w:rsid w:val="00317C03"/>
    <w:rsid w:val="00317C98"/>
    <w:rsid w:val="00317FB5"/>
    <w:rsid w:val="00320312"/>
    <w:rsid w:val="00320853"/>
    <w:rsid w:val="00321303"/>
    <w:rsid w:val="0032173D"/>
    <w:rsid w:val="00322A78"/>
    <w:rsid w:val="00322CF3"/>
    <w:rsid w:val="0032312D"/>
    <w:rsid w:val="00324274"/>
    <w:rsid w:val="00324C62"/>
    <w:rsid w:val="00325440"/>
    <w:rsid w:val="00325512"/>
    <w:rsid w:val="003256D3"/>
    <w:rsid w:val="00325A94"/>
    <w:rsid w:val="003261E1"/>
    <w:rsid w:val="00326636"/>
    <w:rsid w:val="00326B8E"/>
    <w:rsid w:val="00327C2A"/>
    <w:rsid w:val="0033003C"/>
    <w:rsid w:val="00330233"/>
    <w:rsid w:val="0033061B"/>
    <w:rsid w:val="00330D09"/>
    <w:rsid w:val="003310DD"/>
    <w:rsid w:val="003318DD"/>
    <w:rsid w:val="00332652"/>
    <w:rsid w:val="00332D02"/>
    <w:rsid w:val="00333B08"/>
    <w:rsid w:val="00334E91"/>
    <w:rsid w:val="003350C4"/>
    <w:rsid w:val="0033543B"/>
    <w:rsid w:val="00335939"/>
    <w:rsid w:val="00335A5D"/>
    <w:rsid w:val="00336CC4"/>
    <w:rsid w:val="003405F9"/>
    <w:rsid w:val="0034179D"/>
    <w:rsid w:val="00342463"/>
    <w:rsid w:val="003428D6"/>
    <w:rsid w:val="00343960"/>
    <w:rsid w:val="003456FD"/>
    <w:rsid w:val="00345872"/>
    <w:rsid w:val="00347007"/>
    <w:rsid w:val="003479CB"/>
    <w:rsid w:val="00350130"/>
    <w:rsid w:val="00350826"/>
    <w:rsid w:val="00350BF4"/>
    <w:rsid w:val="003523D9"/>
    <w:rsid w:val="00352DA9"/>
    <w:rsid w:val="00352E04"/>
    <w:rsid w:val="00352E8F"/>
    <w:rsid w:val="00354442"/>
    <w:rsid w:val="00354697"/>
    <w:rsid w:val="0035491F"/>
    <w:rsid w:val="00354987"/>
    <w:rsid w:val="003549BE"/>
    <w:rsid w:val="00355B88"/>
    <w:rsid w:val="0035657D"/>
    <w:rsid w:val="00356939"/>
    <w:rsid w:val="003579CA"/>
    <w:rsid w:val="0036023F"/>
    <w:rsid w:val="00360C09"/>
    <w:rsid w:val="00361638"/>
    <w:rsid w:val="00361D5C"/>
    <w:rsid w:val="003625EE"/>
    <w:rsid w:val="00364319"/>
    <w:rsid w:val="00365566"/>
    <w:rsid w:val="00365710"/>
    <w:rsid w:val="00365904"/>
    <w:rsid w:val="00366189"/>
    <w:rsid w:val="00366991"/>
    <w:rsid w:val="00370092"/>
    <w:rsid w:val="003700D3"/>
    <w:rsid w:val="00370DAC"/>
    <w:rsid w:val="0037167C"/>
    <w:rsid w:val="00371C9E"/>
    <w:rsid w:val="00371E93"/>
    <w:rsid w:val="00372742"/>
    <w:rsid w:val="00372C11"/>
    <w:rsid w:val="00372FA1"/>
    <w:rsid w:val="003732CC"/>
    <w:rsid w:val="00373B3E"/>
    <w:rsid w:val="00373E12"/>
    <w:rsid w:val="00374D61"/>
    <w:rsid w:val="00374FC5"/>
    <w:rsid w:val="0037534D"/>
    <w:rsid w:val="0037548C"/>
    <w:rsid w:val="00375E6A"/>
    <w:rsid w:val="00376E70"/>
    <w:rsid w:val="003770F5"/>
    <w:rsid w:val="003775B3"/>
    <w:rsid w:val="00377CD8"/>
    <w:rsid w:val="0038023E"/>
    <w:rsid w:val="00380471"/>
    <w:rsid w:val="00380715"/>
    <w:rsid w:val="00380CD7"/>
    <w:rsid w:val="003819B3"/>
    <w:rsid w:val="00382FBB"/>
    <w:rsid w:val="00383F7C"/>
    <w:rsid w:val="00384027"/>
    <w:rsid w:val="00384CA9"/>
    <w:rsid w:val="00385C75"/>
    <w:rsid w:val="00385E4F"/>
    <w:rsid w:val="0038719C"/>
    <w:rsid w:val="00387E2F"/>
    <w:rsid w:val="003921D4"/>
    <w:rsid w:val="003924BC"/>
    <w:rsid w:val="003925DD"/>
    <w:rsid w:val="003927D1"/>
    <w:rsid w:val="00393811"/>
    <w:rsid w:val="00393AAE"/>
    <w:rsid w:val="00393F44"/>
    <w:rsid w:val="003945AB"/>
    <w:rsid w:val="00394A9F"/>
    <w:rsid w:val="00395A95"/>
    <w:rsid w:val="00395B81"/>
    <w:rsid w:val="0039680F"/>
    <w:rsid w:val="00397FA6"/>
    <w:rsid w:val="003A06FD"/>
    <w:rsid w:val="003A0C15"/>
    <w:rsid w:val="003A0F49"/>
    <w:rsid w:val="003A13B2"/>
    <w:rsid w:val="003A2476"/>
    <w:rsid w:val="003A2675"/>
    <w:rsid w:val="003A3F4E"/>
    <w:rsid w:val="003A4899"/>
    <w:rsid w:val="003A4FA1"/>
    <w:rsid w:val="003A56D0"/>
    <w:rsid w:val="003A6164"/>
    <w:rsid w:val="003A61A5"/>
    <w:rsid w:val="003A66F8"/>
    <w:rsid w:val="003A6D56"/>
    <w:rsid w:val="003A719E"/>
    <w:rsid w:val="003A78CF"/>
    <w:rsid w:val="003A795A"/>
    <w:rsid w:val="003A7D81"/>
    <w:rsid w:val="003B0557"/>
    <w:rsid w:val="003B0A76"/>
    <w:rsid w:val="003B0C85"/>
    <w:rsid w:val="003B1000"/>
    <w:rsid w:val="003B1973"/>
    <w:rsid w:val="003B1BA3"/>
    <w:rsid w:val="003B2672"/>
    <w:rsid w:val="003B34CC"/>
    <w:rsid w:val="003B47D6"/>
    <w:rsid w:val="003B51BD"/>
    <w:rsid w:val="003B560F"/>
    <w:rsid w:val="003B56D4"/>
    <w:rsid w:val="003B6165"/>
    <w:rsid w:val="003B69B9"/>
    <w:rsid w:val="003B7DE1"/>
    <w:rsid w:val="003C14F4"/>
    <w:rsid w:val="003C1C2D"/>
    <w:rsid w:val="003C1D81"/>
    <w:rsid w:val="003C3DC5"/>
    <w:rsid w:val="003C458F"/>
    <w:rsid w:val="003C58E6"/>
    <w:rsid w:val="003C68B0"/>
    <w:rsid w:val="003C69DA"/>
    <w:rsid w:val="003C749D"/>
    <w:rsid w:val="003C74DF"/>
    <w:rsid w:val="003C752F"/>
    <w:rsid w:val="003C7577"/>
    <w:rsid w:val="003D0114"/>
    <w:rsid w:val="003D0CF4"/>
    <w:rsid w:val="003D14C8"/>
    <w:rsid w:val="003D1832"/>
    <w:rsid w:val="003D2181"/>
    <w:rsid w:val="003D21F1"/>
    <w:rsid w:val="003D2B1E"/>
    <w:rsid w:val="003D35D2"/>
    <w:rsid w:val="003D36EC"/>
    <w:rsid w:val="003D4474"/>
    <w:rsid w:val="003D44FD"/>
    <w:rsid w:val="003D49C2"/>
    <w:rsid w:val="003D4AC9"/>
    <w:rsid w:val="003D4F66"/>
    <w:rsid w:val="003D5D24"/>
    <w:rsid w:val="003D5D41"/>
    <w:rsid w:val="003D6976"/>
    <w:rsid w:val="003D6CB9"/>
    <w:rsid w:val="003D7483"/>
    <w:rsid w:val="003E0608"/>
    <w:rsid w:val="003E0749"/>
    <w:rsid w:val="003E18D9"/>
    <w:rsid w:val="003E205C"/>
    <w:rsid w:val="003E3CF2"/>
    <w:rsid w:val="003E3F1B"/>
    <w:rsid w:val="003E4288"/>
    <w:rsid w:val="003E44C2"/>
    <w:rsid w:val="003E5244"/>
    <w:rsid w:val="003E6B85"/>
    <w:rsid w:val="003E6EC6"/>
    <w:rsid w:val="003E7FE1"/>
    <w:rsid w:val="003F09D5"/>
    <w:rsid w:val="003F0CAF"/>
    <w:rsid w:val="003F0E85"/>
    <w:rsid w:val="003F0FC4"/>
    <w:rsid w:val="003F22FD"/>
    <w:rsid w:val="003F25CE"/>
    <w:rsid w:val="003F34D0"/>
    <w:rsid w:val="003F3BC0"/>
    <w:rsid w:val="003F3C39"/>
    <w:rsid w:val="003F3D8D"/>
    <w:rsid w:val="003F4023"/>
    <w:rsid w:val="003F487F"/>
    <w:rsid w:val="003F4E54"/>
    <w:rsid w:val="003F5637"/>
    <w:rsid w:val="003F594B"/>
    <w:rsid w:val="003F5EBE"/>
    <w:rsid w:val="003F5FA3"/>
    <w:rsid w:val="003F7142"/>
    <w:rsid w:val="003F717A"/>
    <w:rsid w:val="003F7653"/>
    <w:rsid w:val="004008B5"/>
    <w:rsid w:val="004009F0"/>
    <w:rsid w:val="00400DC5"/>
    <w:rsid w:val="00401B84"/>
    <w:rsid w:val="0040287E"/>
    <w:rsid w:val="00403091"/>
    <w:rsid w:val="00403A2A"/>
    <w:rsid w:val="004048FB"/>
    <w:rsid w:val="00404F0D"/>
    <w:rsid w:val="00405227"/>
    <w:rsid w:val="00405361"/>
    <w:rsid w:val="00405828"/>
    <w:rsid w:val="0040582E"/>
    <w:rsid w:val="00406227"/>
    <w:rsid w:val="0040648B"/>
    <w:rsid w:val="004065AF"/>
    <w:rsid w:val="0040683E"/>
    <w:rsid w:val="00407786"/>
    <w:rsid w:val="00407C65"/>
    <w:rsid w:val="0041088A"/>
    <w:rsid w:val="00410ACD"/>
    <w:rsid w:val="00410BCE"/>
    <w:rsid w:val="004110EF"/>
    <w:rsid w:val="0041127C"/>
    <w:rsid w:val="004118BF"/>
    <w:rsid w:val="00412015"/>
    <w:rsid w:val="004120FF"/>
    <w:rsid w:val="004124D3"/>
    <w:rsid w:val="00412582"/>
    <w:rsid w:val="00412806"/>
    <w:rsid w:val="004133A5"/>
    <w:rsid w:val="0041340D"/>
    <w:rsid w:val="0041347A"/>
    <w:rsid w:val="00413792"/>
    <w:rsid w:val="004138F5"/>
    <w:rsid w:val="004139EB"/>
    <w:rsid w:val="00413AC0"/>
    <w:rsid w:val="00413FFF"/>
    <w:rsid w:val="00414FBD"/>
    <w:rsid w:val="0041532A"/>
    <w:rsid w:val="00415A13"/>
    <w:rsid w:val="00415FB5"/>
    <w:rsid w:val="00416059"/>
    <w:rsid w:val="004161BE"/>
    <w:rsid w:val="0041664E"/>
    <w:rsid w:val="00416E23"/>
    <w:rsid w:val="0041746B"/>
    <w:rsid w:val="004178A9"/>
    <w:rsid w:val="00417EBE"/>
    <w:rsid w:val="00420084"/>
    <w:rsid w:val="00420180"/>
    <w:rsid w:val="00420930"/>
    <w:rsid w:val="00420C49"/>
    <w:rsid w:val="00421921"/>
    <w:rsid w:val="0042196F"/>
    <w:rsid w:val="00421B9B"/>
    <w:rsid w:val="00423249"/>
    <w:rsid w:val="004236C3"/>
    <w:rsid w:val="0042370C"/>
    <w:rsid w:val="00423FA7"/>
    <w:rsid w:val="004242BE"/>
    <w:rsid w:val="004253A6"/>
    <w:rsid w:val="004253F1"/>
    <w:rsid w:val="00425AA2"/>
    <w:rsid w:val="00426D73"/>
    <w:rsid w:val="0042700A"/>
    <w:rsid w:val="00427B70"/>
    <w:rsid w:val="00431461"/>
    <w:rsid w:val="00432529"/>
    <w:rsid w:val="004334D2"/>
    <w:rsid w:val="00434C25"/>
    <w:rsid w:val="004351AB"/>
    <w:rsid w:val="004352EE"/>
    <w:rsid w:val="004355BE"/>
    <w:rsid w:val="004355E7"/>
    <w:rsid w:val="00435926"/>
    <w:rsid w:val="00436571"/>
    <w:rsid w:val="004366AA"/>
    <w:rsid w:val="00437B26"/>
    <w:rsid w:val="004408DF"/>
    <w:rsid w:val="00441AD9"/>
    <w:rsid w:val="00442023"/>
    <w:rsid w:val="00442933"/>
    <w:rsid w:val="004436BA"/>
    <w:rsid w:val="004439CF"/>
    <w:rsid w:val="00444360"/>
    <w:rsid w:val="004449DC"/>
    <w:rsid w:val="004449F0"/>
    <w:rsid w:val="00444C98"/>
    <w:rsid w:val="0044523F"/>
    <w:rsid w:val="00445A1F"/>
    <w:rsid w:val="00447297"/>
    <w:rsid w:val="00447D2B"/>
    <w:rsid w:val="00447F5F"/>
    <w:rsid w:val="00447F7F"/>
    <w:rsid w:val="00451471"/>
    <w:rsid w:val="00451F6A"/>
    <w:rsid w:val="0045278F"/>
    <w:rsid w:val="00452B1E"/>
    <w:rsid w:val="00453D12"/>
    <w:rsid w:val="00453E38"/>
    <w:rsid w:val="004549E5"/>
    <w:rsid w:val="00455139"/>
    <w:rsid w:val="00456EF5"/>
    <w:rsid w:val="00456FDE"/>
    <w:rsid w:val="0046024B"/>
    <w:rsid w:val="00460A96"/>
    <w:rsid w:val="00461176"/>
    <w:rsid w:val="0046189B"/>
    <w:rsid w:val="00461B03"/>
    <w:rsid w:val="00463AD7"/>
    <w:rsid w:val="00464726"/>
    <w:rsid w:val="004650E0"/>
    <w:rsid w:val="00466EEF"/>
    <w:rsid w:val="00467126"/>
    <w:rsid w:val="004674A9"/>
    <w:rsid w:val="00467AA6"/>
    <w:rsid w:val="00470359"/>
    <w:rsid w:val="00470E2D"/>
    <w:rsid w:val="004718D2"/>
    <w:rsid w:val="00471D1E"/>
    <w:rsid w:val="00472301"/>
    <w:rsid w:val="00472FDB"/>
    <w:rsid w:val="00473299"/>
    <w:rsid w:val="004737D4"/>
    <w:rsid w:val="00473B2E"/>
    <w:rsid w:val="00474CC8"/>
    <w:rsid w:val="00475026"/>
    <w:rsid w:val="0047589A"/>
    <w:rsid w:val="00475C89"/>
    <w:rsid w:val="00475EEF"/>
    <w:rsid w:val="00476048"/>
    <w:rsid w:val="00476908"/>
    <w:rsid w:val="00476D41"/>
    <w:rsid w:val="004773D0"/>
    <w:rsid w:val="0047780D"/>
    <w:rsid w:val="00477A88"/>
    <w:rsid w:val="00477E47"/>
    <w:rsid w:val="00477EBE"/>
    <w:rsid w:val="004800B0"/>
    <w:rsid w:val="004810B0"/>
    <w:rsid w:val="00481E21"/>
    <w:rsid w:val="00481E4C"/>
    <w:rsid w:val="004826A7"/>
    <w:rsid w:val="0048367D"/>
    <w:rsid w:val="0048370B"/>
    <w:rsid w:val="0048371A"/>
    <w:rsid w:val="0048377E"/>
    <w:rsid w:val="004843FF"/>
    <w:rsid w:val="004844FC"/>
    <w:rsid w:val="004846C5"/>
    <w:rsid w:val="00484AD4"/>
    <w:rsid w:val="004850E8"/>
    <w:rsid w:val="0048578A"/>
    <w:rsid w:val="00487C58"/>
    <w:rsid w:val="00487F58"/>
    <w:rsid w:val="00490DEA"/>
    <w:rsid w:val="00491407"/>
    <w:rsid w:val="0049148A"/>
    <w:rsid w:val="0049172C"/>
    <w:rsid w:val="00492FF9"/>
    <w:rsid w:val="004932B2"/>
    <w:rsid w:val="0049367C"/>
    <w:rsid w:val="00493E00"/>
    <w:rsid w:val="00494236"/>
    <w:rsid w:val="004957FD"/>
    <w:rsid w:val="00497760"/>
    <w:rsid w:val="00497A19"/>
    <w:rsid w:val="004A0691"/>
    <w:rsid w:val="004A084C"/>
    <w:rsid w:val="004A08D6"/>
    <w:rsid w:val="004A0960"/>
    <w:rsid w:val="004A0AEF"/>
    <w:rsid w:val="004A0FA5"/>
    <w:rsid w:val="004A22A3"/>
    <w:rsid w:val="004A2307"/>
    <w:rsid w:val="004A39E9"/>
    <w:rsid w:val="004A3CA8"/>
    <w:rsid w:val="004A4555"/>
    <w:rsid w:val="004A46D5"/>
    <w:rsid w:val="004A4BD6"/>
    <w:rsid w:val="004A5A62"/>
    <w:rsid w:val="004A5FC0"/>
    <w:rsid w:val="004A628E"/>
    <w:rsid w:val="004A62CA"/>
    <w:rsid w:val="004A6B25"/>
    <w:rsid w:val="004A75CD"/>
    <w:rsid w:val="004A7D53"/>
    <w:rsid w:val="004B0275"/>
    <w:rsid w:val="004B0560"/>
    <w:rsid w:val="004B2469"/>
    <w:rsid w:val="004B25A1"/>
    <w:rsid w:val="004B32DF"/>
    <w:rsid w:val="004B33CA"/>
    <w:rsid w:val="004B4177"/>
    <w:rsid w:val="004B503E"/>
    <w:rsid w:val="004B5276"/>
    <w:rsid w:val="004B5CDE"/>
    <w:rsid w:val="004B613A"/>
    <w:rsid w:val="004B664B"/>
    <w:rsid w:val="004B665C"/>
    <w:rsid w:val="004B72E7"/>
    <w:rsid w:val="004C046A"/>
    <w:rsid w:val="004C0B35"/>
    <w:rsid w:val="004C0B61"/>
    <w:rsid w:val="004C0B65"/>
    <w:rsid w:val="004C0DF0"/>
    <w:rsid w:val="004C0E6A"/>
    <w:rsid w:val="004C1258"/>
    <w:rsid w:val="004C1655"/>
    <w:rsid w:val="004C1FB5"/>
    <w:rsid w:val="004C214B"/>
    <w:rsid w:val="004C2E9C"/>
    <w:rsid w:val="004C3941"/>
    <w:rsid w:val="004C39A3"/>
    <w:rsid w:val="004C3CFC"/>
    <w:rsid w:val="004C3D5C"/>
    <w:rsid w:val="004C5BE7"/>
    <w:rsid w:val="004C6080"/>
    <w:rsid w:val="004C6B74"/>
    <w:rsid w:val="004C6FD7"/>
    <w:rsid w:val="004D0EC5"/>
    <w:rsid w:val="004D1F13"/>
    <w:rsid w:val="004D28FF"/>
    <w:rsid w:val="004D2A3A"/>
    <w:rsid w:val="004D2CB1"/>
    <w:rsid w:val="004D35A8"/>
    <w:rsid w:val="004D43A9"/>
    <w:rsid w:val="004D45DF"/>
    <w:rsid w:val="004D5903"/>
    <w:rsid w:val="004D68FA"/>
    <w:rsid w:val="004D7239"/>
    <w:rsid w:val="004D735D"/>
    <w:rsid w:val="004D76E1"/>
    <w:rsid w:val="004D7D66"/>
    <w:rsid w:val="004E0157"/>
    <w:rsid w:val="004E03AC"/>
    <w:rsid w:val="004E0F43"/>
    <w:rsid w:val="004E25DF"/>
    <w:rsid w:val="004E371A"/>
    <w:rsid w:val="004E476E"/>
    <w:rsid w:val="004E4D99"/>
    <w:rsid w:val="004E595F"/>
    <w:rsid w:val="004E5AB2"/>
    <w:rsid w:val="004E5B59"/>
    <w:rsid w:val="004E5BCA"/>
    <w:rsid w:val="004E5D30"/>
    <w:rsid w:val="004E5EE5"/>
    <w:rsid w:val="004E681D"/>
    <w:rsid w:val="004E7547"/>
    <w:rsid w:val="004F091A"/>
    <w:rsid w:val="004F0AC8"/>
    <w:rsid w:val="004F0CF2"/>
    <w:rsid w:val="004F10EE"/>
    <w:rsid w:val="004F1690"/>
    <w:rsid w:val="004F16F3"/>
    <w:rsid w:val="004F1CD4"/>
    <w:rsid w:val="004F2599"/>
    <w:rsid w:val="004F2B78"/>
    <w:rsid w:val="004F38A8"/>
    <w:rsid w:val="004F3A43"/>
    <w:rsid w:val="004F3AB2"/>
    <w:rsid w:val="004F4670"/>
    <w:rsid w:val="004F4CB0"/>
    <w:rsid w:val="004F4FF1"/>
    <w:rsid w:val="004F4FF3"/>
    <w:rsid w:val="004F5599"/>
    <w:rsid w:val="004F5DC3"/>
    <w:rsid w:val="004F6421"/>
    <w:rsid w:val="004F6551"/>
    <w:rsid w:val="004F6A7E"/>
    <w:rsid w:val="004F6FD5"/>
    <w:rsid w:val="004F71AB"/>
    <w:rsid w:val="004F7E28"/>
    <w:rsid w:val="004F7F00"/>
    <w:rsid w:val="004F7F75"/>
    <w:rsid w:val="0050075E"/>
    <w:rsid w:val="005009FD"/>
    <w:rsid w:val="00500BB8"/>
    <w:rsid w:val="005011B6"/>
    <w:rsid w:val="00501921"/>
    <w:rsid w:val="00501F9A"/>
    <w:rsid w:val="00503BEA"/>
    <w:rsid w:val="005055B0"/>
    <w:rsid w:val="00505B65"/>
    <w:rsid w:val="00505C23"/>
    <w:rsid w:val="00505C58"/>
    <w:rsid w:val="005071EA"/>
    <w:rsid w:val="0050793B"/>
    <w:rsid w:val="00507B4F"/>
    <w:rsid w:val="00507E83"/>
    <w:rsid w:val="00511938"/>
    <w:rsid w:val="00512853"/>
    <w:rsid w:val="00512C63"/>
    <w:rsid w:val="00513318"/>
    <w:rsid w:val="00514C45"/>
    <w:rsid w:val="005152D0"/>
    <w:rsid w:val="00515AE4"/>
    <w:rsid w:val="00515CB9"/>
    <w:rsid w:val="00517DC1"/>
    <w:rsid w:val="00520C7B"/>
    <w:rsid w:val="00520D58"/>
    <w:rsid w:val="005214A6"/>
    <w:rsid w:val="00521B1C"/>
    <w:rsid w:val="00522158"/>
    <w:rsid w:val="00522F95"/>
    <w:rsid w:val="00523C3F"/>
    <w:rsid w:val="0052513D"/>
    <w:rsid w:val="00526145"/>
    <w:rsid w:val="00526864"/>
    <w:rsid w:val="00526B1F"/>
    <w:rsid w:val="005304F7"/>
    <w:rsid w:val="00530D92"/>
    <w:rsid w:val="0053126B"/>
    <w:rsid w:val="0053160C"/>
    <w:rsid w:val="00532342"/>
    <w:rsid w:val="0053294F"/>
    <w:rsid w:val="00532BDD"/>
    <w:rsid w:val="00534018"/>
    <w:rsid w:val="00534F3C"/>
    <w:rsid w:val="005358BE"/>
    <w:rsid w:val="005358D0"/>
    <w:rsid w:val="00536EDF"/>
    <w:rsid w:val="00537090"/>
    <w:rsid w:val="00540459"/>
    <w:rsid w:val="00540665"/>
    <w:rsid w:val="00540707"/>
    <w:rsid w:val="0054104E"/>
    <w:rsid w:val="0054230E"/>
    <w:rsid w:val="005424F8"/>
    <w:rsid w:val="0054253F"/>
    <w:rsid w:val="005427FE"/>
    <w:rsid w:val="00543134"/>
    <w:rsid w:val="00543457"/>
    <w:rsid w:val="00544193"/>
    <w:rsid w:val="00545247"/>
    <w:rsid w:val="00546310"/>
    <w:rsid w:val="005463B2"/>
    <w:rsid w:val="00546E52"/>
    <w:rsid w:val="00547316"/>
    <w:rsid w:val="00547C06"/>
    <w:rsid w:val="00547C86"/>
    <w:rsid w:val="00547D75"/>
    <w:rsid w:val="00550880"/>
    <w:rsid w:val="00550E2E"/>
    <w:rsid w:val="00550F19"/>
    <w:rsid w:val="00551063"/>
    <w:rsid w:val="00551508"/>
    <w:rsid w:val="00552B58"/>
    <w:rsid w:val="00552C9C"/>
    <w:rsid w:val="00552CC3"/>
    <w:rsid w:val="005535EB"/>
    <w:rsid w:val="00553864"/>
    <w:rsid w:val="00553BC4"/>
    <w:rsid w:val="0055491C"/>
    <w:rsid w:val="00554A1A"/>
    <w:rsid w:val="00554A41"/>
    <w:rsid w:val="00554B10"/>
    <w:rsid w:val="00554D26"/>
    <w:rsid w:val="00554E04"/>
    <w:rsid w:val="00554F45"/>
    <w:rsid w:val="0055655C"/>
    <w:rsid w:val="00556DC6"/>
    <w:rsid w:val="00557022"/>
    <w:rsid w:val="005572AF"/>
    <w:rsid w:val="00557341"/>
    <w:rsid w:val="00557C24"/>
    <w:rsid w:val="00560479"/>
    <w:rsid w:val="005616F0"/>
    <w:rsid w:val="00561C49"/>
    <w:rsid w:val="00561DC1"/>
    <w:rsid w:val="005621A3"/>
    <w:rsid w:val="00562633"/>
    <w:rsid w:val="005630A3"/>
    <w:rsid w:val="00563731"/>
    <w:rsid w:val="00564096"/>
    <w:rsid w:val="005641D7"/>
    <w:rsid w:val="00564BF0"/>
    <w:rsid w:val="00564C9E"/>
    <w:rsid w:val="005652E6"/>
    <w:rsid w:val="00565430"/>
    <w:rsid w:val="00566797"/>
    <w:rsid w:val="00566D60"/>
    <w:rsid w:val="005671B8"/>
    <w:rsid w:val="00567559"/>
    <w:rsid w:val="00567BCF"/>
    <w:rsid w:val="00570117"/>
    <w:rsid w:val="0057108B"/>
    <w:rsid w:val="005719A6"/>
    <w:rsid w:val="00571D39"/>
    <w:rsid w:val="00571DB3"/>
    <w:rsid w:val="00572663"/>
    <w:rsid w:val="00573316"/>
    <w:rsid w:val="00574445"/>
    <w:rsid w:val="00575A5D"/>
    <w:rsid w:val="00575DCB"/>
    <w:rsid w:val="00575DDD"/>
    <w:rsid w:val="005760BE"/>
    <w:rsid w:val="00576503"/>
    <w:rsid w:val="0057676D"/>
    <w:rsid w:val="00576F24"/>
    <w:rsid w:val="00577232"/>
    <w:rsid w:val="005777EE"/>
    <w:rsid w:val="00577C0A"/>
    <w:rsid w:val="00577C79"/>
    <w:rsid w:val="00577CC5"/>
    <w:rsid w:val="00577E32"/>
    <w:rsid w:val="005801AD"/>
    <w:rsid w:val="0058024E"/>
    <w:rsid w:val="0058145F"/>
    <w:rsid w:val="00581B65"/>
    <w:rsid w:val="00581EE2"/>
    <w:rsid w:val="005827DD"/>
    <w:rsid w:val="005831E4"/>
    <w:rsid w:val="0058355E"/>
    <w:rsid w:val="0058408B"/>
    <w:rsid w:val="005842B2"/>
    <w:rsid w:val="005846C9"/>
    <w:rsid w:val="00584C75"/>
    <w:rsid w:val="00585131"/>
    <w:rsid w:val="005852B8"/>
    <w:rsid w:val="005862C8"/>
    <w:rsid w:val="0058663C"/>
    <w:rsid w:val="00586B3E"/>
    <w:rsid w:val="00586DEA"/>
    <w:rsid w:val="00586E8B"/>
    <w:rsid w:val="00587949"/>
    <w:rsid w:val="00587A0B"/>
    <w:rsid w:val="005900E9"/>
    <w:rsid w:val="00590358"/>
    <w:rsid w:val="0059040C"/>
    <w:rsid w:val="00590575"/>
    <w:rsid w:val="00590C26"/>
    <w:rsid w:val="005927C1"/>
    <w:rsid w:val="00592812"/>
    <w:rsid w:val="005933DC"/>
    <w:rsid w:val="00593804"/>
    <w:rsid w:val="00594407"/>
    <w:rsid w:val="00594657"/>
    <w:rsid w:val="00594A28"/>
    <w:rsid w:val="00594F20"/>
    <w:rsid w:val="005955B3"/>
    <w:rsid w:val="005957B7"/>
    <w:rsid w:val="005959E4"/>
    <w:rsid w:val="00595EAA"/>
    <w:rsid w:val="00596011"/>
    <w:rsid w:val="00596519"/>
    <w:rsid w:val="00596794"/>
    <w:rsid w:val="005A027B"/>
    <w:rsid w:val="005A0DE3"/>
    <w:rsid w:val="005A1083"/>
    <w:rsid w:val="005A12D8"/>
    <w:rsid w:val="005A16F3"/>
    <w:rsid w:val="005A1BEC"/>
    <w:rsid w:val="005A276A"/>
    <w:rsid w:val="005A342F"/>
    <w:rsid w:val="005A362E"/>
    <w:rsid w:val="005A4CBE"/>
    <w:rsid w:val="005A58F7"/>
    <w:rsid w:val="005A6688"/>
    <w:rsid w:val="005A6CBE"/>
    <w:rsid w:val="005A6DAD"/>
    <w:rsid w:val="005A776F"/>
    <w:rsid w:val="005A7D04"/>
    <w:rsid w:val="005B04FA"/>
    <w:rsid w:val="005B0535"/>
    <w:rsid w:val="005B06DD"/>
    <w:rsid w:val="005B0841"/>
    <w:rsid w:val="005B0DED"/>
    <w:rsid w:val="005B2E10"/>
    <w:rsid w:val="005B34AC"/>
    <w:rsid w:val="005B3C51"/>
    <w:rsid w:val="005B4260"/>
    <w:rsid w:val="005B50DF"/>
    <w:rsid w:val="005B567F"/>
    <w:rsid w:val="005B615C"/>
    <w:rsid w:val="005B628A"/>
    <w:rsid w:val="005B670F"/>
    <w:rsid w:val="005B69A2"/>
    <w:rsid w:val="005B6B69"/>
    <w:rsid w:val="005B70A0"/>
    <w:rsid w:val="005C0C19"/>
    <w:rsid w:val="005C0F5F"/>
    <w:rsid w:val="005C1B3B"/>
    <w:rsid w:val="005C1F6E"/>
    <w:rsid w:val="005C233C"/>
    <w:rsid w:val="005C279C"/>
    <w:rsid w:val="005C2FD3"/>
    <w:rsid w:val="005C3250"/>
    <w:rsid w:val="005C41B4"/>
    <w:rsid w:val="005C436B"/>
    <w:rsid w:val="005C4E40"/>
    <w:rsid w:val="005C6560"/>
    <w:rsid w:val="005C6F66"/>
    <w:rsid w:val="005C701A"/>
    <w:rsid w:val="005C7024"/>
    <w:rsid w:val="005D0996"/>
    <w:rsid w:val="005D144B"/>
    <w:rsid w:val="005D2C7D"/>
    <w:rsid w:val="005D2DA2"/>
    <w:rsid w:val="005D41D7"/>
    <w:rsid w:val="005D48FA"/>
    <w:rsid w:val="005D4CB3"/>
    <w:rsid w:val="005D518F"/>
    <w:rsid w:val="005D62FE"/>
    <w:rsid w:val="005D66C8"/>
    <w:rsid w:val="005D699E"/>
    <w:rsid w:val="005D6DFE"/>
    <w:rsid w:val="005D7A02"/>
    <w:rsid w:val="005D7EFA"/>
    <w:rsid w:val="005E0101"/>
    <w:rsid w:val="005E026C"/>
    <w:rsid w:val="005E04FF"/>
    <w:rsid w:val="005E1D7D"/>
    <w:rsid w:val="005E24CB"/>
    <w:rsid w:val="005E2626"/>
    <w:rsid w:val="005E2D7C"/>
    <w:rsid w:val="005E3307"/>
    <w:rsid w:val="005E35C7"/>
    <w:rsid w:val="005E4571"/>
    <w:rsid w:val="005E4D65"/>
    <w:rsid w:val="005E4E4D"/>
    <w:rsid w:val="005E5107"/>
    <w:rsid w:val="005E5A66"/>
    <w:rsid w:val="005E5B25"/>
    <w:rsid w:val="005E608C"/>
    <w:rsid w:val="005E68CA"/>
    <w:rsid w:val="005E68EF"/>
    <w:rsid w:val="005E7C80"/>
    <w:rsid w:val="005F0470"/>
    <w:rsid w:val="005F07CB"/>
    <w:rsid w:val="005F1B3B"/>
    <w:rsid w:val="005F1F26"/>
    <w:rsid w:val="005F2816"/>
    <w:rsid w:val="005F33E4"/>
    <w:rsid w:val="005F3975"/>
    <w:rsid w:val="005F46FC"/>
    <w:rsid w:val="005F4C26"/>
    <w:rsid w:val="005F53E5"/>
    <w:rsid w:val="005F54CA"/>
    <w:rsid w:val="005F57C4"/>
    <w:rsid w:val="005F6849"/>
    <w:rsid w:val="005F6B8B"/>
    <w:rsid w:val="005F7437"/>
    <w:rsid w:val="005F7A47"/>
    <w:rsid w:val="005F7A9E"/>
    <w:rsid w:val="005F7E91"/>
    <w:rsid w:val="0060139C"/>
    <w:rsid w:val="00601A64"/>
    <w:rsid w:val="00601E3A"/>
    <w:rsid w:val="006020CD"/>
    <w:rsid w:val="00602D5A"/>
    <w:rsid w:val="00603931"/>
    <w:rsid w:val="00603FA5"/>
    <w:rsid w:val="0060405C"/>
    <w:rsid w:val="00605999"/>
    <w:rsid w:val="00605E26"/>
    <w:rsid w:val="00606A87"/>
    <w:rsid w:val="00606BA2"/>
    <w:rsid w:val="00606C09"/>
    <w:rsid w:val="0060774D"/>
    <w:rsid w:val="0061004A"/>
    <w:rsid w:val="006120D7"/>
    <w:rsid w:val="006128C6"/>
    <w:rsid w:val="00613035"/>
    <w:rsid w:val="00613C62"/>
    <w:rsid w:val="00614664"/>
    <w:rsid w:val="00614EC9"/>
    <w:rsid w:val="00616318"/>
    <w:rsid w:val="006169AC"/>
    <w:rsid w:val="00616A9E"/>
    <w:rsid w:val="00616BF4"/>
    <w:rsid w:val="00617863"/>
    <w:rsid w:val="00617921"/>
    <w:rsid w:val="00620365"/>
    <w:rsid w:val="00620552"/>
    <w:rsid w:val="006209B7"/>
    <w:rsid w:val="00620B89"/>
    <w:rsid w:val="00622335"/>
    <w:rsid w:val="00622DB2"/>
    <w:rsid w:val="00623EF5"/>
    <w:rsid w:val="00624159"/>
    <w:rsid w:val="00624758"/>
    <w:rsid w:val="006269D5"/>
    <w:rsid w:val="00626B3B"/>
    <w:rsid w:val="00626C3F"/>
    <w:rsid w:val="00630273"/>
    <w:rsid w:val="00630A0A"/>
    <w:rsid w:val="00630B36"/>
    <w:rsid w:val="006310C7"/>
    <w:rsid w:val="006318D4"/>
    <w:rsid w:val="00632324"/>
    <w:rsid w:val="00632499"/>
    <w:rsid w:val="00632B71"/>
    <w:rsid w:val="0063328D"/>
    <w:rsid w:val="0063332C"/>
    <w:rsid w:val="0063385F"/>
    <w:rsid w:val="0063393A"/>
    <w:rsid w:val="00634320"/>
    <w:rsid w:val="00634912"/>
    <w:rsid w:val="0063501D"/>
    <w:rsid w:val="0063542F"/>
    <w:rsid w:val="00635432"/>
    <w:rsid w:val="00635CEE"/>
    <w:rsid w:val="00636316"/>
    <w:rsid w:val="0063632E"/>
    <w:rsid w:val="0063639B"/>
    <w:rsid w:val="00636ACB"/>
    <w:rsid w:val="0063701C"/>
    <w:rsid w:val="006370F1"/>
    <w:rsid w:val="006377A2"/>
    <w:rsid w:val="0063781C"/>
    <w:rsid w:val="00637C01"/>
    <w:rsid w:val="00637E9A"/>
    <w:rsid w:val="00637F94"/>
    <w:rsid w:val="00641875"/>
    <w:rsid w:val="006426C0"/>
    <w:rsid w:val="00642B92"/>
    <w:rsid w:val="00643802"/>
    <w:rsid w:val="00643982"/>
    <w:rsid w:val="00643A00"/>
    <w:rsid w:val="00644768"/>
    <w:rsid w:val="00644B4F"/>
    <w:rsid w:val="00644D35"/>
    <w:rsid w:val="0064546A"/>
    <w:rsid w:val="0064570D"/>
    <w:rsid w:val="006458E4"/>
    <w:rsid w:val="00645B8B"/>
    <w:rsid w:val="00646634"/>
    <w:rsid w:val="006468EA"/>
    <w:rsid w:val="00647BC2"/>
    <w:rsid w:val="006505F7"/>
    <w:rsid w:val="0065198C"/>
    <w:rsid w:val="006526E2"/>
    <w:rsid w:val="00652C27"/>
    <w:rsid w:val="00652EB6"/>
    <w:rsid w:val="00653A15"/>
    <w:rsid w:val="00654094"/>
    <w:rsid w:val="00654437"/>
    <w:rsid w:val="00654CD3"/>
    <w:rsid w:val="006558B0"/>
    <w:rsid w:val="00657065"/>
    <w:rsid w:val="00657209"/>
    <w:rsid w:val="00657514"/>
    <w:rsid w:val="0065754B"/>
    <w:rsid w:val="00657870"/>
    <w:rsid w:val="00657DE2"/>
    <w:rsid w:val="006609D3"/>
    <w:rsid w:val="006614E1"/>
    <w:rsid w:val="006617B0"/>
    <w:rsid w:val="00662BC2"/>
    <w:rsid w:val="00662BEF"/>
    <w:rsid w:val="00662F4F"/>
    <w:rsid w:val="00662F91"/>
    <w:rsid w:val="0066374E"/>
    <w:rsid w:val="00665B12"/>
    <w:rsid w:val="006660DB"/>
    <w:rsid w:val="00666838"/>
    <w:rsid w:val="00666DE3"/>
    <w:rsid w:val="0066712B"/>
    <w:rsid w:val="00667210"/>
    <w:rsid w:val="006672BF"/>
    <w:rsid w:val="006673C7"/>
    <w:rsid w:val="0066793B"/>
    <w:rsid w:val="00667D4F"/>
    <w:rsid w:val="00667E53"/>
    <w:rsid w:val="00667FC7"/>
    <w:rsid w:val="00670DBE"/>
    <w:rsid w:val="0067189C"/>
    <w:rsid w:val="00672D51"/>
    <w:rsid w:val="006744C3"/>
    <w:rsid w:val="00674CF9"/>
    <w:rsid w:val="00675C44"/>
    <w:rsid w:val="00676275"/>
    <w:rsid w:val="00677485"/>
    <w:rsid w:val="00677986"/>
    <w:rsid w:val="00677DA7"/>
    <w:rsid w:val="00680267"/>
    <w:rsid w:val="00680A7A"/>
    <w:rsid w:val="00680A93"/>
    <w:rsid w:val="00680D1D"/>
    <w:rsid w:val="006819B2"/>
    <w:rsid w:val="00681F32"/>
    <w:rsid w:val="00682319"/>
    <w:rsid w:val="00682385"/>
    <w:rsid w:val="006828ED"/>
    <w:rsid w:val="006829BF"/>
    <w:rsid w:val="00683BF4"/>
    <w:rsid w:val="0068412F"/>
    <w:rsid w:val="00684952"/>
    <w:rsid w:val="00685045"/>
    <w:rsid w:val="006852DD"/>
    <w:rsid w:val="00685EC4"/>
    <w:rsid w:val="00686FEB"/>
    <w:rsid w:val="0068779D"/>
    <w:rsid w:val="00687E6A"/>
    <w:rsid w:val="00690BEB"/>
    <w:rsid w:val="00690E51"/>
    <w:rsid w:val="0069113C"/>
    <w:rsid w:val="006913FE"/>
    <w:rsid w:val="006916F9"/>
    <w:rsid w:val="00691949"/>
    <w:rsid w:val="00691EBF"/>
    <w:rsid w:val="006922DF"/>
    <w:rsid w:val="00693A86"/>
    <w:rsid w:val="00693EEF"/>
    <w:rsid w:val="00694980"/>
    <w:rsid w:val="00694E4D"/>
    <w:rsid w:val="00695672"/>
    <w:rsid w:val="00695709"/>
    <w:rsid w:val="006957BA"/>
    <w:rsid w:val="00695DD9"/>
    <w:rsid w:val="00695F4D"/>
    <w:rsid w:val="00696509"/>
    <w:rsid w:val="0069666F"/>
    <w:rsid w:val="006968C2"/>
    <w:rsid w:val="00696A5A"/>
    <w:rsid w:val="00697362"/>
    <w:rsid w:val="006979C4"/>
    <w:rsid w:val="006A0219"/>
    <w:rsid w:val="006A06D1"/>
    <w:rsid w:val="006A1028"/>
    <w:rsid w:val="006A1FBC"/>
    <w:rsid w:val="006A2081"/>
    <w:rsid w:val="006A215E"/>
    <w:rsid w:val="006A2735"/>
    <w:rsid w:val="006A30AE"/>
    <w:rsid w:val="006A37F3"/>
    <w:rsid w:val="006A3AE4"/>
    <w:rsid w:val="006A411C"/>
    <w:rsid w:val="006A4368"/>
    <w:rsid w:val="006A438C"/>
    <w:rsid w:val="006A43A5"/>
    <w:rsid w:val="006A44CF"/>
    <w:rsid w:val="006A47D4"/>
    <w:rsid w:val="006A4B0E"/>
    <w:rsid w:val="006A5138"/>
    <w:rsid w:val="006A52D5"/>
    <w:rsid w:val="006A56B6"/>
    <w:rsid w:val="006A6AC7"/>
    <w:rsid w:val="006A6F15"/>
    <w:rsid w:val="006A73BF"/>
    <w:rsid w:val="006A7812"/>
    <w:rsid w:val="006B0835"/>
    <w:rsid w:val="006B15AF"/>
    <w:rsid w:val="006B1D58"/>
    <w:rsid w:val="006B20AA"/>
    <w:rsid w:val="006B27CB"/>
    <w:rsid w:val="006B2BD7"/>
    <w:rsid w:val="006B3083"/>
    <w:rsid w:val="006B41F5"/>
    <w:rsid w:val="006B4D27"/>
    <w:rsid w:val="006B577A"/>
    <w:rsid w:val="006B5EFC"/>
    <w:rsid w:val="006B601A"/>
    <w:rsid w:val="006B644F"/>
    <w:rsid w:val="006B6AB5"/>
    <w:rsid w:val="006B6ADF"/>
    <w:rsid w:val="006B6E96"/>
    <w:rsid w:val="006B7777"/>
    <w:rsid w:val="006B78BB"/>
    <w:rsid w:val="006B7B2D"/>
    <w:rsid w:val="006B7D82"/>
    <w:rsid w:val="006C01AF"/>
    <w:rsid w:val="006C0D4F"/>
    <w:rsid w:val="006C0F75"/>
    <w:rsid w:val="006C11D0"/>
    <w:rsid w:val="006C2430"/>
    <w:rsid w:val="006C24E6"/>
    <w:rsid w:val="006C291C"/>
    <w:rsid w:val="006C3415"/>
    <w:rsid w:val="006C45FB"/>
    <w:rsid w:val="006C462D"/>
    <w:rsid w:val="006C483E"/>
    <w:rsid w:val="006C494B"/>
    <w:rsid w:val="006C5A9B"/>
    <w:rsid w:val="006C5E39"/>
    <w:rsid w:val="006C7A12"/>
    <w:rsid w:val="006D0A4E"/>
    <w:rsid w:val="006D0C8F"/>
    <w:rsid w:val="006D1D2B"/>
    <w:rsid w:val="006D1FC2"/>
    <w:rsid w:val="006D2299"/>
    <w:rsid w:val="006D2759"/>
    <w:rsid w:val="006D2A38"/>
    <w:rsid w:val="006D3558"/>
    <w:rsid w:val="006D5041"/>
    <w:rsid w:val="006D5223"/>
    <w:rsid w:val="006D53E3"/>
    <w:rsid w:val="006D583F"/>
    <w:rsid w:val="006D5882"/>
    <w:rsid w:val="006D6470"/>
    <w:rsid w:val="006D780F"/>
    <w:rsid w:val="006E0E5D"/>
    <w:rsid w:val="006E1714"/>
    <w:rsid w:val="006E1B18"/>
    <w:rsid w:val="006E2DBB"/>
    <w:rsid w:val="006E38C6"/>
    <w:rsid w:val="006E3B14"/>
    <w:rsid w:val="006E3C7E"/>
    <w:rsid w:val="006E456B"/>
    <w:rsid w:val="006E4621"/>
    <w:rsid w:val="006E5354"/>
    <w:rsid w:val="006E5F71"/>
    <w:rsid w:val="006E70CD"/>
    <w:rsid w:val="006E7194"/>
    <w:rsid w:val="006E7783"/>
    <w:rsid w:val="006F0224"/>
    <w:rsid w:val="006F0DF9"/>
    <w:rsid w:val="006F19FC"/>
    <w:rsid w:val="006F1BBB"/>
    <w:rsid w:val="006F27A6"/>
    <w:rsid w:val="006F30E6"/>
    <w:rsid w:val="006F3B81"/>
    <w:rsid w:val="006F5248"/>
    <w:rsid w:val="006F598C"/>
    <w:rsid w:val="006F5C55"/>
    <w:rsid w:val="006F606D"/>
    <w:rsid w:val="006F6A02"/>
    <w:rsid w:val="006F7298"/>
    <w:rsid w:val="006F77C6"/>
    <w:rsid w:val="007004D5"/>
    <w:rsid w:val="00700CEF"/>
    <w:rsid w:val="00701049"/>
    <w:rsid w:val="00701795"/>
    <w:rsid w:val="00701971"/>
    <w:rsid w:val="00702394"/>
    <w:rsid w:val="00702850"/>
    <w:rsid w:val="007031A2"/>
    <w:rsid w:val="00705474"/>
    <w:rsid w:val="00705611"/>
    <w:rsid w:val="00706230"/>
    <w:rsid w:val="00706345"/>
    <w:rsid w:val="00706461"/>
    <w:rsid w:val="007065F3"/>
    <w:rsid w:val="00706ABF"/>
    <w:rsid w:val="00706D9F"/>
    <w:rsid w:val="007075EE"/>
    <w:rsid w:val="00707928"/>
    <w:rsid w:val="00707B58"/>
    <w:rsid w:val="00707D67"/>
    <w:rsid w:val="0071090B"/>
    <w:rsid w:val="00710B2B"/>
    <w:rsid w:val="0071131E"/>
    <w:rsid w:val="007116BD"/>
    <w:rsid w:val="007116E8"/>
    <w:rsid w:val="00711822"/>
    <w:rsid w:val="0071185C"/>
    <w:rsid w:val="00711BD9"/>
    <w:rsid w:val="00711C02"/>
    <w:rsid w:val="00711FE1"/>
    <w:rsid w:val="00713325"/>
    <w:rsid w:val="00713BA2"/>
    <w:rsid w:val="00714583"/>
    <w:rsid w:val="00714B76"/>
    <w:rsid w:val="0071561D"/>
    <w:rsid w:val="00715CC4"/>
    <w:rsid w:val="007166F6"/>
    <w:rsid w:val="00716F85"/>
    <w:rsid w:val="00717636"/>
    <w:rsid w:val="00717BA6"/>
    <w:rsid w:val="00717F98"/>
    <w:rsid w:val="007203B1"/>
    <w:rsid w:val="0072088A"/>
    <w:rsid w:val="00720E26"/>
    <w:rsid w:val="00720F39"/>
    <w:rsid w:val="007217FB"/>
    <w:rsid w:val="007219B8"/>
    <w:rsid w:val="00722255"/>
    <w:rsid w:val="00722480"/>
    <w:rsid w:val="0072353A"/>
    <w:rsid w:val="00723859"/>
    <w:rsid w:val="00723E47"/>
    <w:rsid w:val="0072507F"/>
    <w:rsid w:val="0072514F"/>
    <w:rsid w:val="0072586F"/>
    <w:rsid w:val="00725D99"/>
    <w:rsid w:val="0072729C"/>
    <w:rsid w:val="007300F2"/>
    <w:rsid w:val="0073021E"/>
    <w:rsid w:val="00731273"/>
    <w:rsid w:val="007325DE"/>
    <w:rsid w:val="0073294B"/>
    <w:rsid w:val="00732CB9"/>
    <w:rsid w:val="00735437"/>
    <w:rsid w:val="00735DC5"/>
    <w:rsid w:val="00735EC0"/>
    <w:rsid w:val="007364AF"/>
    <w:rsid w:val="007369B5"/>
    <w:rsid w:val="00737119"/>
    <w:rsid w:val="007409A5"/>
    <w:rsid w:val="00741282"/>
    <w:rsid w:val="00741DF7"/>
    <w:rsid w:val="007420A2"/>
    <w:rsid w:val="00742618"/>
    <w:rsid w:val="00742F2A"/>
    <w:rsid w:val="0074422B"/>
    <w:rsid w:val="00744942"/>
    <w:rsid w:val="00745E97"/>
    <w:rsid w:val="00747435"/>
    <w:rsid w:val="007475FD"/>
    <w:rsid w:val="00747CFA"/>
    <w:rsid w:val="00750CFD"/>
    <w:rsid w:val="00751101"/>
    <w:rsid w:val="0075119B"/>
    <w:rsid w:val="007511E6"/>
    <w:rsid w:val="0075163D"/>
    <w:rsid w:val="0075191B"/>
    <w:rsid w:val="0075243A"/>
    <w:rsid w:val="00753357"/>
    <w:rsid w:val="00753443"/>
    <w:rsid w:val="00753C62"/>
    <w:rsid w:val="00754930"/>
    <w:rsid w:val="007549D8"/>
    <w:rsid w:val="00755146"/>
    <w:rsid w:val="0075543D"/>
    <w:rsid w:val="0075761E"/>
    <w:rsid w:val="007576C3"/>
    <w:rsid w:val="007576CC"/>
    <w:rsid w:val="00757C31"/>
    <w:rsid w:val="00761FDF"/>
    <w:rsid w:val="00762A1C"/>
    <w:rsid w:val="00762DA3"/>
    <w:rsid w:val="007635D9"/>
    <w:rsid w:val="007635F3"/>
    <w:rsid w:val="007662ED"/>
    <w:rsid w:val="00766B83"/>
    <w:rsid w:val="00766EB4"/>
    <w:rsid w:val="00770072"/>
    <w:rsid w:val="00770099"/>
    <w:rsid w:val="0077076C"/>
    <w:rsid w:val="007707E0"/>
    <w:rsid w:val="00770A4C"/>
    <w:rsid w:val="00770D1D"/>
    <w:rsid w:val="007717CF"/>
    <w:rsid w:val="00771A36"/>
    <w:rsid w:val="00771EA1"/>
    <w:rsid w:val="007720C5"/>
    <w:rsid w:val="00772A90"/>
    <w:rsid w:val="00772B7A"/>
    <w:rsid w:val="00773340"/>
    <w:rsid w:val="007736B1"/>
    <w:rsid w:val="00774087"/>
    <w:rsid w:val="007741DD"/>
    <w:rsid w:val="0077470B"/>
    <w:rsid w:val="0077487B"/>
    <w:rsid w:val="007748B7"/>
    <w:rsid w:val="0077547A"/>
    <w:rsid w:val="00776D94"/>
    <w:rsid w:val="007773AC"/>
    <w:rsid w:val="00777FB8"/>
    <w:rsid w:val="00780836"/>
    <w:rsid w:val="00780E76"/>
    <w:rsid w:val="00781421"/>
    <w:rsid w:val="00781FBE"/>
    <w:rsid w:val="00782731"/>
    <w:rsid w:val="00782E95"/>
    <w:rsid w:val="00783876"/>
    <w:rsid w:val="00783CB3"/>
    <w:rsid w:val="0078438B"/>
    <w:rsid w:val="0078446C"/>
    <w:rsid w:val="00784B21"/>
    <w:rsid w:val="00784F94"/>
    <w:rsid w:val="007862F2"/>
    <w:rsid w:val="00786AC0"/>
    <w:rsid w:val="00787A70"/>
    <w:rsid w:val="00787B19"/>
    <w:rsid w:val="00787F91"/>
    <w:rsid w:val="007923BA"/>
    <w:rsid w:val="00792898"/>
    <w:rsid w:val="007933E1"/>
    <w:rsid w:val="00794663"/>
    <w:rsid w:val="00796AA3"/>
    <w:rsid w:val="007976A7"/>
    <w:rsid w:val="007A0009"/>
    <w:rsid w:val="007A0168"/>
    <w:rsid w:val="007A058A"/>
    <w:rsid w:val="007A0594"/>
    <w:rsid w:val="007A1006"/>
    <w:rsid w:val="007A1057"/>
    <w:rsid w:val="007A125B"/>
    <w:rsid w:val="007A21D0"/>
    <w:rsid w:val="007A229B"/>
    <w:rsid w:val="007A2D5A"/>
    <w:rsid w:val="007A3CF3"/>
    <w:rsid w:val="007A3DB8"/>
    <w:rsid w:val="007A3F80"/>
    <w:rsid w:val="007A4054"/>
    <w:rsid w:val="007A4435"/>
    <w:rsid w:val="007A50E0"/>
    <w:rsid w:val="007A5780"/>
    <w:rsid w:val="007A6039"/>
    <w:rsid w:val="007A6183"/>
    <w:rsid w:val="007A67CD"/>
    <w:rsid w:val="007A6B18"/>
    <w:rsid w:val="007A6DA2"/>
    <w:rsid w:val="007A72F5"/>
    <w:rsid w:val="007A7FAA"/>
    <w:rsid w:val="007B03C0"/>
    <w:rsid w:val="007B0C18"/>
    <w:rsid w:val="007B1B30"/>
    <w:rsid w:val="007B1C50"/>
    <w:rsid w:val="007B1E24"/>
    <w:rsid w:val="007B27EC"/>
    <w:rsid w:val="007B2A55"/>
    <w:rsid w:val="007B2F11"/>
    <w:rsid w:val="007B3614"/>
    <w:rsid w:val="007B3B43"/>
    <w:rsid w:val="007B55B6"/>
    <w:rsid w:val="007B5990"/>
    <w:rsid w:val="007B61EB"/>
    <w:rsid w:val="007B76D8"/>
    <w:rsid w:val="007B7E59"/>
    <w:rsid w:val="007C0104"/>
    <w:rsid w:val="007C05CB"/>
    <w:rsid w:val="007C08A8"/>
    <w:rsid w:val="007C0BA7"/>
    <w:rsid w:val="007C12B1"/>
    <w:rsid w:val="007C248D"/>
    <w:rsid w:val="007C24B7"/>
    <w:rsid w:val="007C2576"/>
    <w:rsid w:val="007C3668"/>
    <w:rsid w:val="007C3B3A"/>
    <w:rsid w:val="007C412D"/>
    <w:rsid w:val="007C4973"/>
    <w:rsid w:val="007C4D4F"/>
    <w:rsid w:val="007C52A3"/>
    <w:rsid w:val="007C5309"/>
    <w:rsid w:val="007C5573"/>
    <w:rsid w:val="007C64C3"/>
    <w:rsid w:val="007C7B1B"/>
    <w:rsid w:val="007C7BCA"/>
    <w:rsid w:val="007D08B7"/>
    <w:rsid w:val="007D0F9E"/>
    <w:rsid w:val="007D13BF"/>
    <w:rsid w:val="007D319D"/>
    <w:rsid w:val="007D3205"/>
    <w:rsid w:val="007D3E09"/>
    <w:rsid w:val="007D407E"/>
    <w:rsid w:val="007D42DA"/>
    <w:rsid w:val="007D59EE"/>
    <w:rsid w:val="007D70E5"/>
    <w:rsid w:val="007D76BF"/>
    <w:rsid w:val="007E0F63"/>
    <w:rsid w:val="007E18C2"/>
    <w:rsid w:val="007E35A4"/>
    <w:rsid w:val="007E3C43"/>
    <w:rsid w:val="007E480C"/>
    <w:rsid w:val="007E6016"/>
    <w:rsid w:val="007E6436"/>
    <w:rsid w:val="007E6587"/>
    <w:rsid w:val="007E671B"/>
    <w:rsid w:val="007E766B"/>
    <w:rsid w:val="007F0723"/>
    <w:rsid w:val="007F0BD2"/>
    <w:rsid w:val="007F0D31"/>
    <w:rsid w:val="007F0DE2"/>
    <w:rsid w:val="007F1BBE"/>
    <w:rsid w:val="007F2329"/>
    <w:rsid w:val="007F2732"/>
    <w:rsid w:val="007F38A3"/>
    <w:rsid w:val="007F38B4"/>
    <w:rsid w:val="007F3E1A"/>
    <w:rsid w:val="007F3F6E"/>
    <w:rsid w:val="007F4216"/>
    <w:rsid w:val="007F4D8E"/>
    <w:rsid w:val="007F5F2B"/>
    <w:rsid w:val="007F68CE"/>
    <w:rsid w:val="007F7BC8"/>
    <w:rsid w:val="008018CA"/>
    <w:rsid w:val="0080195B"/>
    <w:rsid w:val="008019E7"/>
    <w:rsid w:val="00801AFC"/>
    <w:rsid w:val="00801B40"/>
    <w:rsid w:val="0080226E"/>
    <w:rsid w:val="008028DC"/>
    <w:rsid w:val="00803130"/>
    <w:rsid w:val="00803423"/>
    <w:rsid w:val="0080351B"/>
    <w:rsid w:val="00804F1B"/>
    <w:rsid w:val="00805089"/>
    <w:rsid w:val="00805465"/>
    <w:rsid w:val="00806952"/>
    <w:rsid w:val="0080709C"/>
    <w:rsid w:val="008071A9"/>
    <w:rsid w:val="00807F71"/>
    <w:rsid w:val="008105DD"/>
    <w:rsid w:val="00810F24"/>
    <w:rsid w:val="0081100D"/>
    <w:rsid w:val="00811010"/>
    <w:rsid w:val="0081142D"/>
    <w:rsid w:val="008116AF"/>
    <w:rsid w:val="00811A76"/>
    <w:rsid w:val="00811B46"/>
    <w:rsid w:val="008137DB"/>
    <w:rsid w:val="00813B5D"/>
    <w:rsid w:val="00813FA4"/>
    <w:rsid w:val="00813FE8"/>
    <w:rsid w:val="008144F2"/>
    <w:rsid w:val="008147DC"/>
    <w:rsid w:val="00814CC2"/>
    <w:rsid w:val="008159A5"/>
    <w:rsid w:val="00816077"/>
    <w:rsid w:val="00816515"/>
    <w:rsid w:val="00816A36"/>
    <w:rsid w:val="00817450"/>
    <w:rsid w:val="00817850"/>
    <w:rsid w:val="00820CCD"/>
    <w:rsid w:val="00821BD9"/>
    <w:rsid w:val="00822093"/>
    <w:rsid w:val="008221B9"/>
    <w:rsid w:val="00822D3B"/>
    <w:rsid w:val="00823AA2"/>
    <w:rsid w:val="00823BCF"/>
    <w:rsid w:val="00823D2A"/>
    <w:rsid w:val="00824DA1"/>
    <w:rsid w:val="008257AC"/>
    <w:rsid w:val="00827F3B"/>
    <w:rsid w:val="00830BA3"/>
    <w:rsid w:val="0083154D"/>
    <w:rsid w:val="0083195E"/>
    <w:rsid w:val="00831AE2"/>
    <w:rsid w:val="00831BDD"/>
    <w:rsid w:val="008324B1"/>
    <w:rsid w:val="008327C2"/>
    <w:rsid w:val="0083288E"/>
    <w:rsid w:val="0083290C"/>
    <w:rsid w:val="00832F4F"/>
    <w:rsid w:val="008350C5"/>
    <w:rsid w:val="008353CF"/>
    <w:rsid w:val="008363BB"/>
    <w:rsid w:val="008365E7"/>
    <w:rsid w:val="00836ACA"/>
    <w:rsid w:val="00836D66"/>
    <w:rsid w:val="0083735D"/>
    <w:rsid w:val="00837435"/>
    <w:rsid w:val="008400BE"/>
    <w:rsid w:val="00841127"/>
    <w:rsid w:val="00842A86"/>
    <w:rsid w:val="00842B19"/>
    <w:rsid w:val="00842E51"/>
    <w:rsid w:val="00844063"/>
    <w:rsid w:val="00844B83"/>
    <w:rsid w:val="00844EEA"/>
    <w:rsid w:val="00846D1C"/>
    <w:rsid w:val="00846F03"/>
    <w:rsid w:val="00847CA2"/>
    <w:rsid w:val="00850472"/>
    <w:rsid w:val="00850EE5"/>
    <w:rsid w:val="00852C1F"/>
    <w:rsid w:val="00852CF9"/>
    <w:rsid w:val="00852EA3"/>
    <w:rsid w:val="0085344D"/>
    <w:rsid w:val="00853679"/>
    <w:rsid w:val="0085383A"/>
    <w:rsid w:val="00853E5F"/>
    <w:rsid w:val="00854407"/>
    <w:rsid w:val="0085444A"/>
    <w:rsid w:val="008548C0"/>
    <w:rsid w:val="00854C89"/>
    <w:rsid w:val="00854E7D"/>
    <w:rsid w:val="008552C1"/>
    <w:rsid w:val="00855770"/>
    <w:rsid w:val="00855CC3"/>
    <w:rsid w:val="008562E7"/>
    <w:rsid w:val="0085640C"/>
    <w:rsid w:val="008575B2"/>
    <w:rsid w:val="00861594"/>
    <w:rsid w:val="0086193A"/>
    <w:rsid w:val="00861D34"/>
    <w:rsid w:val="008623E5"/>
    <w:rsid w:val="00862E9C"/>
    <w:rsid w:val="00863875"/>
    <w:rsid w:val="00863890"/>
    <w:rsid w:val="00864FFE"/>
    <w:rsid w:val="008653AC"/>
    <w:rsid w:val="00865C62"/>
    <w:rsid w:val="00865FCD"/>
    <w:rsid w:val="0087066F"/>
    <w:rsid w:val="008710AA"/>
    <w:rsid w:val="00871ECB"/>
    <w:rsid w:val="00872350"/>
    <w:rsid w:val="0087284F"/>
    <w:rsid w:val="00872C6E"/>
    <w:rsid w:val="00872F63"/>
    <w:rsid w:val="0087313A"/>
    <w:rsid w:val="00873C83"/>
    <w:rsid w:val="008746AB"/>
    <w:rsid w:val="00874703"/>
    <w:rsid w:val="00874968"/>
    <w:rsid w:val="008749E6"/>
    <w:rsid w:val="00874AFE"/>
    <w:rsid w:val="00874FC1"/>
    <w:rsid w:val="008760CA"/>
    <w:rsid w:val="00876C1C"/>
    <w:rsid w:val="00876D23"/>
    <w:rsid w:val="00877B21"/>
    <w:rsid w:val="00877ED6"/>
    <w:rsid w:val="00881191"/>
    <w:rsid w:val="00881251"/>
    <w:rsid w:val="00881328"/>
    <w:rsid w:val="008817B9"/>
    <w:rsid w:val="008828F3"/>
    <w:rsid w:val="00882A68"/>
    <w:rsid w:val="00882D78"/>
    <w:rsid w:val="008834CF"/>
    <w:rsid w:val="008834DA"/>
    <w:rsid w:val="00884736"/>
    <w:rsid w:val="00884D56"/>
    <w:rsid w:val="008852FC"/>
    <w:rsid w:val="008862D7"/>
    <w:rsid w:val="00886436"/>
    <w:rsid w:val="00886B44"/>
    <w:rsid w:val="00886F61"/>
    <w:rsid w:val="00887BBA"/>
    <w:rsid w:val="00891B2A"/>
    <w:rsid w:val="00892AB7"/>
    <w:rsid w:val="00892D48"/>
    <w:rsid w:val="00893489"/>
    <w:rsid w:val="008938C7"/>
    <w:rsid w:val="0089430A"/>
    <w:rsid w:val="00894778"/>
    <w:rsid w:val="00895F8C"/>
    <w:rsid w:val="00895FD9"/>
    <w:rsid w:val="00896EA0"/>
    <w:rsid w:val="00897035"/>
    <w:rsid w:val="008973C5"/>
    <w:rsid w:val="00897904"/>
    <w:rsid w:val="008A03E9"/>
    <w:rsid w:val="008A1620"/>
    <w:rsid w:val="008A1D47"/>
    <w:rsid w:val="008A1D6F"/>
    <w:rsid w:val="008A1F3E"/>
    <w:rsid w:val="008A2402"/>
    <w:rsid w:val="008A2878"/>
    <w:rsid w:val="008A29CE"/>
    <w:rsid w:val="008A348D"/>
    <w:rsid w:val="008A3DCC"/>
    <w:rsid w:val="008A40AD"/>
    <w:rsid w:val="008A5975"/>
    <w:rsid w:val="008A5A25"/>
    <w:rsid w:val="008A5B90"/>
    <w:rsid w:val="008A64DB"/>
    <w:rsid w:val="008A6856"/>
    <w:rsid w:val="008A68DA"/>
    <w:rsid w:val="008A6B50"/>
    <w:rsid w:val="008A752E"/>
    <w:rsid w:val="008A7F92"/>
    <w:rsid w:val="008B018E"/>
    <w:rsid w:val="008B0646"/>
    <w:rsid w:val="008B07E6"/>
    <w:rsid w:val="008B1343"/>
    <w:rsid w:val="008B24CE"/>
    <w:rsid w:val="008B25B1"/>
    <w:rsid w:val="008B28BF"/>
    <w:rsid w:val="008B2C2B"/>
    <w:rsid w:val="008B2DDE"/>
    <w:rsid w:val="008B361F"/>
    <w:rsid w:val="008B3BD9"/>
    <w:rsid w:val="008B449D"/>
    <w:rsid w:val="008B5993"/>
    <w:rsid w:val="008B5CBF"/>
    <w:rsid w:val="008B5E2B"/>
    <w:rsid w:val="008B5F2C"/>
    <w:rsid w:val="008B655C"/>
    <w:rsid w:val="008B6995"/>
    <w:rsid w:val="008B7219"/>
    <w:rsid w:val="008B7429"/>
    <w:rsid w:val="008B7DBC"/>
    <w:rsid w:val="008B7E2E"/>
    <w:rsid w:val="008C0709"/>
    <w:rsid w:val="008C0904"/>
    <w:rsid w:val="008C0940"/>
    <w:rsid w:val="008C095F"/>
    <w:rsid w:val="008C1406"/>
    <w:rsid w:val="008C1A3D"/>
    <w:rsid w:val="008C1AFD"/>
    <w:rsid w:val="008C2126"/>
    <w:rsid w:val="008C28D1"/>
    <w:rsid w:val="008C3606"/>
    <w:rsid w:val="008C393C"/>
    <w:rsid w:val="008C3B8A"/>
    <w:rsid w:val="008C46AE"/>
    <w:rsid w:val="008C4F4E"/>
    <w:rsid w:val="008C5190"/>
    <w:rsid w:val="008C51EE"/>
    <w:rsid w:val="008C5268"/>
    <w:rsid w:val="008C52D3"/>
    <w:rsid w:val="008C7C91"/>
    <w:rsid w:val="008D02BD"/>
    <w:rsid w:val="008D0614"/>
    <w:rsid w:val="008D24E8"/>
    <w:rsid w:val="008D2EAC"/>
    <w:rsid w:val="008D3261"/>
    <w:rsid w:val="008D4AE1"/>
    <w:rsid w:val="008D555F"/>
    <w:rsid w:val="008D585F"/>
    <w:rsid w:val="008D5E7F"/>
    <w:rsid w:val="008D5EF2"/>
    <w:rsid w:val="008D6803"/>
    <w:rsid w:val="008D70EE"/>
    <w:rsid w:val="008E0185"/>
    <w:rsid w:val="008E137D"/>
    <w:rsid w:val="008E2C16"/>
    <w:rsid w:val="008E3860"/>
    <w:rsid w:val="008E3FDA"/>
    <w:rsid w:val="008E44DD"/>
    <w:rsid w:val="008E4A1B"/>
    <w:rsid w:val="008E4B80"/>
    <w:rsid w:val="008E4CB3"/>
    <w:rsid w:val="008E4E78"/>
    <w:rsid w:val="008E4F38"/>
    <w:rsid w:val="008E582B"/>
    <w:rsid w:val="008E5C39"/>
    <w:rsid w:val="008E657A"/>
    <w:rsid w:val="008E6D4D"/>
    <w:rsid w:val="008E7708"/>
    <w:rsid w:val="008E7F95"/>
    <w:rsid w:val="008F1313"/>
    <w:rsid w:val="008F1655"/>
    <w:rsid w:val="008F1B39"/>
    <w:rsid w:val="008F1FAA"/>
    <w:rsid w:val="008F28F9"/>
    <w:rsid w:val="008F2E90"/>
    <w:rsid w:val="008F2FA8"/>
    <w:rsid w:val="008F53D0"/>
    <w:rsid w:val="008F55F7"/>
    <w:rsid w:val="008F5C1A"/>
    <w:rsid w:val="008F65DF"/>
    <w:rsid w:val="008F72FC"/>
    <w:rsid w:val="008F7B90"/>
    <w:rsid w:val="008F7D64"/>
    <w:rsid w:val="00900819"/>
    <w:rsid w:val="00900EB2"/>
    <w:rsid w:val="0090170E"/>
    <w:rsid w:val="00901A99"/>
    <w:rsid w:val="00901DFB"/>
    <w:rsid w:val="0090233D"/>
    <w:rsid w:val="009024B6"/>
    <w:rsid w:val="00902E5A"/>
    <w:rsid w:val="0090328E"/>
    <w:rsid w:val="00903464"/>
    <w:rsid w:val="009036B2"/>
    <w:rsid w:val="00904024"/>
    <w:rsid w:val="0090447D"/>
    <w:rsid w:val="00904C2D"/>
    <w:rsid w:val="00904E3E"/>
    <w:rsid w:val="00905998"/>
    <w:rsid w:val="00905BEB"/>
    <w:rsid w:val="009067E2"/>
    <w:rsid w:val="0090697A"/>
    <w:rsid w:val="0090699C"/>
    <w:rsid w:val="00906C60"/>
    <w:rsid w:val="00906DAA"/>
    <w:rsid w:val="00907633"/>
    <w:rsid w:val="00907953"/>
    <w:rsid w:val="009079E9"/>
    <w:rsid w:val="00907CF6"/>
    <w:rsid w:val="00907E13"/>
    <w:rsid w:val="00907F49"/>
    <w:rsid w:val="009100B6"/>
    <w:rsid w:val="009106E1"/>
    <w:rsid w:val="00910EB6"/>
    <w:rsid w:val="009112DA"/>
    <w:rsid w:val="00911860"/>
    <w:rsid w:val="00911CF4"/>
    <w:rsid w:val="00913234"/>
    <w:rsid w:val="00913CD1"/>
    <w:rsid w:val="00913F08"/>
    <w:rsid w:val="00913F31"/>
    <w:rsid w:val="00914F96"/>
    <w:rsid w:val="00915872"/>
    <w:rsid w:val="00915EE8"/>
    <w:rsid w:val="00916A1A"/>
    <w:rsid w:val="00917431"/>
    <w:rsid w:val="00920108"/>
    <w:rsid w:val="009202D8"/>
    <w:rsid w:val="0092047B"/>
    <w:rsid w:val="00920480"/>
    <w:rsid w:val="00921002"/>
    <w:rsid w:val="009212CB"/>
    <w:rsid w:val="009215BE"/>
    <w:rsid w:val="0092223B"/>
    <w:rsid w:val="00922D38"/>
    <w:rsid w:val="00922FEE"/>
    <w:rsid w:val="00923C77"/>
    <w:rsid w:val="009240AC"/>
    <w:rsid w:val="0092443A"/>
    <w:rsid w:val="00924C09"/>
    <w:rsid w:val="00924D91"/>
    <w:rsid w:val="00924F24"/>
    <w:rsid w:val="009252B1"/>
    <w:rsid w:val="0092550B"/>
    <w:rsid w:val="00925728"/>
    <w:rsid w:val="00925A44"/>
    <w:rsid w:val="00925C68"/>
    <w:rsid w:val="009265CB"/>
    <w:rsid w:val="009272A8"/>
    <w:rsid w:val="00927575"/>
    <w:rsid w:val="00927935"/>
    <w:rsid w:val="00930255"/>
    <w:rsid w:val="00930D62"/>
    <w:rsid w:val="009310EA"/>
    <w:rsid w:val="00931BE9"/>
    <w:rsid w:val="00932533"/>
    <w:rsid w:val="00932AD9"/>
    <w:rsid w:val="00932C57"/>
    <w:rsid w:val="00932E54"/>
    <w:rsid w:val="00933526"/>
    <w:rsid w:val="0093372D"/>
    <w:rsid w:val="009344F3"/>
    <w:rsid w:val="00934C74"/>
    <w:rsid w:val="009351D9"/>
    <w:rsid w:val="00935E76"/>
    <w:rsid w:val="009363D3"/>
    <w:rsid w:val="00936B52"/>
    <w:rsid w:val="00936D9C"/>
    <w:rsid w:val="0094079B"/>
    <w:rsid w:val="0094096A"/>
    <w:rsid w:val="00940F8D"/>
    <w:rsid w:val="00941195"/>
    <w:rsid w:val="009414DF"/>
    <w:rsid w:val="00941B21"/>
    <w:rsid w:val="00941B2E"/>
    <w:rsid w:val="00942055"/>
    <w:rsid w:val="009421BA"/>
    <w:rsid w:val="00942A73"/>
    <w:rsid w:val="00942CE6"/>
    <w:rsid w:val="00943643"/>
    <w:rsid w:val="00944837"/>
    <w:rsid w:val="0094644A"/>
    <w:rsid w:val="00946622"/>
    <w:rsid w:val="00946A68"/>
    <w:rsid w:val="00946A9B"/>
    <w:rsid w:val="00946C53"/>
    <w:rsid w:val="009472C2"/>
    <w:rsid w:val="00947D55"/>
    <w:rsid w:val="00950182"/>
    <w:rsid w:val="00950188"/>
    <w:rsid w:val="009502F9"/>
    <w:rsid w:val="00950D50"/>
    <w:rsid w:val="009514C1"/>
    <w:rsid w:val="009515B5"/>
    <w:rsid w:val="009519B2"/>
    <w:rsid w:val="00951FAB"/>
    <w:rsid w:val="00952085"/>
    <w:rsid w:val="00952BD5"/>
    <w:rsid w:val="00953AB3"/>
    <w:rsid w:val="00954725"/>
    <w:rsid w:val="00954995"/>
    <w:rsid w:val="00954D96"/>
    <w:rsid w:val="00955066"/>
    <w:rsid w:val="00955092"/>
    <w:rsid w:val="009550B6"/>
    <w:rsid w:val="00955968"/>
    <w:rsid w:val="00955CA1"/>
    <w:rsid w:val="009564D6"/>
    <w:rsid w:val="009569B9"/>
    <w:rsid w:val="00956C4D"/>
    <w:rsid w:val="009570A5"/>
    <w:rsid w:val="0095774C"/>
    <w:rsid w:val="00960180"/>
    <w:rsid w:val="009601E8"/>
    <w:rsid w:val="00960278"/>
    <w:rsid w:val="00960487"/>
    <w:rsid w:val="00960FE1"/>
    <w:rsid w:val="009627B2"/>
    <w:rsid w:val="009629B2"/>
    <w:rsid w:val="00962BC9"/>
    <w:rsid w:val="00962FBF"/>
    <w:rsid w:val="00963225"/>
    <w:rsid w:val="009643DE"/>
    <w:rsid w:val="00970F8A"/>
    <w:rsid w:val="009713A5"/>
    <w:rsid w:val="009714DA"/>
    <w:rsid w:val="0097174E"/>
    <w:rsid w:val="00972122"/>
    <w:rsid w:val="0097214E"/>
    <w:rsid w:val="0097254D"/>
    <w:rsid w:val="00973760"/>
    <w:rsid w:val="00973B9A"/>
    <w:rsid w:val="00973EF2"/>
    <w:rsid w:val="00974636"/>
    <w:rsid w:val="00975843"/>
    <w:rsid w:val="00976D0C"/>
    <w:rsid w:val="0097771C"/>
    <w:rsid w:val="00977C20"/>
    <w:rsid w:val="00980AF2"/>
    <w:rsid w:val="009817CA"/>
    <w:rsid w:val="0098247E"/>
    <w:rsid w:val="0098263E"/>
    <w:rsid w:val="00982A02"/>
    <w:rsid w:val="00983ABB"/>
    <w:rsid w:val="00984E21"/>
    <w:rsid w:val="00985D37"/>
    <w:rsid w:val="009865ED"/>
    <w:rsid w:val="00986F5D"/>
    <w:rsid w:val="00987603"/>
    <w:rsid w:val="00987FD2"/>
    <w:rsid w:val="009901D4"/>
    <w:rsid w:val="00990B54"/>
    <w:rsid w:val="00990EFD"/>
    <w:rsid w:val="0099158E"/>
    <w:rsid w:val="0099210E"/>
    <w:rsid w:val="00992330"/>
    <w:rsid w:val="009925D6"/>
    <w:rsid w:val="0099262D"/>
    <w:rsid w:val="009926E2"/>
    <w:rsid w:val="00992D28"/>
    <w:rsid w:val="00993BCE"/>
    <w:rsid w:val="00993E0B"/>
    <w:rsid w:val="00994912"/>
    <w:rsid w:val="00994E52"/>
    <w:rsid w:val="00995174"/>
    <w:rsid w:val="00995272"/>
    <w:rsid w:val="009954DC"/>
    <w:rsid w:val="00995F1B"/>
    <w:rsid w:val="00996621"/>
    <w:rsid w:val="0099685B"/>
    <w:rsid w:val="00996D64"/>
    <w:rsid w:val="00996E48"/>
    <w:rsid w:val="009972FC"/>
    <w:rsid w:val="00997570"/>
    <w:rsid w:val="00997673"/>
    <w:rsid w:val="009A015E"/>
    <w:rsid w:val="009A1429"/>
    <w:rsid w:val="009A1728"/>
    <w:rsid w:val="009A1B1E"/>
    <w:rsid w:val="009A20D9"/>
    <w:rsid w:val="009A26AD"/>
    <w:rsid w:val="009A2E07"/>
    <w:rsid w:val="009A2EA1"/>
    <w:rsid w:val="009A425D"/>
    <w:rsid w:val="009A4A23"/>
    <w:rsid w:val="009A55F7"/>
    <w:rsid w:val="009A57A3"/>
    <w:rsid w:val="009A5C63"/>
    <w:rsid w:val="009A5E2A"/>
    <w:rsid w:val="009A644D"/>
    <w:rsid w:val="009A6C2C"/>
    <w:rsid w:val="009A6EC4"/>
    <w:rsid w:val="009A735A"/>
    <w:rsid w:val="009A7B51"/>
    <w:rsid w:val="009B0A9F"/>
    <w:rsid w:val="009B18B9"/>
    <w:rsid w:val="009B1E3C"/>
    <w:rsid w:val="009B1EEE"/>
    <w:rsid w:val="009B1EF4"/>
    <w:rsid w:val="009B232B"/>
    <w:rsid w:val="009B2BE7"/>
    <w:rsid w:val="009B3755"/>
    <w:rsid w:val="009B37ED"/>
    <w:rsid w:val="009B3D17"/>
    <w:rsid w:val="009B41F2"/>
    <w:rsid w:val="009B4641"/>
    <w:rsid w:val="009B4C6E"/>
    <w:rsid w:val="009B5710"/>
    <w:rsid w:val="009B5E3D"/>
    <w:rsid w:val="009B6592"/>
    <w:rsid w:val="009B6CA5"/>
    <w:rsid w:val="009B7C94"/>
    <w:rsid w:val="009C024A"/>
    <w:rsid w:val="009C0EE2"/>
    <w:rsid w:val="009C2ED9"/>
    <w:rsid w:val="009C2EE5"/>
    <w:rsid w:val="009C350C"/>
    <w:rsid w:val="009C36AB"/>
    <w:rsid w:val="009C3AE9"/>
    <w:rsid w:val="009C3F94"/>
    <w:rsid w:val="009C4461"/>
    <w:rsid w:val="009C4B9F"/>
    <w:rsid w:val="009C4BB2"/>
    <w:rsid w:val="009C5792"/>
    <w:rsid w:val="009C57F6"/>
    <w:rsid w:val="009C5EBD"/>
    <w:rsid w:val="009C7BE4"/>
    <w:rsid w:val="009D05A4"/>
    <w:rsid w:val="009D180E"/>
    <w:rsid w:val="009D1D80"/>
    <w:rsid w:val="009D24CA"/>
    <w:rsid w:val="009D25B5"/>
    <w:rsid w:val="009D2857"/>
    <w:rsid w:val="009D2E9C"/>
    <w:rsid w:val="009D327F"/>
    <w:rsid w:val="009D4805"/>
    <w:rsid w:val="009D4932"/>
    <w:rsid w:val="009D4969"/>
    <w:rsid w:val="009D63CF"/>
    <w:rsid w:val="009D74B8"/>
    <w:rsid w:val="009D7867"/>
    <w:rsid w:val="009D791F"/>
    <w:rsid w:val="009E07E5"/>
    <w:rsid w:val="009E09D7"/>
    <w:rsid w:val="009E0A7C"/>
    <w:rsid w:val="009E25F0"/>
    <w:rsid w:val="009E315C"/>
    <w:rsid w:val="009E36D6"/>
    <w:rsid w:val="009E381A"/>
    <w:rsid w:val="009E42C3"/>
    <w:rsid w:val="009E49D6"/>
    <w:rsid w:val="009E5CCB"/>
    <w:rsid w:val="009E6F14"/>
    <w:rsid w:val="009E7088"/>
    <w:rsid w:val="009E7589"/>
    <w:rsid w:val="009F0BBD"/>
    <w:rsid w:val="009F2409"/>
    <w:rsid w:val="009F246C"/>
    <w:rsid w:val="009F2D27"/>
    <w:rsid w:val="009F3218"/>
    <w:rsid w:val="009F3877"/>
    <w:rsid w:val="009F3D18"/>
    <w:rsid w:val="009F3E60"/>
    <w:rsid w:val="009F3E79"/>
    <w:rsid w:val="009F4145"/>
    <w:rsid w:val="009F422D"/>
    <w:rsid w:val="009F4379"/>
    <w:rsid w:val="009F4C19"/>
    <w:rsid w:val="009F5063"/>
    <w:rsid w:val="009F5900"/>
    <w:rsid w:val="009F5A94"/>
    <w:rsid w:val="009F5C1F"/>
    <w:rsid w:val="009F6629"/>
    <w:rsid w:val="009F675A"/>
    <w:rsid w:val="009F6C63"/>
    <w:rsid w:val="009F7214"/>
    <w:rsid w:val="009F7502"/>
    <w:rsid w:val="009F7E7C"/>
    <w:rsid w:val="009F7FF5"/>
    <w:rsid w:val="00A005EF"/>
    <w:rsid w:val="00A00622"/>
    <w:rsid w:val="00A00935"/>
    <w:rsid w:val="00A00ADC"/>
    <w:rsid w:val="00A00AE5"/>
    <w:rsid w:val="00A01C02"/>
    <w:rsid w:val="00A01E0A"/>
    <w:rsid w:val="00A02A5C"/>
    <w:rsid w:val="00A0375B"/>
    <w:rsid w:val="00A0460B"/>
    <w:rsid w:val="00A05064"/>
    <w:rsid w:val="00A05BE2"/>
    <w:rsid w:val="00A061C9"/>
    <w:rsid w:val="00A064EF"/>
    <w:rsid w:val="00A077F2"/>
    <w:rsid w:val="00A10051"/>
    <w:rsid w:val="00A102B4"/>
    <w:rsid w:val="00A10355"/>
    <w:rsid w:val="00A1046A"/>
    <w:rsid w:val="00A10783"/>
    <w:rsid w:val="00A108C3"/>
    <w:rsid w:val="00A11215"/>
    <w:rsid w:val="00A132BA"/>
    <w:rsid w:val="00A132EC"/>
    <w:rsid w:val="00A1348E"/>
    <w:rsid w:val="00A13543"/>
    <w:rsid w:val="00A13AD9"/>
    <w:rsid w:val="00A13B36"/>
    <w:rsid w:val="00A13E73"/>
    <w:rsid w:val="00A13E80"/>
    <w:rsid w:val="00A13EE8"/>
    <w:rsid w:val="00A140D6"/>
    <w:rsid w:val="00A14936"/>
    <w:rsid w:val="00A15989"/>
    <w:rsid w:val="00A16343"/>
    <w:rsid w:val="00A16B8C"/>
    <w:rsid w:val="00A17A34"/>
    <w:rsid w:val="00A17C07"/>
    <w:rsid w:val="00A17F96"/>
    <w:rsid w:val="00A20CDF"/>
    <w:rsid w:val="00A23216"/>
    <w:rsid w:val="00A23B21"/>
    <w:rsid w:val="00A23C3B"/>
    <w:rsid w:val="00A24968"/>
    <w:rsid w:val="00A24D0E"/>
    <w:rsid w:val="00A254AA"/>
    <w:rsid w:val="00A25704"/>
    <w:rsid w:val="00A2608D"/>
    <w:rsid w:val="00A261B5"/>
    <w:rsid w:val="00A261D6"/>
    <w:rsid w:val="00A26433"/>
    <w:rsid w:val="00A26F10"/>
    <w:rsid w:val="00A26F9E"/>
    <w:rsid w:val="00A27D87"/>
    <w:rsid w:val="00A30BFE"/>
    <w:rsid w:val="00A31FAC"/>
    <w:rsid w:val="00A32AE8"/>
    <w:rsid w:val="00A335BA"/>
    <w:rsid w:val="00A3361F"/>
    <w:rsid w:val="00A33D58"/>
    <w:rsid w:val="00A351B5"/>
    <w:rsid w:val="00A35662"/>
    <w:rsid w:val="00A35766"/>
    <w:rsid w:val="00A35897"/>
    <w:rsid w:val="00A35954"/>
    <w:rsid w:val="00A35A2D"/>
    <w:rsid w:val="00A35DBB"/>
    <w:rsid w:val="00A36401"/>
    <w:rsid w:val="00A36ECB"/>
    <w:rsid w:val="00A37461"/>
    <w:rsid w:val="00A37B79"/>
    <w:rsid w:val="00A4258E"/>
    <w:rsid w:val="00A42B80"/>
    <w:rsid w:val="00A42ED6"/>
    <w:rsid w:val="00A4322B"/>
    <w:rsid w:val="00A43CDE"/>
    <w:rsid w:val="00A44392"/>
    <w:rsid w:val="00A44859"/>
    <w:rsid w:val="00A449C7"/>
    <w:rsid w:val="00A453C1"/>
    <w:rsid w:val="00A459DB"/>
    <w:rsid w:val="00A460A9"/>
    <w:rsid w:val="00A467BF"/>
    <w:rsid w:val="00A51389"/>
    <w:rsid w:val="00A51671"/>
    <w:rsid w:val="00A52160"/>
    <w:rsid w:val="00A52339"/>
    <w:rsid w:val="00A529D9"/>
    <w:rsid w:val="00A52B79"/>
    <w:rsid w:val="00A5339A"/>
    <w:rsid w:val="00A53CEA"/>
    <w:rsid w:val="00A54437"/>
    <w:rsid w:val="00A557EC"/>
    <w:rsid w:val="00A5669A"/>
    <w:rsid w:val="00A605C8"/>
    <w:rsid w:val="00A608C2"/>
    <w:rsid w:val="00A608D8"/>
    <w:rsid w:val="00A609C2"/>
    <w:rsid w:val="00A60AB0"/>
    <w:rsid w:val="00A60AC5"/>
    <w:rsid w:val="00A61AFF"/>
    <w:rsid w:val="00A621E7"/>
    <w:rsid w:val="00A64C09"/>
    <w:rsid w:val="00A6633C"/>
    <w:rsid w:val="00A6695F"/>
    <w:rsid w:val="00A67E94"/>
    <w:rsid w:val="00A67F60"/>
    <w:rsid w:val="00A67F6C"/>
    <w:rsid w:val="00A70B8F"/>
    <w:rsid w:val="00A7179A"/>
    <w:rsid w:val="00A718CF"/>
    <w:rsid w:val="00A721A2"/>
    <w:rsid w:val="00A72E88"/>
    <w:rsid w:val="00A73079"/>
    <w:rsid w:val="00A733BE"/>
    <w:rsid w:val="00A7412B"/>
    <w:rsid w:val="00A74E8D"/>
    <w:rsid w:val="00A7524B"/>
    <w:rsid w:val="00A75E26"/>
    <w:rsid w:val="00A76016"/>
    <w:rsid w:val="00A7791E"/>
    <w:rsid w:val="00A80C07"/>
    <w:rsid w:val="00A80CB9"/>
    <w:rsid w:val="00A8208E"/>
    <w:rsid w:val="00A8353A"/>
    <w:rsid w:val="00A83CD0"/>
    <w:rsid w:val="00A83FD3"/>
    <w:rsid w:val="00A84135"/>
    <w:rsid w:val="00A84C11"/>
    <w:rsid w:val="00A8510A"/>
    <w:rsid w:val="00A875E3"/>
    <w:rsid w:val="00A9038E"/>
    <w:rsid w:val="00A90AFA"/>
    <w:rsid w:val="00A91304"/>
    <w:rsid w:val="00A92F82"/>
    <w:rsid w:val="00A93975"/>
    <w:rsid w:val="00A93A93"/>
    <w:rsid w:val="00A94431"/>
    <w:rsid w:val="00A944C1"/>
    <w:rsid w:val="00A94879"/>
    <w:rsid w:val="00A94A1A"/>
    <w:rsid w:val="00A95085"/>
    <w:rsid w:val="00A953E4"/>
    <w:rsid w:val="00A95C4A"/>
    <w:rsid w:val="00A964E0"/>
    <w:rsid w:val="00A96628"/>
    <w:rsid w:val="00A96E41"/>
    <w:rsid w:val="00A970D2"/>
    <w:rsid w:val="00A97149"/>
    <w:rsid w:val="00A9777E"/>
    <w:rsid w:val="00A97A2B"/>
    <w:rsid w:val="00A97EAD"/>
    <w:rsid w:val="00A97EC5"/>
    <w:rsid w:val="00A97FF1"/>
    <w:rsid w:val="00AA0020"/>
    <w:rsid w:val="00AA031E"/>
    <w:rsid w:val="00AA1529"/>
    <w:rsid w:val="00AA181F"/>
    <w:rsid w:val="00AA2D57"/>
    <w:rsid w:val="00AA3084"/>
    <w:rsid w:val="00AA34D5"/>
    <w:rsid w:val="00AA38CD"/>
    <w:rsid w:val="00AA3B31"/>
    <w:rsid w:val="00AA4492"/>
    <w:rsid w:val="00AA47AE"/>
    <w:rsid w:val="00AA5385"/>
    <w:rsid w:val="00AA556A"/>
    <w:rsid w:val="00AA5887"/>
    <w:rsid w:val="00AA6C33"/>
    <w:rsid w:val="00AA7321"/>
    <w:rsid w:val="00AB10AC"/>
    <w:rsid w:val="00AB14B3"/>
    <w:rsid w:val="00AB14E1"/>
    <w:rsid w:val="00AB25B1"/>
    <w:rsid w:val="00AB3A47"/>
    <w:rsid w:val="00AB549D"/>
    <w:rsid w:val="00AB58B5"/>
    <w:rsid w:val="00AB5AA2"/>
    <w:rsid w:val="00AB6010"/>
    <w:rsid w:val="00AB7CFD"/>
    <w:rsid w:val="00AC0A2C"/>
    <w:rsid w:val="00AC1120"/>
    <w:rsid w:val="00AC1CD0"/>
    <w:rsid w:val="00AC28AD"/>
    <w:rsid w:val="00AC2917"/>
    <w:rsid w:val="00AC2E74"/>
    <w:rsid w:val="00AC4229"/>
    <w:rsid w:val="00AC470C"/>
    <w:rsid w:val="00AC4D8E"/>
    <w:rsid w:val="00AC5567"/>
    <w:rsid w:val="00AC5C20"/>
    <w:rsid w:val="00AC5D49"/>
    <w:rsid w:val="00AC775F"/>
    <w:rsid w:val="00AC79BE"/>
    <w:rsid w:val="00AC7A35"/>
    <w:rsid w:val="00AC7B4C"/>
    <w:rsid w:val="00AD0C94"/>
    <w:rsid w:val="00AD0DC9"/>
    <w:rsid w:val="00AD0DE8"/>
    <w:rsid w:val="00AD152A"/>
    <w:rsid w:val="00AD272D"/>
    <w:rsid w:val="00AD2A0A"/>
    <w:rsid w:val="00AD3235"/>
    <w:rsid w:val="00AD33B3"/>
    <w:rsid w:val="00AD3FE8"/>
    <w:rsid w:val="00AD424E"/>
    <w:rsid w:val="00AD4268"/>
    <w:rsid w:val="00AD4A3C"/>
    <w:rsid w:val="00AD5343"/>
    <w:rsid w:val="00AD5DFB"/>
    <w:rsid w:val="00AD62CE"/>
    <w:rsid w:val="00AD6A49"/>
    <w:rsid w:val="00AD7296"/>
    <w:rsid w:val="00AD763E"/>
    <w:rsid w:val="00AD7A9E"/>
    <w:rsid w:val="00AE1C9F"/>
    <w:rsid w:val="00AE204C"/>
    <w:rsid w:val="00AE3987"/>
    <w:rsid w:val="00AE3A00"/>
    <w:rsid w:val="00AE3B9E"/>
    <w:rsid w:val="00AE3F64"/>
    <w:rsid w:val="00AE4342"/>
    <w:rsid w:val="00AE5B60"/>
    <w:rsid w:val="00AE5D77"/>
    <w:rsid w:val="00AE5F60"/>
    <w:rsid w:val="00AE614F"/>
    <w:rsid w:val="00AE6D21"/>
    <w:rsid w:val="00AE76E8"/>
    <w:rsid w:val="00AE7FB1"/>
    <w:rsid w:val="00AF060F"/>
    <w:rsid w:val="00AF0A67"/>
    <w:rsid w:val="00AF2D23"/>
    <w:rsid w:val="00AF366B"/>
    <w:rsid w:val="00AF3A0C"/>
    <w:rsid w:val="00AF3F1D"/>
    <w:rsid w:val="00AF444F"/>
    <w:rsid w:val="00AF4709"/>
    <w:rsid w:val="00AF480A"/>
    <w:rsid w:val="00AF5147"/>
    <w:rsid w:val="00AF528B"/>
    <w:rsid w:val="00AF536C"/>
    <w:rsid w:val="00AF5756"/>
    <w:rsid w:val="00AF5987"/>
    <w:rsid w:val="00AF5E6A"/>
    <w:rsid w:val="00AF5FF3"/>
    <w:rsid w:val="00AF6913"/>
    <w:rsid w:val="00AF74CD"/>
    <w:rsid w:val="00AF7C8B"/>
    <w:rsid w:val="00AF7D5E"/>
    <w:rsid w:val="00B00803"/>
    <w:rsid w:val="00B00F19"/>
    <w:rsid w:val="00B0135C"/>
    <w:rsid w:val="00B017F1"/>
    <w:rsid w:val="00B02EB4"/>
    <w:rsid w:val="00B030C5"/>
    <w:rsid w:val="00B03745"/>
    <w:rsid w:val="00B03862"/>
    <w:rsid w:val="00B03919"/>
    <w:rsid w:val="00B04323"/>
    <w:rsid w:val="00B045D4"/>
    <w:rsid w:val="00B04714"/>
    <w:rsid w:val="00B0575A"/>
    <w:rsid w:val="00B05C89"/>
    <w:rsid w:val="00B06060"/>
    <w:rsid w:val="00B06DCC"/>
    <w:rsid w:val="00B101E9"/>
    <w:rsid w:val="00B102A1"/>
    <w:rsid w:val="00B11607"/>
    <w:rsid w:val="00B11EDE"/>
    <w:rsid w:val="00B1327C"/>
    <w:rsid w:val="00B13BEB"/>
    <w:rsid w:val="00B14336"/>
    <w:rsid w:val="00B14851"/>
    <w:rsid w:val="00B14DBB"/>
    <w:rsid w:val="00B15058"/>
    <w:rsid w:val="00B156AB"/>
    <w:rsid w:val="00B15715"/>
    <w:rsid w:val="00B15AB2"/>
    <w:rsid w:val="00B15AB8"/>
    <w:rsid w:val="00B16074"/>
    <w:rsid w:val="00B16F6B"/>
    <w:rsid w:val="00B17A72"/>
    <w:rsid w:val="00B2006E"/>
    <w:rsid w:val="00B20BF4"/>
    <w:rsid w:val="00B20F8C"/>
    <w:rsid w:val="00B212E6"/>
    <w:rsid w:val="00B21D25"/>
    <w:rsid w:val="00B21F35"/>
    <w:rsid w:val="00B2244E"/>
    <w:rsid w:val="00B22487"/>
    <w:rsid w:val="00B2302D"/>
    <w:rsid w:val="00B236D8"/>
    <w:rsid w:val="00B237DC"/>
    <w:rsid w:val="00B249E5"/>
    <w:rsid w:val="00B24DFE"/>
    <w:rsid w:val="00B26057"/>
    <w:rsid w:val="00B260F4"/>
    <w:rsid w:val="00B272AF"/>
    <w:rsid w:val="00B27936"/>
    <w:rsid w:val="00B27C2D"/>
    <w:rsid w:val="00B3014C"/>
    <w:rsid w:val="00B3019E"/>
    <w:rsid w:val="00B301FD"/>
    <w:rsid w:val="00B316E8"/>
    <w:rsid w:val="00B328E2"/>
    <w:rsid w:val="00B32B96"/>
    <w:rsid w:val="00B32BDF"/>
    <w:rsid w:val="00B33921"/>
    <w:rsid w:val="00B33C25"/>
    <w:rsid w:val="00B34267"/>
    <w:rsid w:val="00B34EC3"/>
    <w:rsid w:val="00B3501F"/>
    <w:rsid w:val="00B35A5F"/>
    <w:rsid w:val="00B35D97"/>
    <w:rsid w:val="00B35DF3"/>
    <w:rsid w:val="00B40510"/>
    <w:rsid w:val="00B41635"/>
    <w:rsid w:val="00B41AEC"/>
    <w:rsid w:val="00B42C21"/>
    <w:rsid w:val="00B438F3"/>
    <w:rsid w:val="00B43F43"/>
    <w:rsid w:val="00B44485"/>
    <w:rsid w:val="00B4460D"/>
    <w:rsid w:val="00B44999"/>
    <w:rsid w:val="00B44A3E"/>
    <w:rsid w:val="00B45044"/>
    <w:rsid w:val="00B454F0"/>
    <w:rsid w:val="00B45D39"/>
    <w:rsid w:val="00B45D9E"/>
    <w:rsid w:val="00B45E10"/>
    <w:rsid w:val="00B461DD"/>
    <w:rsid w:val="00B46227"/>
    <w:rsid w:val="00B4625D"/>
    <w:rsid w:val="00B46730"/>
    <w:rsid w:val="00B46D01"/>
    <w:rsid w:val="00B475C4"/>
    <w:rsid w:val="00B51358"/>
    <w:rsid w:val="00B5211F"/>
    <w:rsid w:val="00B52917"/>
    <w:rsid w:val="00B52BFA"/>
    <w:rsid w:val="00B533E3"/>
    <w:rsid w:val="00B536D4"/>
    <w:rsid w:val="00B543C4"/>
    <w:rsid w:val="00B544ED"/>
    <w:rsid w:val="00B559A8"/>
    <w:rsid w:val="00B564CD"/>
    <w:rsid w:val="00B56593"/>
    <w:rsid w:val="00B5711B"/>
    <w:rsid w:val="00B57605"/>
    <w:rsid w:val="00B5784F"/>
    <w:rsid w:val="00B602E0"/>
    <w:rsid w:val="00B603A3"/>
    <w:rsid w:val="00B604A4"/>
    <w:rsid w:val="00B6132C"/>
    <w:rsid w:val="00B618CF"/>
    <w:rsid w:val="00B62015"/>
    <w:rsid w:val="00B62230"/>
    <w:rsid w:val="00B624F1"/>
    <w:rsid w:val="00B63005"/>
    <w:rsid w:val="00B634F6"/>
    <w:rsid w:val="00B6397B"/>
    <w:rsid w:val="00B639C2"/>
    <w:rsid w:val="00B63CA6"/>
    <w:rsid w:val="00B64283"/>
    <w:rsid w:val="00B64499"/>
    <w:rsid w:val="00B6595C"/>
    <w:rsid w:val="00B666DD"/>
    <w:rsid w:val="00B67154"/>
    <w:rsid w:val="00B67327"/>
    <w:rsid w:val="00B67D77"/>
    <w:rsid w:val="00B70A1B"/>
    <w:rsid w:val="00B713F4"/>
    <w:rsid w:val="00B7183D"/>
    <w:rsid w:val="00B72C01"/>
    <w:rsid w:val="00B72CE5"/>
    <w:rsid w:val="00B7379E"/>
    <w:rsid w:val="00B73BE0"/>
    <w:rsid w:val="00B73F95"/>
    <w:rsid w:val="00B741BB"/>
    <w:rsid w:val="00B742D6"/>
    <w:rsid w:val="00B74361"/>
    <w:rsid w:val="00B74812"/>
    <w:rsid w:val="00B7485A"/>
    <w:rsid w:val="00B74EF5"/>
    <w:rsid w:val="00B75142"/>
    <w:rsid w:val="00B768E7"/>
    <w:rsid w:val="00B76900"/>
    <w:rsid w:val="00B77551"/>
    <w:rsid w:val="00B77562"/>
    <w:rsid w:val="00B804A6"/>
    <w:rsid w:val="00B80E0A"/>
    <w:rsid w:val="00B810CD"/>
    <w:rsid w:val="00B81453"/>
    <w:rsid w:val="00B8159F"/>
    <w:rsid w:val="00B81B3D"/>
    <w:rsid w:val="00B84107"/>
    <w:rsid w:val="00B856B5"/>
    <w:rsid w:val="00B85B8B"/>
    <w:rsid w:val="00B87037"/>
    <w:rsid w:val="00B87038"/>
    <w:rsid w:val="00B874FE"/>
    <w:rsid w:val="00B90BD8"/>
    <w:rsid w:val="00B91B2C"/>
    <w:rsid w:val="00B922ED"/>
    <w:rsid w:val="00B92859"/>
    <w:rsid w:val="00B92F16"/>
    <w:rsid w:val="00B92F85"/>
    <w:rsid w:val="00B93DF6"/>
    <w:rsid w:val="00B93FA2"/>
    <w:rsid w:val="00B94C39"/>
    <w:rsid w:val="00B94EC4"/>
    <w:rsid w:val="00B95495"/>
    <w:rsid w:val="00B9729C"/>
    <w:rsid w:val="00B9746E"/>
    <w:rsid w:val="00BA0336"/>
    <w:rsid w:val="00BA04CB"/>
    <w:rsid w:val="00BA1084"/>
    <w:rsid w:val="00BA10DA"/>
    <w:rsid w:val="00BA1376"/>
    <w:rsid w:val="00BA279A"/>
    <w:rsid w:val="00BA3389"/>
    <w:rsid w:val="00BA361B"/>
    <w:rsid w:val="00BA3ED6"/>
    <w:rsid w:val="00BA4E45"/>
    <w:rsid w:val="00BA5410"/>
    <w:rsid w:val="00BA546B"/>
    <w:rsid w:val="00BA5AC7"/>
    <w:rsid w:val="00BA5D8E"/>
    <w:rsid w:val="00BA6FB1"/>
    <w:rsid w:val="00BA7856"/>
    <w:rsid w:val="00BA7B3C"/>
    <w:rsid w:val="00BB0E9A"/>
    <w:rsid w:val="00BB0F0A"/>
    <w:rsid w:val="00BB1295"/>
    <w:rsid w:val="00BB1332"/>
    <w:rsid w:val="00BB1917"/>
    <w:rsid w:val="00BB1A6E"/>
    <w:rsid w:val="00BB1DBD"/>
    <w:rsid w:val="00BB1FB3"/>
    <w:rsid w:val="00BB3CE1"/>
    <w:rsid w:val="00BB463F"/>
    <w:rsid w:val="00BB4764"/>
    <w:rsid w:val="00BB4F6B"/>
    <w:rsid w:val="00BB5D25"/>
    <w:rsid w:val="00BB6055"/>
    <w:rsid w:val="00BB6A0D"/>
    <w:rsid w:val="00BB7C8E"/>
    <w:rsid w:val="00BB7CAA"/>
    <w:rsid w:val="00BC08D8"/>
    <w:rsid w:val="00BC0A02"/>
    <w:rsid w:val="00BC0B62"/>
    <w:rsid w:val="00BC15CB"/>
    <w:rsid w:val="00BC2017"/>
    <w:rsid w:val="00BC23F4"/>
    <w:rsid w:val="00BC2AE9"/>
    <w:rsid w:val="00BC3D75"/>
    <w:rsid w:val="00BC4313"/>
    <w:rsid w:val="00BC5482"/>
    <w:rsid w:val="00BC5CEF"/>
    <w:rsid w:val="00BC6910"/>
    <w:rsid w:val="00BC6982"/>
    <w:rsid w:val="00BC6CA8"/>
    <w:rsid w:val="00BD0EDF"/>
    <w:rsid w:val="00BD0FE2"/>
    <w:rsid w:val="00BD136F"/>
    <w:rsid w:val="00BD16F5"/>
    <w:rsid w:val="00BD17F1"/>
    <w:rsid w:val="00BD2B6C"/>
    <w:rsid w:val="00BD2F7A"/>
    <w:rsid w:val="00BD3791"/>
    <w:rsid w:val="00BD3A66"/>
    <w:rsid w:val="00BD3C59"/>
    <w:rsid w:val="00BD3FD2"/>
    <w:rsid w:val="00BD40F2"/>
    <w:rsid w:val="00BD4157"/>
    <w:rsid w:val="00BD44DB"/>
    <w:rsid w:val="00BD4FD3"/>
    <w:rsid w:val="00BD6197"/>
    <w:rsid w:val="00BD6AA4"/>
    <w:rsid w:val="00BD6CA2"/>
    <w:rsid w:val="00BD7303"/>
    <w:rsid w:val="00BD7AA8"/>
    <w:rsid w:val="00BD7B1F"/>
    <w:rsid w:val="00BE0A3C"/>
    <w:rsid w:val="00BE1284"/>
    <w:rsid w:val="00BE1427"/>
    <w:rsid w:val="00BE28F2"/>
    <w:rsid w:val="00BE2AB8"/>
    <w:rsid w:val="00BE2DDB"/>
    <w:rsid w:val="00BE3C2D"/>
    <w:rsid w:val="00BE3D1F"/>
    <w:rsid w:val="00BE3D67"/>
    <w:rsid w:val="00BE4BDE"/>
    <w:rsid w:val="00BE50A1"/>
    <w:rsid w:val="00BE68F8"/>
    <w:rsid w:val="00BE7626"/>
    <w:rsid w:val="00BE7DFA"/>
    <w:rsid w:val="00BF06FE"/>
    <w:rsid w:val="00BF0C5B"/>
    <w:rsid w:val="00BF0F37"/>
    <w:rsid w:val="00BF1AA1"/>
    <w:rsid w:val="00BF23F9"/>
    <w:rsid w:val="00BF242E"/>
    <w:rsid w:val="00BF290F"/>
    <w:rsid w:val="00BF3499"/>
    <w:rsid w:val="00BF3FA5"/>
    <w:rsid w:val="00BF3FF1"/>
    <w:rsid w:val="00BF47EB"/>
    <w:rsid w:val="00BF5209"/>
    <w:rsid w:val="00BF554F"/>
    <w:rsid w:val="00BF5C98"/>
    <w:rsid w:val="00BF65C4"/>
    <w:rsid w:val="00BF6819"/>
    <w:rsid w:val="00BF6DDF"/>
    <w:rsid w:val="00BF6DE6"/>
    <w:rsid w:val="00BF6DF7"/>
    <w:rsid w:val="00BF7476"/>
    <w:rsid w:val="00BF764F"/>
    <w:rsid w:val="00C0147C"/>
    <w:rsid w:val="00C02D18"/>
    <w:rsid w:val="00C0312A"/>
    <w:rsid w:val="00C0458F"/>
    <w:rsid w:val="00C05229"/>
    <w:rsid w:val="00C059FF"/>
    <w:rsid w:val="00C05A43"/>
    <w:rsid w:val="00C05C36"/>
    <w:rsid w:val="00C05FB0"/>
    <w:rsid w:val="00C05FFB"/>
    <w:rsid w:val="00C0655B"/>
    <w:rsid w:val="00C06A59"/>
    <w:rsid w:val="00C072AB"/>
    <w:rsid w:val="00C076D0"/>
    <w:rsid w:val="00C10B84"/>
    <w:rsid w:val="00C10F79"/>
    <w:rsid w:val="00C11C57"/>
    <w:rsid w:val="00C11E51"/>
    <w:rsid w:val="00C12414"/>
    <w:rsid w:val="00C12E71"/>
    <w:rsid w:val="00C13629"/>
    <w:rsid w:val="00C13631"/>
    <w:rsid w:val="00C13EF0"/>
    <w:rsid w:val="00C13F9B"/>
    <w:rsid w:val="00C14D45"/>
    <w:rsid w:val="00C155EE"/>
    <w:rsid w:val="00C156F3"/>
    <w:rsid w:val="00C158A6"/>
    <w:rsid w:val="00C15A30"/>
    <w:rsid w:val="00C15A34"/>
    <w:rsid w:val="00C15B07"/>
    <w:rsid w:val="00C16359"/>
    <w:rsid w:val="00C1659B"/>
    <w:rsid w:val="00C16C7D"/>
    <w:rsid w:val="00C172B4"/>
    <w:rsid w:val="00C1793E"/>
    <w:rsid w:val="00C179C0"/>
    <w:rsid w:val="00C17ABF"/>
    <w:rsid w:val="00C21325"/>
    <w:rsid w:val="00C21C30"/>
    <w:rsid w:val="00C2221F"/>
    <w:rsid w:val="00C23E57"/>
    <w:rsid w:val="00C24C80"/>
    <w:rsid w:val="00C25C80"/>
    <w:rsid w:val="00C261E3"/>
    <w:rsid w:val="00C26AAD"/>
    <w:rsid w:val="00C27E48"/>
    <w:rsid w:val="00C27EC0"/>
    <w:rsid w:val="00C310E0"/>
    <w:rsid w:val="00C3115E"/>
    <w:rsid w:val="00C311F1"/>
    <w:rsid w:val="00C3129C"/>
    <w:rsid w:val="00C313C9"/>
    <w:rsid w:val="00C32A9A"/>
    <w:rsid w:val="00C33233"/>
    <w:rsid w:val="00C334F7"/>
    <w:rsid w:val="00C3406D"/>
    <w:rsid w:val="00C345E7"/>
    <w:rsid w:val="00C350F5"/>
    <w:rsid w:val="00C351D9"/>
    <w:rsid w:val="00C36535"/>
    <w:rsid w:val="00C36DF0"/>
    <w:rsid w:val="00C36F3B"/>
    <w:rsid w:val="00C37264"/>
    <w:rsid w:val="00C375AC"/>
    <w:rsid w:val="00C375BC"/>
    <w:rsid w:val="00C3773D"/>
    <w:rsid w:val="00C400DA"/>
    <w:rsid w:val="00C40268"/>
    <w:rsid w:val="00C4048D"/>
    <w:rsid w:val="00C40CCA"/>
    <w:rsid w:val="00C41733"/>
    <w:rsid w:val="00C41CB2"/>
    <w:rsid w:val="00C41FE8"/>
    <w:rsid w:val="00C4218E"/>
    <w:rsid w:val="00C425F6"/>
    <w:rsid w:val="00C42CE2"/>
    <w:rsid w:val="00C4349B"/>
    <w:rsid w:val="00C43A85"/>
    <w:rsid w:val="00C4431E"/>
    <w:rsid w:val="00C450D8"/>
    <w:rsid w:val="00C45227"/>
    <w:rsid w:val="00C4552D"/>
    <w:rsid w:val="00C45BDF"/>
    <w:rsid w:val="00C461BA"/>
    <w:rsid w:val="00C46F22"/>
    <w:rsid w:val="00C4748A"/>
    <w:rsid w:val="00C47621"/>
    <w:rsid w:val="00C47692"/>
    <w:rsid w:val="00C47A20"/>
    <w:rsid w:val="00C47AA6"/>
    <w:rsid w:val="00C47B8B"/>
    <w:rsid w:val="00C47C56"/>
    <w:rsid w:val="00C5090F"/>
    <w:rsid w:val="00C51AD8"/>
    <w:rsid w:val="00C52100"/>
    <w:rsid w:val="00C522E1"/>
    <w:rsid w:val="00C538AC"/>
    <w:rsid w:val="00C53BB3"/>
    <w:rsid w:val="00C53BC6"/>
    <w:rsid w:val="00C551F8"/>
    <w:rsid w:val="00C558F3"/>
    <w:rsid w:val="00C55B01"/>
    <w:rsid w:val="00C55E6B"/>
    <w:rsid w:val="00C56D50"/>
    <w:rsid w:val="00C56F4D"/>
    <w:rsid w:val="00C604B2"/>
    <w:rsid w:val="00C605B9"/>
    <w:rsid w:val="00C60D54"/>
    <w:rsid w:val="00C61571"/>
    <w:rsid w:val="00C61F44"/>
    <w:rsid w:val="00C62B63"/>
    <w:rsid w:val="00C62D86"/>
    <w:rsid w:val="00C62EAC"/>
    <w:rsid w:val="00C62FBB"/>
    <w:rsid w:val="00C63195"/>
    <w:rsid w:val="00C63E16"/>
    <w:rsid w:val="00C640D5"/>
    <w:rsid w:val="00C6498C"/>
    <w:rsid w:val="00C64F4E"/>
    <w:rsid w:val="00C65B1D"/>
    <w:rsid w:val="00C66014"/>
    <w:rsid w:val="00C6661A"/>
    <w:rsid w:val="00C67A97"/>
    <w:rsid w:val="00C67D0E"/>
    <w:rsid w:val="00C7054D"/>
    <w:rsid w:val="00C70C50"/>
    <w:rsid w:val="00C70D64"/>
    <w:rsid w:val="00C717BE"/>
    <w:rsid w:val="00C71F6D"/>
    <w:rsid w:val="00C71FCC"/>
    <w:rsid w:val="00C73229"/>
    <w:rsid w:val="00C7498B"/>
    <w:rsid w:val="00C74AFA"/>
    <w:rsid w:val="00C752E5"/>
    <w:rsid w:val="00C75803"/>
    <w:rsid w:val="00C7580F"/>
    <w:rsid w:val="00C75C8E"/>
    <w:rsid w:val="00C75EB0"/>
    <w:rsid w:val="00C76247"/>
    <w:rsid w:val="00C768E8"/>
    <w:rsid w:val="00C76F3B"/>
    <w:rsid w:val="00C7712B"/>
    <w:rsid w:val="00C77582"/>
    <w:rsid w:val="00C7783F"/>
    <w:rsid w:val="00C778F6"/>
    <w:rsid w:val="00C77FA3"/>
    <w:rsid w:val="00C8006E"/>
    <w:rsid w:val="00C81760"/>
    <w:rsid w:val="00C822EF"/>
    <w:rsid w:val="00C84223"/>
    <w:rsid w:val="00C84AF0"/>
    <w:rsid w:val="00C84C8F"/>
    <w:rsid w:val="00C8630D"/>
    <w:rsid w:val="00C86C9C"/>
    <w:rsid w:val="00C87221"/>
    <w:rsid w:val="00C87847"/>
    <w:rsid w:val="00C90C37"/>
    <w:rsid w:val="00C90C5F"/>
    <w:rsid w:val="00C91317"/>
    <w:rsid w:val="00C91949"/>
    <w:rsid w:val="00C92D63"/>
    <w:rsid w:val="00C92EA6"/>
    <w:rsid w:val="00C92F1A"/>
    <w:rsid w:val="00C93014"/>
    <w:rsid w:val="00C93629"/>
    <w:rsid w:val="00C93AA4"/>
    <w:rsid w:val="00C94B90"/>
    <w:rsid w:val="00C94DD4"/>
    <w:rsid w:val="00C96958"/>
    <w:rsid w:val="00CA07F6"/>
    <w:rsid w:val="00CA0F1F"/>
    <w:rsid w:val="00CA2FE5"/>
    <w:rsid w:val="00CA3089"/>
    <w:rsid w:val="00CA3736"/>
    <w:rsid w:val="00CA37AE"/>
    <w:rsid w:val="00CA3CC7"/>
    <w:rsid w:val="00CA3E86"/>
    <w:rsid w:val="00CA4111"/>
    <w:rsid w:val="00CA5096"/>
    <w:rsid w:val="00CA5137"/>
    <w:rsid w:val="00CA538E"/>
    <w:rsid w:val="00CA5B7A"/>
    <w:rsid w:val="00CA6435"/>
    <w:rsid w:val="00CA666E"/>
    <w:rsid w:val="00CA6ACB"/>
    <w:rsid w:val="00CA72DF"/>
    <w:rsid w:val="00CA74AB"/>
    <w:rsid w:val="00CB0520"/>
    <w:rsid w:val="00CB0780"/>
    <w:rsid w:val="00CB09EA"/>
    <w:rsid w:val="00CB0B51"/>
    <w:rsid w:val="00CB1069"/>
    <w:rsid w:val="00CB1568"/>
    <w:rsid w:val="00CB1F46"/>
    <w:rsid w:val="00CB22DD"/>
    <w:rsid w:val="00CB2334"/>
    <w:rsid w:val="00CB3A2B"/>
    <w:rsid w:val="00CB3B22"/>
    <w:rsid w:val="00CB3E83"/>
    <w:rsid w:val="00CB44CA"/>
    <w:rsid w:val="00CB5B70"/>
    <w:rsid w:val="00CB629E"/>
    <w:rsid w:val="00CB6A75"/>
    <w:rsid w:val="00CB6C25"/>
    <w:rsid w:val="00CB7140"/>
    <w:rsid w:val="00CC1C7A"/>
    <w:rsid w:val="00CC1E03"/>
    <w:rsid w:val="00CC30D2"/>
    <w:rsid w:val="00CC3C4A"/>
    <w:rsid w:val="00CC474F"/>
    <w:rsid w:val="00CC52AB"/>
    <w:rsid w:val="00CC5555"/>
    <w:rsid w:val="00CC5641"/>
    <w:rsid w:val="00CC633E"/>
    <w:rsid w:val="00CC64DF"/>
    <w:rsid w:val="00CC6909"/>
    <w:rsid w:val="00CC6AF4"/>
    <w:rsid w:val="00CC790C"/>
    <w:rsid w:val="00CC7DD7"/>
    <w:rsid w:val="00CD0D2B"/>
    <w:rsid w:val="00CD1759"/>
    <w:rsid w:val="00CD1E38"/>
    <w:rsid w:val="00CD25DE"/>
    <w:rsid w:val="00CD289C"/>
    <w:rsid w:val="00CD2F49"/>
    <w:rsid w:val="00CD42BB"/>
    <w:rsid w:val="00CD4411"/>
    <w:rsid w:val="00CD493E"/>
    <w:rsid w:val="00CD63E5"/>
    <w:rsid w:val="00CD6F81"/>
    <w:rsid w:val="00CD7DA0"/>
    <w:rsid w:val="00CD7FDF"/>
    <w:rsid w:val="00CE0656"/>
    <w:rsid w:val="00CE09E6"/>
    <w:rsid w:val="00CE0A39"/>
    <w:rsid w:val="00CE0C92"/>
    <w:rsid w:val="00CE0D39"/>
    <w:rsid w:val="00CE236F"/>
    <w:rsid w:val="00CE2FEF"/>
    <w:rsid w:val="00CE33B5"/>
    <w:rsid w:val="00CE3DBD"/>
    <w:rsid w:val="00CE4381"/>
    <w:rsid w:val="00CE4642"/>
    <w:rsid w:val="00CE4C33"/>
    <w:rsid w:val="00CE5580"/>
    <w:rsid w:val="00CE5A99"/>
    <w:rsid w:val="00CE6934"/>
    <w:rsid w:val="00CE70FE"/>
    <w:rsid w:val="00CE7650"/>
    <w:rsid w:val="00CE7B54"/>
    <w:rsid w:val="00CF0879"/>
    <w:rsid w:val="00CF0E4C"/>
    <w:rsid w:val="00CF16B4"/>
    <w:rsid w:val="00CF183D"/>
    <w:rsid w:val="00CF1A70"/>
    <w:rsid w:val="00CF1D13"/>
    <w:rsid w:val="00CF255B"/>
    <w:rsid w:val="00CF267C"/>
    <w:rsid w:val="00CF27FF"/>
    <w:rsid w:val="00CF2B90"/>
    <w:rsid w:val="00CF2BFC"/>
    <w:rsid w:val="00CF2F98"/>
    <w:rsid w:val="00CF3227"/>
    <w:rsid w:val="00CF3500"/>
    <w:rsid w:val="00CF3E5F"/>
    <w:rsid w:val="00CF4A94"/>
    <w:rsid w:val="00CF4B49"/>
    <w:rsid w:val="00CF51D9"/>
    <w:rsid w:val="00CF5B2B"/>
    <w:rsid w:val="00CF5F6C"/>
    <w:rsid w:val="00CF5F98"/>
    <w:rsid w:val="00CF6108"/>
    <w:rsid w:val="00CF6895"/>
    <w:rsid w:val="00CF69E5"/>
    <w:rsid w:val="00CF71BB"/>
    <w:rsid w:val="00D00964"/>
    <w:rsid w:val="00D00AA9"/>
    <w:rsid w:val="00D00B6A"/>
    <w:rsid w:val="00D016DC"/>
    <w:rsid w:val="00D01D84"/>
    <w:rsid w:val="00D01F23"/>
    <w:rsid w:val="00D02207"/>
    <w:rsid w:val="00D02EE1"/>
    <w:rsid w:val="00D03139"/>
    <w:rsid w:val="00D0364C"/>
    <w:rsid w:val="00D04181"/>
    <w:rsid w:val="00D04DF6"/>
    <w:rsid w:val="00D0524C"/>
    <w:rsid w:val="00D0566D"/>
    <w:rsid w:val="00D058AD"/>
    <w:rsid w:val="00D05B08"/>
    <w:rsid w:val="00D06412"/>
    <w:rsid w:val="00D06A83"/>
    <w:rsid w:val="00D06BFC"/>
    <w:rsid w:val="00D101EA"/>
    <w:rsid w:val="00D10B5E"/>
    <w:rsid w:val="00D1119B"/>
    <w:rsid w:val="00D113E9"/>
    <w:rsid w:val="00D1237F"/>
    <w:rsid w:val="00D12825"/>
    <w:rsid w:val="00D13904"/>
    <w:rsid w:val="00D141E9"/>
    <w:rsid w:val="00D14E1D"/>
    <w:rsid w:val="00D16A35"/>
    <w:rsid w:val="00D171E1"/>
    <w:rsid w:val="00D17724"/>
    <w:rsid w:val="00D17F95"/>
    <w:rsid w:val="00D2081D"/>
    <w:rsid w:val="00D21076"/>
    <w:rsid w:val="00D213DD"/>
    <w:rsid w:val="00D215FC"/>
    <w:rsid w:val="00D220B7"/>
    <w:rsid w:val="00D23075"/>
    <w:rsid w:val="00D23698"/>
    <w:rsid w:val="00D23A7A"/>
    <w:rsid w:val="00D2466B"/>
    <w:rsid w:val="00D248B7"/>
    <w:rsid w:val="00D24BF2"/>
    <w:rsid w:val="00D24E1C"/>
    <w:rsid w:val="00D26261"/>
    <w:rsid w:val="00D273BD"/>
    <w:rsid w:val="00D27A96"/>
    <w:rsid w:val="00D27D55"/>
    <w:rsid w:val="00D3064B"/>
    <w:rsid w:val="00D309A6"/>
    <w:rsid w:val="00D31393"/>
    <w:rsid w:val="00D31646"/>
    <w:rsid w:val="00D317B9"/>
    <w:rsid w:val="00D33624"/>
    <w:rsid w:val="00D337C1"/>
    <w:rsid w:val="00D342B9"/>
    <w:rsid w:val="00D3443E"/>
    <w:rsid w:val="00D351ED"/>
    <w:rsid w:val="00D35379"/>
    <w:rsid w:val="00D353ED"/>
    <w:rsid w:val="00D36907"/>
    <w:rsid w:val="00D377F4"/>
    <w:rsid w:val="00D37CD5"/>
    <w:rsid w:val="00D41E59"/>
    <w:rsid w:val="00D43C5F"/>
    <w:rsid w:val="00D447D4"/>
    <w:rsid w:val="00D44A08"/>
    <w:rsid w:val="00D44A48"/>
    <w:rsid w:val="00D44D8D"/>
    <w:rsid w:val="00D453BE"/>
    <w:rsid w:val="00D45884"/>
    <w:rsid w:val="00D45C0A"/>
    <w:rsid w:val="00D47E27"/>
    <w:rsid w:val="00D5098F"/>
    <w:rsid w:val="00D52422"/>
    <w:rsid w:val="00D52E45"/>
    <w:rsid w:val="00D5367E"/>
    <w:rsid w:val="00D53D1A"/>
    <w:rsid w:val="00D5422F"/>
    <w:rsid w:val="00D54E4A"/>
    <w:rsid w:val="00D54EA8"/>
    <w:rsid w:val="00D551D0"/>
    <w:rsid w:val="00D56321"/>
    <w:rsid w:val="00D57282"/>
    <w:rsid w:val="00D61C2B"/>
    <w:rsid w:val="00D62829"/>
    <w:rsid w:val="00D6491B"/>
    <w:rsid w:val="00D64B2A"/>
    <w:rsid w:val="00D64D96"/>
    <w:rsid w:val="00D65511"/>
    <w:rsid w:val="00D65894"/>
    <w:rsid w:val="00D65FB4"/>
    <w:rsid w:val="00D6674D"/>
    <w:rsid w:val="00D66A3E"/>
    <w:rsid w:val="00D66C54"/>
    <w:rsid w:val="00D67713"/>
    <w:rsid w:val="00D714A0"/>
    <w:rsid w:val="00D71892"/>
    <w:rsid w:val="00D720F7"/>
    <w:rsid w:val="00D72615"/>
    <w:rsid w:val="00D72932"/>
    <w:rsid w:val="00D72F6E"/>
    <w:rsid w:val="00D732F5"/>
    <w:rsid w:val="00D74D1A"/>
    <w:rsid w:val="00D753FB"/>
    <w:rsid w:val="00D75C84"/>
    <w:rsid w:val="00D75FEA"/>
    <w:rsid w:val="00D76C92"/>
    <w:rsid w:val="00D76ED3"/>
    <w:rsid w:val="00D80B77"/>
    <w:rsid w:val="00D80D90"/>
    <w:rsid w:val="00D82A28"/>
    <w:rsid w:val="00D82BBB"/>
    <w:rsid w:val="00D8364A"/>
    <w:rsid w:val="00D83CB7"/>
    <w:rsid w:val="00D85408"/>
    <w:rsid w:val="00D854A9"/>
    <w:rsid w:val="00D85D7B"/>
    <w:rsid w:val="00D86D4E"/>
    <w:rsid w:val="00D86F47"/>
    <w:rsid w:val="00D87BF5"/>
    <w:rsid w:val="00D901D6"/>
    <w:rsid w:val="00D91FDF"/>
    <w:rsid w:val="00D929B8"/>
    <w:rsid w:val="00D92D85"/>
    <w:rsid w:val="00D9328F"/>
    <w:rsid w:val="00D93A86"/>
    <w:rsid w:val="00D93B08"/>
    <w:rsid w:val="00D93B82"/>
    <w:rsid w:val="00D9465E"/>
    <w:rsid w:val="00D94A2B"/>
    <w:rsid w:val="00D95C5A"/>
    <w:rsid w:val="00D95CF1"/>
    <w:rsid w:val="00D96202"/>
    <w:rsid w:val="00D9623F"/>
    <w:rsid w:val="00D962F9"/>
    <w:rsid w:val="00D964DE"/>
    <w:rsid w:val="00D96657"/>
    <w:rsid w:val="00D97B87"/>
    <w:rsid w:val="00D97C3E"/>
    <w:rsid w:val="00D97F67"/>
    <w:rsid w:val="00DA01FD"/>
    <w:rsid w:val="00DA1427"/>
    <w:rsid w:val="00DA1825"/>
    <w:rsid w:val="00DA1C28"/>
    <w:rsid w:val="00DA20AF"/>
    <w:rsid w:val="00DA2F4D"/>
    <w:rsid w:val="00DA31F1"/>
    <w:rsid w:val="00DA3F08"/>
    <w:rsid w:val="00DA4D7B"/>
    <w:rsid w:val="00DA5C32"/>
    <w:rsid w:val="00DA6116"/>
    <w:rsid w:val="00DA6545"/>
    <w:rsid w:val="00DA65FE"/>
    <w:rsid w:val="00DA66D4"/>
    <w:rsid w:val="00DA683C"/>
    <w:rsid w:val="00DA6A78"/>
    <w:rsid w:val="00DA77D4"/>
    <w:rsid w:val="00DA7849"/>
    <w:rsid w:val="00DB067D"/>
    <w:rsid w:val="00DB0B1E"/>
    <w:rsid w:val="00DB0DBE"/>
    <w:rsid w:val="00DB1064"/>
    <w:rsid w:val="00DB10CB"/>
    <w:rsid w:val="00DB1D34"/>
    <w:rsid w:val="00DB2755"/>
    <w:rsid w:val="00DB28E7"/>
    <w:rsid w:val="00DB28FB"/>
    <w:rsid w:val="00DB2EE8"/>
    <w:rsid w:val="00DB3CB1"/>
    <w:rsid w:val="00DB40CA"/>
    <w:rsid w:val="00DB5105"/>
    <w:rsid w:val="00DB58FE"/>
    <w:rsid w:val="00DB5A3C"/>
    <w:rsid w:val="00DB6000"/>
    <w:rsid w:val="00DB6807"/>
    <w:rsid w:val="00DB71E0"/>
    <w:rsid w:val="00DB7AA5"/>
    <w:rsid w:val="00DB7C9E"/>
    <w:rsid w:val="00DC0388"/>
    <w:rsid w:val="00DC078C"/>
    <w:rsid w:val="00DC07C7"/>
    <w:rsid w:val="00DC09FF"/>
    <w:rsid w:val="00DC0B57"/>
    <w:rsid w:val="00DC109F"/>
    <w:rsid w:val="00DC2642"/>
    <w:rsid w:val="00DC3955"/>
    <w:rsid w:val="00DC41A4"/>
    <w:rsid w:val="00DC529A"/>
    <w:rsid w:val="00DC5697"/>
    <w:rsid w:val="00DC62F8"/>
    <w:rsid w:val="00DC699E"/>
    <w:rsid w:val="00DC6C6C"/>
    <w:rsid w:val="00DC7492"/>
    <w:rsid w:val="00DC7D40"/>
    <w:rsid w:val="00DD04DC"/>
    <w:rsid w:val="00DD09D0"/>
    <w:rsid w:val="00DD0CE8"/>
    <w:rsid w:val="00DD1191"/>
    <w:rsid w:val="00DD13C6"/>
    <w:rsid w:val="00DD15DA"/>
    <w:rsid w:val="00DD185D"/>
    <w:rsid w:val="00DD3445"/>
    <w:rsid w:val="00DD3604"/>
    <w:rsid w:val="00DD3B73"/>
    <w:rsid w:val="00DD6BE1"/>
    <w:rsid w:val="00DD74CE"/>
    <w:rsid w:val="00DD7CCD"/>
    <w:rsid w:val="00DE0B06"/>
    <w:rsid w:val="00DE0B9E"/>
    <w:rsid w:val="00DE1362"/>
    <w:rsid w:val="00DE1ABE"/>
    <w:rsid w:val="00DE20AB"/>
    <w:rsid w:val="00DE3115"/>
    <w:rsid w:val="00DE318E"/>
    <w:rsid w:val="00DE3590"/>
    <w:rsid w:val="00DE46EC"/>
    <w:rsid w:val="00DE544D"/>
    <w:rsid w:val="00DE5768"/>
    <w:rsid w:val="00DE5A6C"/>
    <w:rsid w:val="00DE5B47"/>
    <w:rsid w:val="00DE5B4A"/>
    <w:rsid w:val="00DE68BC"/>
    <w:rsid w:val="00DE6B2A"/>
    <w:rsid w:val="00DE6C4A"/>
    <w:rsid w:val="00DE7A58"/>
    <w:rsid w:val="00DE7E15"/>
    <w:rsid w:val="00DF04D1"/>
    <w:rsid w:val="00DF0B86"/>
    <w:rsid w:val="00DF12E9"/>
    <w:rsid w:val="00DF13AE"/>
    <w:rsid w:val="00DF15B0"/>
    <w:rsid w:val="00DF1CF2"/>
    <w:rsid w:val="00DF1EF6"/>
    <w:rsid w:val="00DF2781"/>
    <w:rsid w:val="00DF295F"/>
    <w:rsid w:val="00DF3441"/>
    <w:rsid w:val="00DF38FB"/>
    <w:rsid w:val="00DF4D5F"/>
    <w:rsid w:val="00DF53CB"/>
    <w:rsid w:val="00DF6516"/>
    <w:rsid w:val="00DF6874"/>
    <w:rsid w:val="00DF6B0C"/>
    <w:rsid w:val="00DF7278"/>
    <w:rsid w:val="00DF78E2"/>
    <w:rsid w:val="00DF7B2E"/>
    <w:rsid w:val="00DF7D81"/>
    <w:rsid w:val="00E0041B"/>
    <w:rsid w:val="00E01583"/>
    <w:rsid w:val="00E0217E"/>
    <w:rsid w:val="00E022EB"/>
    <w:rsid w:val="00E0240F"/>
    <w:rsid w:val="00E02989"/>
    <w:rsid w:val="00E02C11"/>
    <w:rsid w:val="00E032A0"/>
    <w:rsid w:val="00E032C5"/>
    <w:rsid w:val="00E03CF0"/>
    <w:rsid w:val="00E03F95"/>
    <w:rsid w:val="00E041E6"/>
    <w:rsid w:val="00E04212"/>
    <w:rsid w:val="00E04959"/>
    <w:rsid w:val="00E049B6"/>
    <w:rsid w:val="00E05817"/>
    <w:rsid w:val="00E0589B"/>
    <w:rsid w:val="00E05D33"/>
    <w:rsid w:val="00E06432"/>
    <w:rsid w:val="00E064BA"/>
    <w:rsid w:val="00E0677C"/>
    <w:rsid w:val="00E0703C"/>
    <w:rsid w:val="00E073C4"/>
    <w:rsid w:val="00E0781B"/>
    <w:rsid w:val="00E110E6"/>
    <w:rsid w:val="00E12174"/>
    <w:rsid w:val="00E133A8"/>
    <w:rsid w:val="00E13E9A"/>
    <w:rsid w:val="00E1452E"/>
    <w:rsid w:val="00E15DD7"/>
    <w:rsid w:val="00E16C0D"/>
    <w:rsid w:val="00E179A4"/>
    <w:rsid w:val="00E17C9A"/>
    <w:rsid w:val="00E17DE5"/>
    <w:rsid w:val="00E20948"/>
    <w:rsid w:val="00E20F16"/>
    <w:rsid w:val="00E21A2F"/>
    <w:rsid w:val="00E220EF"/>
    <w:rsid w:val="00E22385"/>
    <w:rsid w:val="00E22BC4"/>
    <w:rsid w:val="00E23479"/>
    <w:rsid w:val="00E24BD4"/>
    <w:rsid w:val="00E251C6"/>
    <w:rsid w:val="00E2551C"/>
    <w:rsid w:val="00E25548"/>
    <w:rsid w:val="00E25812"/>
    <w:rsid w:val="00E25BFF"/>
    <w:rsid w:val="00E262DA"/>
    <w:rsid w:val="00E26A57"/>
    <w:rsid w:val="00E270F8"/>
    <w:rsid w:val="00E27504"/>
    <w:rsid w:val="00E27B7D"/>
    <w:rsid w:val="00E30623"/>
    <w:rsid w:val="00E3066A"/>
    <w:rsid w:val="00E309B8"/>
    <w:rsid w:val="00E31BC0"/>
    <w:rsid w:val="00E31BE9"/>
    <w:rsid w:val="00E31BF8"/>
    <w:rsid w:val="00E3294E"/>
    <w:rsid w:val="00E32C56"/>
    <w:rsid w:val="00E32E86"/>
    <w:rsid w:val="00E33000"/>
    <w:rsid w:val="00E332F8"/>
    <w:rsid w:val="00E336A2"/>
    <w:rsid w:val="00E33A49"/>
    <w:rsid w:val="00E34554"/>
    <w:rsid w:val="00E34A5E"/>
    <w:rsid w:val="00E34CD3"/>
    <w:rsid w:val="00E35E56"/>
    <w:rsid w:val="00E36B88"/>
    <w:rsid w:val="00E37055"/>
    <w:rsid w:val="00E3766B"/>
    <w:rsid w:val="00E37C47"/>
    <w:rsid w:val="00E40500"/>
    <w:rsid w:val="00E4050D"/>
    <w:rsid w:val="00E40D89"/>
    <w:rsid w:val="00E423B7"/>
    <w:rsid w:val="00E429B7"/>
    <w:rsid w:val="00E431DD"/>
    <w:rsid w:val="00E432E3"/>
    <w:rsid w:val="00E434B0"/>
    <w:rsid w:val="00E43591"/>
    <w:rsid w:val="00E439ED"/>
    <w:rsid w:val="00E4502C"/>
    <w:rsid w:val="00E454D6"/>
    <w:rsid w:val="00E46158"/>
    <w:rsid w:val="00E46F41"/>
    <w:rsid w:val="00E46FC1"/>
    <w:rsid w:val="00E47545"/>
    <w:rsid w:val="00E47709"/>
    <w:rsid w:val="00E47DCC"/>
    <w:rsid w:val="00E47F11"/>
    <w:rsid w:val="00E507CF"/>
    <w:rsid w:val="00E50CBD"/>
    <w:rsid w:val="00E5118A"/>
    <w:rsid w:val="00E527E5"/>
    <w:rsid w:val="00E5288E"/>
    <w:rsid w:val="00E53651"/>
    <w:rsid w:val="00E543C0"/>
    <w:rsid w:val="00E54438"/>
    <w:rsid w:val="00E54C14"/>
    <w:rsid w:val="00E5540D"/>
    <w:rsid w:val="00E556E6"/>
    <w:rsid w:val="00E55A8D"/>
    <w:rsid w:val="00E56002"/>
    <w:rsid w:val="00E561CF"/>
    <w:rsid w:val="00E5637D"/>
    <w:rsid w:val="00E56453"/>
    <w:rsid w:val="00E567B3"/>
    <w:rsid w:val="00E574DC"/>
    <w:rsid w:val="00E60E79"/>
    <w:rsid w:val="00E6163B"/>
    <w:rsid w:val="00E61EC9"/>
    <w:rsid w:val="00E61FC3"/>
    <w:rsid w:val="00E62272"/>
    <w:rsid w:val="00E62375"/>
    <w:rsid w:val="00E62A22"/>
    <w:rsid w:val="00E62AED"/>
    <w:rsid w:val="00E62C65"/>
    <w:rsid w:val="00E62EF0"/>
    <w:rsid w:val="00E636E2"/>
    <w:rsid w:val="00E637F0"/>
    <w:rsid w:val="00E63C6B"/>
    <w:rsid w:val="00E63C8A"/>
    <w:rsid w:val="00E6458F"/>
    <w:rsid w:val="00E64FEB"/>
    <w:rsid w:val="00E67ED1"/>
    <w:rsid w:val="00E702B7"/>
    <w:rsid w:val="00E705FB"/>
    <w:rsid w:val="00E70DF5"/>
    <w:rsid w:val="00E7119D"/>
    <w:rsid w:val="00E71E50"/>
    <w:rsid w:val="00E72A2A"/>
    <w:rsid w:val="00E72BD1"/>
    <w:rsid w:val="00E73701"/>
    <w:rsid w:val="00E73B89"/>
    <w:rsid w:val="00E73BAE"/>
    <w:rsid w:val="00E74311"/>
    <w:rsid w:val="00E74359"/>
    <w:rsid w:val="00E7632E"/>
    <w:rsid w:val="00E7644F"/>
    <w:rsid w:val="00E7730C"/>
    <w:rsid w:val="00E7746A"/>
    <w:rsid w:val="00E77953"/>
    <w:rsid w:val="00E81471"/>
    <w:rsid w:val="00E840DA"/>
    <w:rsid w:val="00E841FB"/>
    <w:rsid w:val="00E84B7C"/>
    <w:rsid w:val="00E84CE2"/>
    <w:rsid w:val="00E85623"/>
    <w:rsid w:val="00E8588E"/>
    <w:rsid w:val="00E86ECF"/>
    <w:rsid w:val="00E874F7"/>
    <w:rsid w:val="00E87590"/>
    <w:rsid w:val="00E87D3B"/>
    <w:rsid w:val="00E90543"/>
    <w:rsid w:val="00E90ACB"/>
    <w:rsid w:val="00E91735"/>
    <w:rsid w:val="00E924F5"/>
    <w:rsid w:val="00E92C09"/>
    <w:rsid w:val="00E931D5"/>
    <w:rsid w:val="00E9349E"/>
    <w:rsid w:val="00E94151"/>
    <w:rsid w:val="00E94A81"/>
    <w:rsid w:val="00E94AAE"/>
    <w:rsid w:val="00E94E76"/>
    <w:rsid w:val="00E95280"/>
    <w:rsid w:val="00E95A34"/>
    <w:rsid w:val="00E95B38"/>
    <w:rsid w:val="00E95B7F"/>
    <w:rsid w:val="00E96A05"/>
    <w:rsid w:val="00E97108"/>
    <w:rsid w:val="00E97177"/>
    <w:rsid w:val="00E976EC"/>
    <w:rsid w:val="00E9786F"/>
    <w:rsid w:val="00EA0779"/>
    <w:rsid w:val="00EA0EEF"/>
    <w:rsid w:val="00EA1976"/>
    <w:rsid w:val="00EA20F8"/>
    <w:rsid w:val="00EA2835"/>
    <w:rsid w:val="00EA28E4"/>
    <w:rsid w:val="00EA2C21"/>
    <w:rsid w:val="00EA3978"/>
    <w:rsid w:val="00EA3D92"/>
    <w:rsid w:val="00EA4460"/>
    <w:rsid w:val="00EA582B"/>
    <w:rsid w:val="00EA5E76"/>
    <w:rsid w:val="00EA681A"/>
    <w:rsid w:val="00EA77AD"/>
    <w:rsid w:val="00EB0233"/>
    <w:rsid w:val="00EB0C8D"/>
    <w:rsid w:val="00EB21B7"/>
    <w:rsid w:val="00EB2B4B"/>
    <w:rsid w:val="00EB2D3E"/>
    <w:rsid w:val="00EB35B3"/>
    <w:rsid w:val="00EB3BF3"/>
    <w:rsid w:val="00EB3C03"/>
    <w:rsid w:val="00EB490A"/>
    <w:rsid w:val="00EB5025"/>
    <w:rsid w:val="00EB54E4"/>
    <w:rsid w:val="00EB5A77"/>
    <w:rsid w:val="00EB611F"/>
    <w:rsid w:val="00EB67E5"/>
    <w:rsid w:val="00EB6ABF"/>
    <w:rsid w:val="00EC05C9"/>
    <w:rsid w:val="00EC188B"/>
    <w:rsid w:val="00EC1ADF"/>
    <w:rsid w:val="00EC1E57"/>
    <w:rsid w:val="00EC21EA"/>
    <w:rsid w:val="00EC26F7"/>
    <w:rsid w:val="00EC2B9D"/>
    <w:rsid w:val="00EC38D3"/>
    <w:rsid w:val="00EC3A6A"/>
    <w:rsid w:val="00EC47F5"/>
    <w:rsid w:val="00EC4F9A"/>
    <w:rsid w:val="00EC559D"/>
    <w:rsid w:val="00EC638B"/>
    <w:rsid w:val="00EC6A0B"/>
    <w:rsid w:val="00EC6A69"/>
    <w:rsid w:val="00EC6B82"/>
    <w:rsid w:val="00EC6C28"/>
    <w:rsid w:val="00EC6EF9"/>
    <w:rsid w:val="00EC6F97"/>
    <w:rsid w:val="00EC7503"/>
    <w:rsid w:val="00EC788E"/>
    <w:rsid w:val="00EC7B06"/>
    <w:rsid w:val="00ED17B8"/>
    <w:rsid w:val="00ED21EE"/>
    <w:rsid w:val="00ED226F"/>
    <w:rsid w:val="00ED44C3"/>
    <w:rsid w:val="00ED44C6"/>
    <w:rsid w:val="00ED4E02"/>
    <w:rsid w:val="00ED4F6A"/>
    <w:rsid w:val="00ED5F2B"/>
    <w:rsid w:val="00ED60C5"/>
    <w:rsid w:val="00ED7DD5"/>
    <w:rsid w:val="00ED7F1E"/>
    <w:rsid w:val="00EE05F7"/>
    <w:rsid w:val="00EE2186"/>
    <w:rsid w:val="00EE3E27"/>
    <w:rsid w:val="00EE5200"/>
    <w:rsid w:val="00EE650B"/>
    <w:rsid w:val="00EE6612"/>
    <w:rsid w:val="00EE6A22"/>
    <w:rsid w:val="00EE7A0D"/>
    <w:rsid w:val="00EF0806"/>
    <w:rsid w:val="00EF0AAB"/>
    <w:rsid w:val="00EF0FA3"/>
    <w:rsid w:val="00EF0FC6"/>
    <w:rsid w:val="00EF1163"/>
    <w:rsid w:val="00EF11A8"/>
    <w:rsid w:val="00EF17E6"/>
    <w:rsid w:val="00EF1C62"/>
    <w:rsid w:val="00EF1FC7"/>
    <w:rsid w:val="00EF2390"/>
    <w:rsid w:val="00EF2AD6"/>
    <w:rsid w:val="00EF3B00"/>
    <w:rsid w:val="00EF4447"/>
    <w:rsid w:val="00EF47AA"/>
    <w:rsid w:val="00EF4DE7"/>
    <w:rsid w:val="00EF50CA"/>
    <w:rsid w:val="00EF56A7"/>
    <w:rsid w:val="00EF5E8F"/>
    <w:rsid w:val="00EF64CB"/>
    <w:rsid w:val="00EF6BD1"/>
    <w:rsid w:val="00EF6C2F"/>
    <w:rsid w:val="00EF6DB3"/>
    <w:rsid w:val="00EF7AE8"/>
    <w:rsid w:val="00F003F8"/>
    <w:rsid w:val="00F004D8"/>
    <w:rsid w:val="00F00725"/>
    <w:rsid w:val="00F00780"/>
    <w:rsid w:val="00F008B4"/>
    <w:rsid w:val="00F00983"/>
    <w:rsid w:val="00F00A8F"/>
    <w:rsid w:val="00F0191E"/>
    <w:rsid w:val="00F02596"/>
    <w:rsid w:val="00F02672"/>
    <w:rsid w:val="00F03A2A"/>
    <w:rsid w:val="00F044D5"/>
    <w:rsid w:val="00F055CB"/>
    <w:rsid w:val="00F05E6F"/>
    <w:rsid w:val="00F0623E"/>
    <w:rsid w:val="00F079AC"/>
    <w:rsid w:val="00F07B17"/>
    <w:rsid w:val="00F1061A"/>
    <w:rsid w:val="00F1067B"/>
    <w:rsid w:val="00F106BC"/>
    <w:rsid w:val="00F106F3"/>
    <w:rsid w:val="00F108EB"/>
    <w:rsid w:val="00F10D4F"/>
    <w:rsid w:val="00F11FA0"/>
    <w:rsid w:val="00F12D73"/>
    <w:rsid w:val="00F13263"/>
    <w:rsid w:val="00F143EF"/>
    <w:rsid w:val="00F14C4A"/>
    <w:rsid w:val="00F15BF6"/>
    <w:rsid w:val="00F15E42"/>
    <w:rsid w:val="00F1602E"/>
    <w:rsid w:val="00F163B4"/>
    <w:rsid w:val="00F16745"/>
    <w:rsid w:val="00F17955"/>
    <w:rsid w:val="00F17E4F"/>
    <w:rsid w:val="00F20004"/>
    <w:rsid w:val="00F200DE"/>
    <w:rsid w:val="00F20176"/>
    <w:rsid w:val="00F203F4"/>
    <w:rsid w:val="00F20449"/>
    <w:rsid w:val="00F20705"/>
    <w:rsid w:val="00F2082E"/>
    <w:rsid w:val="00F209D0"/>
    <w:rsid w:val="00F20AF4"/>
    <w:rsid w:val="00F20C01"/>
    <w:rsid w:val="00F20CFF"/>
    <w:rsid w:val="00F20E7C"/>
    <w:rsid w:val="00F20FAF"/>
    <w:rsid w:val="00F22403"/>
    <w:rsid w:val="00F24672"/>
    <w:rsid w:val="00F2486F"/>
    <w:rsid w:val="00F24DED"/>
    <w:rsid w:val="00F259D5"/>
    <w:rsid w:val="00F25B33"/>
    <w:rsid w:val="00F25ED6"/>
    <w:rsid w:val="00F25EE8"/>
    <w:rsid w:val="00F26287"/>
    <w:rsid w:val="00F2639B"/>
    <w:rsid w:val="00F2697A"/>
    <w:rsid w:val="00F26EAF"/>
    <w:rsid w:val="00F279DA"/>
    <w:rsid w:val="00F30004"/>
    <w:rsid w:val="00F3095E"/>
    <w:rsid w:val="00F31551"/>
    <w:rsid w:val="00F326F3"/>
    <w:rsid w:val="00F337F1"/>
    <w:rsid w:val="00F344EA"/>
    <w:rsid w:val="00F35416"/>
    <w:rsid w:val="00F364D0"/>
    <w:rsid w:val="00F37076"/>
    <w:rsid w:val="00F3783C"/>
    <w:rsid w:val="00F403B8"/>
    <w:rsid w:val="00F4077B"/>
    <w:rsid w:val="00F40820"/>
    <w:rsid w:val="00F4099E"/>
    <w:rsid w:val="00F41373"/>
    <w:rsid w:val="00F41F38"/>
    <w:rsid w:val="00F41FFD"/>
    <w:rsid w:val="00F42397"/>
    <w:rsid w:val="00F426CB"/>
    <w:rsid w:val="00F42D06"/>
    <w:rsid w:val="00F43203"/>
    <w:rsid w:val="00F434FE"/>
    <w:rsid w:val="00F43E59"/>
    <w:rsid w:val="00F4465E"/>
    <w:rsid w:val="00F44BAB"/>
    <w:rsid w:val="00F4510A"/>
    <w:rsid w:val="00F46CB9"/>
    <w:rsid w:val="00F47979"/>
    <w:rsid w:val="00F47AEF"/>
    <w:rsid w:val="00F501E8"/>
    <w:rsid w:val="00F50408"/>
    <w:rsid w:val="00F5046B"/>
    <w:rsid w:val="00F51065"/>
    <w:rsid w:val="00F511AC"/>
    <w:rsid w:val="00F51433"/>
    <w:rsid w:val="00F515F4"/>
    <w:rsid w:val="00F516A3"/>
    <w:rsid w:val="00F519A2"/>
    <w:rsid w:val="00F51F9A"/>
    <w:rsid w:val="00F52B65"/>
    <w:rsid w:val="00F52EC8"/>
    <w:rsid w:val="00F53A64"/>
    <w:rsid w:val="00F53C6E"/>
    <w:rsid w:val="00F54D17"/>
    <w:rsid w:val="00F5599C"/>
    <w:rsid w:val="00F55A13"/>
    <w:rsid w:val="00F5618F"/>
    <w:rsid w:val="00F56E28"/>
    <w:rsid w:val="00F56E96"/>
    <w:rsid w:val="00F5744A"/>
    <w:rsid w:val="00F578D9"/>
    <w:rsid w:val="00F6026F"/>
    <w:rsid w:val="00F615EA"/>
    <w:rsid w:val="00F6211E"/>
    <w:rsid w:val="00F62528"/>
    <w:rsid w:val="00F6310E"/>
    <w:rsid w:val="00F63BAA"/>
    <w:rsid w:val="00F65347"/>
    <w:rsid w:val="00F65639"/>
    <w:rsid w:val="00F65B07"/>
    <w:rsid w:val="00F65DF4"/>
    <w:rsid w:val="00F6635B"/>
    <w:rsid w:val="00F6685B"/>
    <w:rsid w:val="00F70014"/>
    <w:rsid w:val="00F702A8"/>
    <w:rsid w:val="00F70540"/>
    <w:rsid w:val="00F7097F"/>
    <w:rsid w:val="00F70B9F"/>
    <w:rsid w:val="00F7192B"/>
    <w:rsid w:val="00F720E3"/>
    <w:rsid w:val="00F72510"/>
    <w:rsid w:val="00F72CC9"/>
    <w:rsid w:val="00F733C7"/>
    <w:rsid w:val="00F74A9B"/>
    <w:rsid w:val="00F75221"/>
    <w:rsid w:val="00F75F6B"/>
    <w:rsid w:val="00F76FCC"/>
    <w:rsid w:val="00F772F4"/>
    <w:rsid w:val="00F774AD"/>
    <w:rsid w:val="00F77FD5"/>
    <w:rsid w:val="00F8181F"/>
    <w:rsid w:val="00F81875"/>
    <w:rsid w:val="00F819F7"/>
    <w:rsid w:val="00F81A15"/>
    <w:rsid w:val="00F821FF"/>
    <w:rsid w:val="00F82D19"/>
    <w:rsid w:val="00F8324C"/>
    <w:rsid w:val="00F84185"/>
    <w:rsid w:val="00F841FC"/>
    <w:rsid w:val="00F84804"/>
    <w:rsid w:val="00F8561D"/>
    <w:rsid w:val="00F86D52"/>
    <w:rsid w:val="00F875DA"/>
    <w:rsid w:val="00F87764"/>
    <w:rsid w:val="00F90178"/>
    <w:rsid w:val="00F90234"/>
    <w:rsid w:val="00F90298"/>
    <w:rsid w:val="00F91D5A"/>
    <w:rsid w:val="00F91F5E"/>
    <w:rsid w:val="00F92167"/>
    <w:rsid w:val="00F943BE"/>
    <w:rsid w:val="00F95200"/>
    <w:rsid w:val="00F957FA"/>
    <w:rsid w:val="00F96272"/>
    <w:rsid w:val="00F9761B"/>
    <w:rsid w:val="00F979A2"/>
    <w:rsid w:val="00FA0D1C"/>
    <w:rsid w:val="00FA144C"/>
    <w:rsid w:val="00FA3318"/>
    <w:rsid w:val="00FA38FC"/>
    <w:rsid w:val="00FA39B3"/>
    <w:rsid w:val="00FA3C73"/>
    <w:rsid w:val="00FA47B2"/>
    <w:rsid w:val="00FA49BA"/>
    <w:rsid w:val="00FA55F4"/>
    <w:rsid w:val="00FA5A4C"/>
    <w:rsid w:val="00FA5DE6"/>
    <w:rsid w:val="00FA6155"/>
    <w:rsid w:val="00FA67A1"/>
    <w:rsid w:val="00FA6933"/>
    <w:rsid w:val="00FA6AD9"/>
    <w:rsid w:val="00FA6B22"/>
    <w:rsid w:val="00FB04E9"/>
    <w:rsid w:val="00FB059F"/>
    <w:rsid w:val="00FB0C7F"/>
    <w:rsid w:val="00FB0F39"/>
    <w:rsid w:val="00FB1473"/>
    <w:rsid w:val="00FB1529"/>
    <w:rsid w:val="00FB19F9"/>
    <w:rsid w:val="00FB2577"/>
    <w:rsid w:val="00FB30A0"/>
    <w:rsid w:val="00FB351F"/>
    <w:rsid w:val="00FB4212"/>
    <w:rsid w:val="00FB51EF"/>
    <w:rsid w:val="00FB55BC"/>
    <w:rsid w:val="00FB66BC"/>
    <w:rsid w:val="00FB704D"/>
    <w:rsid w:val="00FB7857"/>
    <w:rsid w:val="00FB787C"/>
    <w:rsid w:val="00FC144E"/>
    <w:rsid w:val="00FC1EF4"/>
    <w:rsid w:val="00FC25CB"/>
    <w:rsid w:val="00FC262C"/>
    <w:rsid w:val="00FC2A2C"/>
    <w:rsid w:val="00FC2F28"/>
    <w:rsid w:val="00FC3834"/>
    <w:rsid w:val="00FC3964"/>
    <w:rsid w:val="00FC3C1A"/>
    <w:rsid w:val="00FC428D"/>
    <w:rsid w:val="00FC4559"/>
    <w:rsid w:val="00FC468D"/>
    <w:rsid w:val="00FC4F0F"/>
    <w:rsid w:val="00FC51CA"/>
    <w:rsid w:val="00FC5539"/>
    <w:rsid w:val="00FC5C2F"/>
    <w:rsid w:val="00FC5EFE"/>
    <w:rsid w:val="00FC6229"/>
    <w:rsid w:val="00FC62FD"/>
    <w:rsid w:val="00FC665B"/>
    <w:rsid w:val="00FC6DE9"/>
    <w:rsid w:val="00FC6F11"/>
    <w:rsid w:val="00FC7F35"/>
    <w:rsid w:val="00FD0DDA"/>
    <w:rsid w:val="00FD0EE1"/>
    <w:rsid w:val="00FD13B6"/>
    <w:rsid w:val="00FD1A71"/>
    <w:rsid w:val="00FD2743"/>
    <w:rsid w:val="00FD31CE"/>
    <w:rsid w:val="00FD3707"/>
    <w:rsid w:val="00FD3C08"/>
    <w:rsid w:val="00FD43BD"/>
    <w:rsid w:val="00FD4CEF"/>
    <w:rsid w:val="00FD5AFC"/>
    <w:rsid w:val="00FD64F4"/>
    <w:rsid w:val="00FD669E"/>
    <w:rsid w:val="00FD7385"/>
    <w:rsid w:val="00FD740A"/>
    <w:rsid w:val="00FD776E"/>
    <w:rsid w:val="00FD7A2E"/>
    <w:rsid w:val="00FD7B23"/>
    <w:rsid w:val="00FE0047"/>
    <w:rsid w:val="00FE01A7"/>
    <w:rsid w:val="00FE075E"/>
    <w:rsid w:val="00FE0E16"/>
    <w:rsid w:val="00FE173E"/>
    <w:rsid w:val="00FE274B"/>
    <w:rsid w:val="00FE294A"/>
    <w:rsid w:val="00FE35DD"/>
    <w:rsid w:val="00FE3ED8"/>
    <w:rsid w:val="00FE4DB1"/>
    <w:rsid w:val="00FE558A"/>
    <w:rsid w:val="00FE5FBB"/>
    <w:rsid w:val="00FE66EE"/>
    <w:rsid w:val="00FE6CA6"/>
    <w:rsid w:val="00FE795E"/>
    <w:rsid w:val="00FF058E"/>
    <w:rsid w:val="00FF1005"/>
    <w:rsid w:val="00FF1D18"/>
    <w:rsid w:val="00FF21C1"/>
    <w:rsid w:val="00FF22CC"/>
    <w:rsid w:val="00FF2631"/>
    <w:rsid w:val="00FF26DE"/>
    <w:rsid w:val="00FF2A17"/>
    <w:rsid w:val="00FF31DB"/>
    <w:rsid w:val="00FF31DE"/>
    <w:rsid w:val="00FF361D"/>
    <w:rsid w:val="00FF3CF9"/>
    <w:rsid w:val="00FF3DF3"/>
    <w:rsid w:val="00FF4480"/>
    <w:rsid w:val="00FF4C40"/>
    <w:rsid w:val="00FF550B"/>
    <w:rsid w:val="00FF6E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A2"/>
    <w:pPr>
      <w:widowControl w:val="0"/>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413AC0"/>
    <w:pPr>
      <w:keepNext/>
      <w:keepLines/>
      <w:spacing w:before="240"/>
      <w:outlineLvl w:val="0"/>
    </w:pPr>
    <w:rPr>
      <w:rFonts w:eastAsiaTheme="majorEastAsia" w:cstheme="majorBidi"/>
      <w:color w:val="808080" w:themeColor="background1" w:themeShade="80"/>
      <w:sz w:val="52"/>
      <w:szCs w:val="52"/>
    </w:rPr>
  </w:style>
  <w:style w:type="paragraph" w:styleId="Heading2">
    <w:name w:val="heading 2"/>
    <w:basedOn w:val="Normal"/>
    <w:next w:val="Normal"/>
    <w:link w:val="Heading2Char"/>
    <w:uiPriority w:val="9"/>
    <w:unhideWhenUsed/>
    <w:qFormat/>
    <w:rsid w:val="00413AC0"/>
    <w:pPr>
      <w:outlineLvl w:val="1"/>
    </w:pPr>
    <w:rPr>
      <w:rFonts w:eastAsiaTheme="majorEastAsia" w:cstheme="majorBidi"/>
      <w:b/>
      <w:color w:val="808080" w:themeColor="background1" w:themeShade="80"/>
      <w:sz w:val="32"/>
      <w:szCs w:val="32"/>
    </w:rPr>
  </w:style>
  <w:style w:type="paragraph" w:styleId="Heading3">
    <w:name w:val="heading 3"/>
    <w:basedOn w:val="Normal"/>
    <w:next w:val="Normal"/>
    <w:link w:val="Heading3Char"/>
    <w:uiPriority w:val="9"/>
    <w:unhideWhenUsed/>
    <w:qFormat/>
    <w:rsid w:val="00C23E57"/>
    <w:pPr>
      <w:keepNext/>
      <w:keepLines/>
      <w:spacing w:before="40"/>
      <w:outlineLvl w:val="2"/>
    </w:pPr>
    <w:rPr>
      <w:rFonts w:asciiTheme="majorHAnsi" w:eastAsiaTheme="majorEastAsia" w:hAnsiTheme="majorHAnsi" w:cstheme="majorBidi"/>
      <w:color w:val="33CCCC"/>
      <w:sz w:val="26"/>
      <w:szCs w:val="26"/>
    </w:rPr>
  </w:style>
  <w:style w:type="paragraph" w:styleId="Heading4">
    <w:name w:val="heading 4"/>
    <w:basedOn w:val="Normal"/>
    <w:next w:val="Normal"/>
    <w:link w:val="Heading4Char"/>
    <w:uiPriority w:val="9"/>
    <w:unhideWhenUsed/>
    <w:qFormat/>
    <w:rsid w:val="001E37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5A3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23E5"/>
    <w:pPr>
      <w:ind w:left="720"/>
      <w:contextualSpacing/>
    </w:pPr>
  </w:style>
  <w:style w:type="paragraph" w:styleId="NormalWeb">
    <w:name w:val="Normal (Web)"/>
    <w:basedOn w:val="Normal"/>
    <w:uiPriority w:val="99"/>
    <w:unhideWhenUsed/>
    <w:rsid w:val="00E179A4"/>
    <w:pPr>
      <w:spacing w:before="100" w:beforeAutospacing="1" w:after="100" w:afterAutospacing="1"/>
    </w:pPr>
    <w:rPr>
      <w:rFonts w:ascii="Times New Roman" w:hAnsi="Times New Roman"/>
      <w:lang w:eastAsia="en-AU"/>
    </w:rPr>
  </w:style>
  <w:style w:type="character" w:styleId="Hyperlink">
    <w:name w:val="Hyperlink"/>
    <w:basedOn w:val="DefaultParagraphFont"/>
    <w:uiPriority w:val="99"/>
    <w:unhideWhenUsed/>
    <w:rsid w:val="00272A14"/>
    <w:rPr>
      <w:color w:val="0000FF" w:themeColor="hyperlink"/>
      <w:u w:val="single"/>
    </w:rPr>
  </w:style>
  <w:style w:type="character" w:styleId="CommentReference">
    <w:name w:val="annotation reference"/>
    <w:basedOn w:val="DefaultParagraphFont"/>
    <w:uiPriority w:val="99"/>
    <w:semiHidden/>
    <w:unhideWhenUsed/>
    <w:rsid w:val="00D86D4E"/>
    <w:rPr>
      <w:sz w:val="16"/>
      <w:szCs w:val="16"/>
    </w:rPr>
  </w:style>
  <w:style w:type="paragraph" w:styleId="CommentText">
    <w:name w:val="annotation text"/>
    <w:basedOn w:val="Normal"/>
    <w:link w:val="CommentTextChar"/>
    <w:uiPriority w:val="99"/>
    <w:unhideWhenUsed/>
    <w:rsid w:val="00D86D4E"/>
    <w:rPr>
      <w:sz w:val="20"/>
      <w:szCs w:val="20"/>
    </w:rPr>
  </w:style>
  <w:style w:type="character" w:customStyle="1" w:styleId="CommentTextChar">
    <w:name w:val="Comment Text Char"/>
    <w:basedOn w:val="DefaultParagraphFont"/>
    <w:link w:val="CommentText"/>
    <w:uiPriority w:val="99"/>
    <w:rsid w:val="00D86D4E"/>
    <w:rPr>
      <w:sz w:val="20"/>
      <w:szCs w:val="20"/>
    </w:rPr>
  </w:style>
  <w:style w:type="paragraph" w:styleId="CommentSubject">
    <w:name w:val="annotation subject"/>
    <w:basedOn w:val="CommentText"/>
    <w:next w:val="CommentText"/>
    <w:link w:val="CommentSubjectChar"/>
    <w:uiPriority w:val="99"/>
    <w:semiHidden/>
    <w:unhideWhenUsed/>
    <w:rsid w:val="00D86D4E"/>
    <w:rPr>
      <w:b/>
      <w:bCs/>
    </w:rPr>
  </w:style>
  <w:style w:type="character" w:customStyle="1" w:styleId="CommentSubjectChar">
    <w:name w:val="Comment Subject Char"/>
    <w:basedOn w:val="CommentTextChar"/>
    <w:link w:val="CommentSubject"/>
    <w:uiPriority w:val="99"/>
    <w:semiHidden/>
    <w:rsid w:val="00D86D4E"/>
    <w:rPr>
      <w:b/>
      <w:bCs/>
      <w:sz w:val="20"/>
      <w:szCs w:val="20"/>
    </w:rPr>
  </w:style>
  <w:style w:type="paragraph" w:styleId="BalloonText">
    <w:name w:val="Balloon Text"/>
    <w:basedOn w:val="Normal"/>
    <w:link w:val="BalloonTextChar"/>
    <w:uiPriority w:val="99"/>
    <w:semiHidden/>
    <w:unhideWhenUsed/>
    <w:rsid w:val="00D86D4E"/>
    <w:rPr>
      <w:rFonts w:ascii="Tahoma" w:hAnsi="Tahoma" w:cs="Tahoma"/>
      <w:sz w:val="16"/>
      <w:szCs w:val="16"/>
    </w:rPr>
  </w:style>
  <w:style w:type="character" w:customStyle="1" w:styleId="BalloonTextChar">
    <w:name w:val="Balloon Text Char"/>
    <w:basedOn w:val="DefaultParagraphFont"/>
    <w:link w:val="BalloonText"/>
    <w:uiPriority w:val="99"/>
    <w:semiHidden/>
    <w:rsid w:val="00D86D4E"/>
    <w:rPr>
      <w:rFonts w:ascii="Tahoma" w:hAnsi="Tahoma" w:cs="Tahoma"/>
      <w:sz w:val="16"/>
      <w:szCs w:val="16"/>
    </w:rPr>
  </w:style>
  <w:style w:type="paragraph" w:styleId="EndnoteText">
    <w:name w:val="endnote text"/>
    <w:basedOn w:val="Normal"/>
    <w:link w:val="EndnoteTextChar"/>
    <w:uiPriority w:val="99"/>
    <w:unhideWhenUsed/>
    <w:rsid w:val="00665B12"/>
    <w:rPr>
      <w:sz w:val="20"/>
      <w:szCs w:val="20"/>
    </w:rPr>
  </w:style>
  <w:style w:type="character" w:customStyle="1" w:styleId="EndnoteTextChar">
    <w:name w:val="Endnote Text Char"/>
    <w:basedOn w:val="DefaultParagraphFont"/>
    <w:link w:val="EndnoteText"/>
    <w:uiPriority w:val="99"/>
    <w:rsid w:val="00665B12"/>
    <w:rPr>
      <w:sz w:val="20"/>
      <w:szCs w:val="20"/>
    </w:rPr>
  </w:style>
  <w:style w:type="character" w:styleId="EndnoteReference">
    <w:name w:val="endnote reference"/>
    <w:basedOn w:val="DefaultParagraphFont"/>
    <w:uiPriority w:val="99"/>
    <w:semiHidden/>
    <w:unhideWhenUsed/>
    <w:rsid w:val="00665B12"/>
    <w:rPr>
      <w:vertAlign w:val="superscript"/>
    </w:rPr>
  </w:style>
  <w:style w:type="paragraph" w:customStyle="1" w:styleId="EndNoteBibliographyTitle">
    <w:name w:val="EndNote Bibliography Title"/>
    <w:basedOn w:val="Normal"/>
    <w:link w:val="EndNoteBibliographyTitleChar"/>
    <w:rsid w:val="00665B12"/>
    <w:pPr>
      <w:jc w:val="center"/>
    </w:pPr>
    <w:rPr>
      <w:rFonts w:ascii="Calibri" w:hAnsi="Calibri"/>
      <w:noProof/>
      <w:sz w:val="22"/>
    </w:rPr>
  </w:style>
  <w:style w:type="character" w:customStyle="1" w:styleId="EndNoteBibliographyTitleChar">
    <w:name w:val="EndNote Bibliography Title Char"/>
    <w:basedOn w:val="EndnoteTextChar"/>
    <w:link w:val="EndNoteBibliographyTitle"/>
    <w:rsid w:val="00665B12"/>
    <w:rPr>
      <w:rFonts w:ascii="Calibri" w:eastAsia="Times New Roman" w:hAnsi="Calibri" w:cs="Arial"/>
      <w:noProof/>
      <w:sz w:val="20"/>
      <w:szCs w:val="24"/>
      <w:lang w:val="en-US"/>
    </w:rPr>
  </w:style>
  <w:style w:type="paragraph" w:customStyle="1" w:styleId="EndNoteBibliography">
    <w:name w:val="EndNote Bibliography"/>
    <w:basedOn w:val="Normal"/>
    <w:link w:val="EndNoteBibliographyChar"/>
    <w:rsid w:val="00665B12"/>
    <w:rPr>
      <w:rFonts w:ascii="Calibri" w:hAnsi="Calibri"/>
      <w:noProof/>
      <w:sz w:val="22"/>
    </w:rPr>
  </w:style>
  <w:style w:type="character" w:customStyle="1" w:styleId="EndNoteBibliographyChar">
    <w:name w:val="EndNote Bibliography Char"/>
    <w:basedOn w:val="EndnoteTextChar"/>
    <w:link w:val="EndNoteBibliography"/>
    <w:rsid w:val="00665B12"/>
    <w:rPr>
      <w:rFonts w:ascii="Calibri" w:eastAsia="Times New Roman" w:hAnsi="Calibri" w:cs="Arial"/>
      <w:noProof/>
      <w:sz w:val="20"/>
      <w:szCs w:val="24"/>
      <w:lang w:val="en-US"/>
    </w:rPr>
  </w:style>
  <w:style w:type="character" w:styleId="FollowedHyperlink">
    <w:name w:val="FollowedHyperlink"/>
    <w:basedOn w:val="DefaultParagraphFont"/>
    <w:uiPriority w:val="99"/>
    <w:semiHidden/>
    <w:unhideWhenUsed/>
    <w:rsid w:val="0014478F"/>
    <w:rPr>
      <w:color w:val="800080" w:themeColor="followedHyperlink"/>
      <w:u w:val="single"/>
    </w:rPr>
  </w:style>
  <w:style w:type="table" w:styleId="TableGrid">
    <w:name w:val="Table Grid"/>
    <w:basedOn w:val="TableNormal"/>
    <w:uiPriority w:val="59"/>
    <w:rsid w:val="005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44360"/>
    <w:rPr>
      <w:sz w:val="20"/>
      <w:szCs w:val="20"/>
    </w:rPr>
  </w:style>
  <w:style w:type="character" w:customStyle="1" w:styleId="FootnoteTextChar">
    <w:name w:val="Footnote Text Char"/>
    <w:basedOn w:val="DefaultParagraphFont"/>
    <w:link w:val="FootnoteText"/>
    <w:uiPriority w:val="99"/>
    <w:rsid w:val="00444360"/>
    <w:rPr>
      <w:rFonts w:eastAsia="Times New Roman" w:cs="Times New Roman"/>
      <w:sz w:val="20"/>
      <w:szCs w:val="20"/>
      <w:lang w:val="en-US"/>
    </w:rPr>
  </w:style>
  <w:style w:type="character" w:styleId="FootnoteReference">
    <w:name w:val="footnote reference"/>
    <w:basedOn w:val="DefaultParagraphFont"/>
    <w:uiPriority w:val="99"/>
    <w:semiHidden/>
    <w:unhideWhenUsed/>
    <w:rsid w:val="00444360"/>
    <w:rPr>
      <w:vertAlign w:val="superscript"/>
    </w:rPr>
  </w:style>
  <w:style w:type="character" w:customStyle="1" w:styleId="ListParagraphChar">
    <w:name w:val="List Paragraph Char"/>
    <w:basedOn w:val="DefaultParagraphFont"/>
    <w:link w:val="ListParagraph"/>
    <w:uiPriority w:val="34"/>
    <w:rsid w:val="00BE68F8"/>
    <w:rPr>
      <w:rFonts w:eastAsia="Times New Roman" w:cs="Times New Roman"/>
      <w:lang w:val="en-US"/>
    </w:rPr>
  </w:style>
  <w:style w:type="character" w:customStyle="1" w:styleId="Heading1Char">
    <w:name w:val="Heading 1 Char"/>
    <w:basedOn w:val="DefaultParagraphFont"/>
    <w:link w:val="Heading1"/>
    <w:uiPriority w:val="9"/>
    <w:rsid w:val="00413AC0"/>
    <w:rPr>
      <w:rFonts w:ascii="Arial" w:eastAsiaTheme="majorEastAsia" w:hAnsi="Arial" w:cstheme="majorBidi"/>
      <w:color w:val="808080" w:themeColor="background1" w:themeShade="80"/>
      <w:sz w:val="52"/>
      <w:szCs w:val="52"/>
      <w:lang w:val="en-US"/>
    </w:rPr>
  </w:style>
  <w:style w:type="character" w:customStyle="1" w:styleId="Heading2Char">
    <w:name w:val="Heading 2 Char"/>
    <w:basedOn w:val="DefaultParagraphFont"/>
    <w:link w:val="Heading2"/>
    <w:uiPriority w:val="9"/>
    <w:rsid w:val="00413AC0"/>
    <w:rPr>
      <w:rFonts w:ascii="Arial" w:eastAsiaTheme="majorEastAsia" w:hAnsi="Arial" w:cstheme="majorBidi"/>
      <w:b/>
      <w:color w:val="808080" w:themeColor="background1" w:themeShade="80"/>
      <w:sz w:val="32"/>
      <w:szCs w:val="32"/>
      <w:lang w:val="en-US"/>
    </w:rPr>
  </w:style>
  <w:style w:type="paragraph" w:styleId="NoSpacing">
    <w:name w:val="No Spacing"/>
    <w:link w:val="NoSpacingChar"/>
    <w:uiPriority w:val="1"/>
    <w:qFormat/>
    <w:rsid w:val="0059465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94657"/>
    <w:rPr>
      <w:rFonts w:eastAsiaTheme="minorEastAsia"/>
      <w:lang w:val="en-US"/>
    </w:rPr>
  </w:style>
  <w:style w:type="paragraph" w:styleId="TOCHeading">
    <w:name w:val="TOC Heading"/>
    <w:basedOn w:val="Heading1"/>
    <w:next w:val="Normal"/>
    <w:uiPriority w:val="39"/>
    <w:unhideWhenUsed/>
    <w:qFormat/>
    <w:rsid w:val="00EB5A77"/>
    <w:pPr>
      <w:widowControl/>
      <w:spacing w:line="259" w:lineRule="auto"/>
      <w:outlineLvl w:val="9"/>
    </w:pPr>
    <w:rPr>
      <w:color w:val="365F91" w:themeColor="accent1" w:themeShade="BF"/>
    </w:rPr>
  </w:style>
  <w:style w:type="paragraph" w:styleId="TOC1">
    <w:name w:val="toc 1"/>
    <w:basedOn w:val="Normal"/>
    <w:next w:val="Normal"/>
    <w:autoRedefine/>
    <w:uiPriority w:val="39"/>
    <w:unhideWhenUsed/>
    <w:rsid w:val="00EB5A77"/>
    <w:pPr>
      <w:spacing w:after="100"/>
    </w:pPr>
  </w:style>
  <w:style w:type="paragraph" w:styleId="TOC2">
    <w:name w:val="toc 2"/>
    <w:basedOn w:val="Normal"/>
    <w:next w:val="Normal"/>
    <w:autoRedefine/>
    <w:uiPriority w:val="39"/>
    <w:unhideWhenUsed/>
    <w:rsid w:val="00EB5A77"/>
    <w:pPr>
      <w:spacing w:after="100"/>
      <w:ind w:left="220"/>
    </w:pPr>
  </w:style>
  <w:style w:type="character" w:customStyle="1" w:styleId="apple-converted-space">
    <w:name w:val="apple-converted-space"/>
    <w:basedOn w:val="DefaultParagraphFont"/>
    <w:rsid w:val="001326C9"/>
  </w:style>
  <w:style w:type="character" w:customStyle="1" w:styleId="Heading3Char">
    <w:name w:val="Heading 3 Char"/>
    <w:basedOn w:val="DefaultParagraphFont"/>
    <w:link w:val="Heading3"/>
    <w:uiPriority w:val="9"/>
    <w:rsid w:val="00C23E57"/>
    <w:rPr>
      <w:rFonts w:asciiTheme="majorHAnsi" w:eastAsiaTheme="majorEastAsia" w:hAnsiTheme="majorHAnsi" w:cstheme="majorBidi"/>
      <w:color w:val="33CCCC"/>
      <w:sz w:val="26"/>
      <w:szCs w:val="26"/>
      <w:lang w:val="en-US"/>
    </w:rPr>
  </w:style>
  <w:style w:type="character" w:styleId="Strong">
    <w:name w:val="Strong"/>
    <w:basedOn w:val="DefaultParagraphFont"/>
    <w:uiPriority w:val="22"/>
    <w:qFormat/>
    <w:rsid w:val="00C90C5F"/>
    <w:rPr>
      <w:b/>
      <w:bCs/>
    </w:rPr>
  </w:style>
  <w:style w:type="paragraph" w:styleId="Title">
    <w:name w:val="Title"/>
    <w:basedOn w:val="Normal"/>
    <w:next w:val="Normal"/>
    <w:link w:val="TitleChar"/>
    <w:uiPriority w:val="10"/>
    <w:qFormat/>
    <w:rsid w:val="00BC08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8D8"/>
    <w:rPr>
      <w:rFonts w:asciiTheme="majorHAnsi" w:eastAsiaTheme="majorEastAsia" w:hAnsiTheme="majorHAnsi" w:cstheme="majorBidi"/>
      <w:color w:val="17365D" w:themeColor="text2" w:themeShade="BF"/>
      <w:spacing w:val="5"/>
      <w:kern w:val="28"/>
      <w:sz w:val="52"/>
      <w:szCs w:val="52"/>
      <w:lang w:val="en-US"/>
    </w:rPr>
  </w:style>
  <w:style w:type="character" w:customStyle="1" w:styleId="lexicon-term">
    <w:name w:val="lexicon-term"/>
    <w:basedOn w:val="DefaultParagraphFont"/>
    <w:rsid w:val="005933DC"/>
  </w:style>
  <w:style w:type="character" w:customStyle="1" w:styleId="author">
    <w:name w:val="author"/>
    <w:basedOn w:val="DefaultParagraphFont"/>
    <w:rsid w:val="004110EF"/>
  </w:style>
  <w:style w:type="character" w:customStyle="1" w:styleId="articletitle">
    <w:name w:val="articletitle"/>
    <w:basedOn w:val="DefaultParagraphFont"/>
    <w:rsid w:val="004110EF"/>
  </w:style>
  <w:style w:type="character" w:customStyle="1" w:styleId="othertitle">
    <w:name w:val="othertitle"/>
    <w:basedOn w:val="DefaultParagraphFont"/>
    <w:rsid w:val="004110EF"/>
  </w:style>
  <w:style w:type="character" w:customStyle="1" w:styleId="vol">
    <w:name w:val="vol"/>
    <w:basedOn w:val="DefaultParagraphFont"/>
    <w:rsid w:val="004110EF"/>
  </w:style>
  <w:style w:type="character" w:customStyle="1" w:styleId="citedissue">
    <w:name w:val="citedissue"/>
    <w:basedOn w:val="DefaultParagraphFont"/>
    <w:rsid w:val="004110EF"/>
  </w:style>
  <w:style w:type="character" w:customStyle="1" w:styleId="A4">
    <w:name w:val="A4"/>
    <w:uiPriority w:val="99"/>
    <w:rsid w:val="00787A70"/>
    <w:rPr>
      <w:rFonts w:ascii="Arial MT Std Cond" w:hAnsi="Arial MT Std Cond" w:cs="Arial MT Std Cond"/>
      <w:color w:val="000000"/>
      <w:sz w:val="14"/>
      <w:szCs w:val="14"/>
    </w:rPr>
  </w:style>
  <w:style w:type="paragraph" w:customStyle="1" w:styleId="BodyTextbullet">
    <w:name w:val="Body Text (bullet)"/>
    <w:basedOn w:val="BodyText"/>
    <w:rsid w:val="00787A70"/>
    <w:pPr>
      <w:widowControl/>
      <w:numPr>
        <w:numId w:val="9"/>
      </w:numPr>
      <w:tabs>
        <w:tab w:val="clear" w:pos="821"/>
        <w:tab w:val="num" w:pos="360"/>
      </w:tabs>
      <w:spacing w:before="80"/>
      <w:ind w:left="0" w:firstLine="0"/>
      <w:jc w:val="both"/>
    </w:pPr>
    <w:rPr>
      <w:lang w:val="en-AU"/>
    </w:rPr>
  </w:style>
  <w:style w:type="paragraph" w:styleId="BodyText">
    <w:name w:val="Body Text"/>
    <w:basedOn w:val="Normal"/>
    <w:link w:val="BodyTextChar"/>
    <w:uiPriority w:val="99"/>
    <w:semiHidden/>
    <w:unhideWhenUsed/>
    <w:rsid w:val="00787A70"/>
    <w:pPr>
      <w:spacing w:after="120"/>
    </w:pPr>
  </w:style>
  <w:style w:type="character" w:customStyle="1" w:styleId="BodyTextChar">
    <w:name w:val="Body Text Char"/>
    <w:basedOn w:val="DefaultParagraphFont"/>
    <w:link w:val="BodyText"/>
    <w:uiPriority w:val="99"/>
    <w:semiHidden/>
    <w:rsid w:val="00787A70"/>
    <w:rPr>
      <w:rFonts w:eastAsia="Times New Roman" w:cs="Times New Roman"/>
      <w:lang w:val="en-US"/>
    </w:rPr>
  </w:style>
  <w:style w:type="character" w:styleId="Emphasis">
    <w:name w:val="Emphasis"/>
    <w:basedOn w:val="DefaultParagraphFont"/>
    <w:uiPriority w:val="20"/>
    <w:qFormat/>
    <w:rsid w:val="00643982"/>
    <w:rPr>
      <w:i/>
      <w:iCs/>
    </w:rPr>
  </w:style>
  <w:style w:type="table" w:styleId="LightShading-Accent1">
    <w:name w:val="Light Shading Accent 1"/>
    <w:basedOn w:val="TableNormal"/>
    <w:uiPriority w:val="60"/>
    <w:rsid w:val="007F38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3">
    <w:name w:val="toc 3"/>
    <w:basedOn w:val="Normal"/>
    <w:next w:val="Normal"/>
    <w:autoRedefine/>
    <w:uiPriority w:val="39"/>
    <w:unhideWhenUsed/>
    <w:rsid w:val="00BB7CAA"/>
    <w:pPr>
      <w:spacing w:after="100"/>
      <w:ind w:left="440"/>
    </w:pPr>
  </w:style>
  <w:style w:type="character" w:customStyle="1" w:styleId="Heading4Char">
    <w:name w:val="Heading 4 Char"/>
    <w:basedOn w:val="DefaultParagraphFont"/>
    <w:link w:val="Heading4"/>
    <w:uiPriority w:val="9"/>
    <w:rsid w:val="001E3770"/>
    <w:rPr>
      <w:rFonts w:asciiTheme="majorHAnsi" w:eastAsiaTheme="majorEastAsia" w:hAnsiTheme="majorHAnsi" w:cstheme="majorBidi"/>
      <w:i/>
      <w:iCs/>
      <w:color w:val="365F91" w:themeColor="accent1" w:themeShade="BF"/>
      <w:lang w:val="en-US"/>
    </w:rPr>
  </w:style>
  <w:style w:type="paragraph" w:customStyle="1" w:styleId="TableParagraph">
    <w:name w:val="Table Paragraph"/>
    <w:basedOn w:val="Normal"/>
    <w:uiPriority w:val="1"/>
    <w:qFormat/>
    <w:rsid w:val="001E3770"/>
    <w:rPr>
      <w:rFonts w:eastAsiaTheme="minorHAnsi" w:cstheme="minorBidi"/>
    </w:rPr>
  </w:style>
  <w:style w:type="table" w:customStyle="1" w:styleId="WAHealthTable7">
    <w:name w:val="WA Health Table 7"/>
    <w:basedOn w:val="LightList"/>
    <w:uiPriority w:val="99"/>
    <w:rsid w:val="00783876"/>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semiHidden/>
    <w:unhideWhenUsed/>
    <w:rsid w:val="007838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5Char">
    <w:name w:val="Heading 5 Char"/>
    <w:basedOn w:val="DefaultParagraphFont"/>
    <w:link w:val="Heading5"/>
    <w:uiPriority w:val="9"/>
    <w:semiHidden/>
    <w:rsid w:val="00E95A34"/>
    <w:rPr>
      <w:rFonts w:asciiTheme="majorHAnsi" w:eastAsiaTheme="majorEastAsia" w:hAnsiTheme="majorHAnsi" w:cstheme="majorBidi"/>
      <w:color w:val="365F91" w:themeColor="accent1" w:themeShade="BF"/>
      <w:lang w:val="en-US"/>
    </w:rPr>
  </w:style>
  <w:style w:type="paragraph" w:customStyle="1" w:styleId="Style1frameworkheading">
    <w:name w:val="Style1 framework heading"/>
    <w:basedOn w:val="Heading3"/>
    <w:link w:val="Style1frameworkheadingChar"/>
    <w:qFormat/>
    <w:rsid w:val="003925DD"/>
    <w:pPr>
      <w:spacing w:before="80" w:after="120"/>
    </w:pPr>
    <w:rPr>
      <w:rFonts w:ascii="Arial" w:hAnsi="Arial" w:cs="Arial"/>
      <w:color w:val="0070C0"/>
    </w:rPr>
  </w:style>
  <w:style w:type="paragraph" w:styleId="TOC4">
    <w:name w:val="toc 4"/>
    <w:basedOn w:val="Normal"/>
    <w:next w:val="Normal"/>
    <w:autoRedefine/>
    <w:uiPriority w:val="39"/>
    <w:unhideWhenUsed/>
    <w:rsid w:val="003925DD"/>
    <w:pPr>
      <w:widowControl/>
      <w:spacing w:after="100" w:line="259" w:lineRule="auto"/>
      <w:ind w:left="660"/>
    </w:pPr>
    <w:rPr>
      <w:rFonts w:eastAsiaTheme="minorEastAsia" w:cstheme="minorBidi"/>
      <w:lang w:val="en-AU" w:eastAsia="en-AU"/>
    </w:rPr>
  </w:style>
  <w:style w:type="character" w:customStyle="1" w:styleId="Style1frameworkheadingChar">
    <w:name w:val="Style1 framework heading Char"/>
    <w:basedOn w:val="Heading3Char"/>
    <w:link w:val="Style1frameworkheading"/>
    <w:rsid w:val="003925DD"/>
    <w:rPr>
      <w:rFonts w:ascii="Arial" w:eastAsiaTheme="majorEastAsia" w:hAnsi="Arial" w:cs="Arial"/>
      <w:color w:val="0070C0"/>
      <w:sz w:val="26"/>
      <w:szCs w:val="26"/>
      <w:lang w:val="en-US"/>
    </w:rPr>
  </w:style>
  <w:style w:type="paragraph" w:styleId="TOC5">
    <w:name w:val="toc 5"/>
    <w:basedOn w:val="Normal"/>
    <w:next w:val="Normal"/>
    <w:autoRedefine/>
    <w:uiPriority w:val="39"/>
    <w:unhideWhenUsed/>
    <w:rsid w:val="003925DD"/>
    <w:pPr>
      <w:widowControl/>
      <w:spacing w:after="100" w:line="259" w:lineRule="auto"/>
      <w:ind w:left="880"/>
    </w:pPr>
    <w:rPr>
      <w:rFonts w:eastAsiaTheme="minorEastAsia" w:cstheme="minorBidi"/>
      <w:lang w:val="en-AU" w:eastAsia="en-AU"/>
    </w:rPr>
  </w:style>
  <w:style w:type="paragraph" w:styleId="TOC6">
    <w:name w:val="toc 6"/>
    <w:basedOn w:val="Normal"/>
    <w:next w:val="Normal"/>
    <w:autoRedefine/>
    <w:uiPriority w:val="39"/>
    <w:unhideWhenUsed/>
    <w:rsid w:val="003925DD"/>
    <w:pPr>
      <w:widowControl/>
      <w:spacing w:after="100" w:line="259" w:lineRule="auto"/>
      <w:ind w:left="1100"/>
    </w:pPr>
    <w:rPr>
      <w:rFonts w:eastAsiaTheme="minorEastAsia" w:cstheme="minorBidi"/>
      <w:lang w:val="en-AU" w:eastAsia="en-AU"/>
    </w:rPr>
  </w:style>
  <w:style w:type="paragraph" w:styleId="TOC7">
    <w:name w:val="toc 7"/>
    <w:basedOn w:val="Normal"/>
    <w:next w:val="Normal"/>
    <w:autoRedefine/>
    <w:uiPriority w:val="39"/>
    <w:unhideWhenUsed/>
    <w:rsid w:val="003925DD"/>
    <w:pPr>
      <w:widowControl/>
      <w:spacing w:after="100" w:line="259" w:lineRule="auto"/>
      <w:ind w:left="1320"/>
    </w:pPr>
    <w:rPr>
      <w:rFonts w:eastAsiaTheme="minorEastAsia" w:cstheme="minorBidi"/>
      <w:lang w:val="en-AU" w:eastAsia="en-AU"/>
    </w:rPr>
  </w:style>
  <w:style w:type="paragraph" w:styleId="TOC8">
    <w:name w:val="toc 8"/>
    <w:basedOn w:val="Normal"/>
    <w:next w:val="Normal"/>
    <w:autoRedefine/>
    <w:uiPriority w:val="39"/>
    <w:unhideWhenUsed/>
    <w:rsid w:val="003925DD"/>
    <w:pPr>
      <w:widowControl/>
      <w:spacing w:after="100" w:line="259" w:lineRule="auto"/>
      <w:ind w:left="1540"/>
    </w:pPr>
    <w:rPr>
      <w:rFonts w:eastAsiaTheme="minorEastAsia" w:cstheme="minorBidi"/>
      <w:lang w:val="en-AU" w:eastAsia="en-AU"/>
    </w:rPr>
  </w:style>
  <w:style w:type="paragraph" w:styleId="TOC9">
    <w:name w:val="toc 9"/>
    <w:basedOn w:val="Normal"/>
    <w:next w:val="Normal"/>
    <w:autoRedefine/>
    <w:uiPriority w:val="39"/>
    <w:unhideWhenUsed/>
    <w:rsid w:val="003925DD"/>
    <w:pPr>
      <w:widowControl/>
      <w:spacing w:after="100" w:line="259" w:lineRule="auto"/>
      <w:ind w:left="1760"/>
    </w:pPr>
    <w:rPr>
      <w:rFonts w:eastAsiaTheme="minorEastAsia" w:cstheme="minorBidi"/>
      <w:lang w:val="en-AU" w:eastAsia="en-AU"/>
    </w:rPr>
  </w:style>
  <w:style w:type="paragraph" w:customStyle="1" w:styleId="titleheadings">
    <w:name w:val="title headings"/>
    <w:basedOn w:val="Title"/>
    <w:link w:val="titleheadingsChar"/>
    <w:qFormat/>
    <w:rsid w:val="008B7DBC"/>
  </w:style>
  <w:style w:type="paragraph" w:styleId="Header">
    <w:name w:val="header"/>
    <w:basedOn w:val="Normal"/>
    <w:link w:val="HeaderChar"/>
    <w:uiPriority w:val="99"/>
    <w:unhideWhenUsed/>
    <w:rsid w:val="00C47692"/>
    <w:pPr>
      <w:tabs>
        <w:tab w:val="center" w:pos="4513"/>
        <w:tab w:val="right" w:pos="9026"/>
      </w:tabs>
    </w:pPr>
  </w:style>
  <w:style w:type="character" w:customStyle="1" w:styleId="titleheadingsChar">
    <w:name w:val="title headings Char"/>
    <w:basedOn w:val="TitleChar"/>
    <w:link w:val="titleheadings"/>
    <w:rsid w:val="008B7DBC"/>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erChar">
    <w:name w:val="Header Char"/>
    <w:basedOn w:val="DefaultParagraphFont"/>
    <w:link w:val="Header"/>
    <w:uiPriority w:val="99"/>
    <w:rsid w:val="00C47692"/>
    <w:rPr>
      <w:rFonts w:ascii="Arial" w:eastAsia="Times New Roman" w:hAnsi="Arial" w:cs="Arial"/>
      <w:sz w:val="24"/>
      <w:szCs w:val="24"/>
      <w:lang w:val="en-US"/>
    </w:rPr>
  </w:style>
  <w:style w:type="paragraph" w:styleId="Footer">
    <w:name w:val="footer"/>
    <w:basedOn w:val="Normal"/>
    <w:link w:val="FooterChar"/>
    <w:uiPriority w:val="99"/>
    <w:unhideWhenUsed/>
    <w:rsid w:val="00C47692"/>
    <w:pPr>
      <w:tabs>
        <w:tab w:val="center" w:pos="4513"/>
        <w:tab w:val="right" w:pos="9026"/>
      </w:tabs>
    </w:pPr>
  </w:style>
  <w:style w:type="character" w:customStyle="1" w:styleId="FooterChar">
    <w:name w:val="Footer Char"/>
    <w:basedOn w:val="DefaultParagraphFont"/>
    <w:link w:val="Footer"/>
    <w:uiPriority w:val="99"/>
    <w:rsid w:val="00C47692"/>
    <w:rPr>
      <w:rFonts w:ascii="Arial" w:eastAsia="Times New Roman" w:hAnsi="Arial" w:cs="Arial"/>
      <w:sz w:val="24"/>
      <w:szCs w:val="24"/>
      <w:lang w:val="en-US"/>
    </w:rPr>
  </w:style>
  <w:style w:type="paragraph" w:customStyle="1" w:styleId="Pa12">
    <w:name w:val="Pa12"/>
    <w:basedOn w:val="Normal"/>
    <w:next w:val="Normal"/>
    <w:uiPriority w:val="99"/>
    <w:rsid w:val="006A6F15"/>
    <w:pPr>
      <w:widowControl/>
      <w:autoSpaceDE w:val="0"/>
      <w:autoSpaceDN w:val="0"/>
      <w:adjustRightInd w:val="0"/>
      <w:spacing w:line="241" w:lineRule="atLeast"/>
    </w:pPr>
    <w:rPr>
      <w:rFonts w:ascii="Arial MT Std Cond" w:eastAsiaTheme="minorHAnsi" w:hAnsi="Arial MT Std Cond" w:cstheme="minorBidi"/>
      <w:lang w:val="en-AU"/>
    </w:rPr>
  </w:style>
  <w:style w:type="paragraph" w:styleId="Bibliography">
    <w:name w:val="Bibliography"/>
    <w:basedOn w:val="Normal"/>
    <w:next w:val="Normal"/>
    <w:uiPriority w:val="37"/>
    <w:unhideWhenUsed/>
    <w:rsid w:val="00A93975"/>
  </w:style>
  <w:style w:type="paragraph" w:customStyle="1" w:styleId="Default">
    <w:name w:val="Default"/>
    <w:rsid w:val="00693EE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0191E"/>
    <w:pPr>
      <w:spacing w:after="0" w:line="240" w:lineRule="auto"/>
    </w:pPr>
    <w:rPr>
      <w:rFonts w:ascii="Arial" w:eastAsia="Times New Roman" w:hAnsi="Arial" w:cs="Arial"/>
      <w:sz w:val="24"/>
      <w:szCs w:val="24"/>
      <w:lang w:val="en-US"/>
    </w:rPr>
  </w:style>
  <w:style w:type="table" w:customStyle="1" w:styleId="TableGrid1">
    <w:name w:val="Table Grid1"/>
    <w:basedOn w:val="TableNormal"/>
    <w:next w:val="TableGrid"/>
    <w:uiPriority w:val="59"/>
    <w:rsid w:val="0099158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AA2"/>
    <w:pPr>
      <w:widowControl w:val="0"/>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uiPriority w:val="9"/>
    <w:qFormat/>
    <w:rsid w:val="00413AC0"/>
    <w:pPr>
      <w:keepNext/>
      <w:keepLines/>
      <w:spacing w:before="240"/>
      <w:outlineLvl w:val="0"/>
    </w:pPr>
    <w:rPr>
      <w:rFonts w:eastAsiaTheme="majorEastAsia" w:cstheme="majorBidi"/>
      <w:color w:val="808080" w:themeColor="background1" w:themeShade="80"/>
      <w:sz w:val="52"/>
      <w:szCs w:val="52"/>
    </w:rPr>
  </w:style>
  <w:style w:type="paragraph" w:styleId="Heading2">
    <w:name w:val="heading 2"/>
    <w:basedOn w:val="Normal"/>
    <w:next w:val="Normal"/>
    <w:link w:val="Heading2Char"/>
    <w:uiPriority w:val="9"/>
    <w:unhideWhenUsed/>
    <w:qFormat/>
    <w:rsid w:val="00413AC0"/>
    <w:pPr>
      <w:outlineLvl w:val="1"/>
    </w:pPr>
    <w:rPr>
      <w:rFonts w:eastAsiaTheme="majorEastAsia" w:cstheme="majorBidi"/>
      <w:b/>
      <w:color w:val="808080" w:themeColor="background1" w:themeShade="80"/>
      <w:sz w:val="32"/>
      <w:szCs w:val="32"/>
    </w:rPr>
  </w:style>
  <w:style w:type="paragraph" w:styleId="Heading3">
    <w:name w:val="heading 3"/>
    <w:basedOn w:val="Normal"/>
    <w:next w:val="Normal"/>
    <w:link w:val="Heading3Char"/>
    <w:uiPriority w:val="9"/>
    <w:unhideWhenUsed/>
    <w:qFormat/>
    <w:rsid w:val="00C23E57"/>
    <w:pPr>
      <w:keepNext/>
      <w:keepLines/>
      <w:spacing w:before="40"/>
      <w:outlineLvl w:val="2"/>
    </w:pPr>
    <w:rPr>
      <w:rFonts w:asciiTheme="majorHAnsi" w:eastAsiaTheme="majorEastAsia" w:hAnsiTheme="majorHAnsi" w:cstheme="majorBidi"/>
      <w:color w:val="33CCCC"/>
      <w:sz w:val="26"/>
      <w:szCs w:val="26"/>
    </w:rPr>
  </w:style>
  <w:style w:type="paragraph" w:styleId="Heading4">
    <w:name w:val="heading 4"/>
    <w:basedOn w:val="Normal"/>
    <w:next w:val="Normal"/>
    <w:link w:val="Heading4Char"/>
    <w:uiPriority w:val="9"/>
    <w:unhideWhenUsed/>
    <w:qFormat/>
    <w:rsid w:val="001E377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5A3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23E5"/>
    <w:pPr>
      <w:ind w:left="720"/>
      <w:contextualSpacing/>
    </w:pPr>
  </w:style>
  <w:style w:type="paragraph" w:styleId="NormalWeb">
    <w:name w:val="Normal (Web)"/>
    <w:basedOn w:val="Normal"/>
    <w:uiPriority w:val="99"/>
    <w:unhideWhenUsed/>
    <w:rsid w:val="00E179A4"/>
    <w:pPr>
      <w:spacing w:before="100" w:beforeAutospacing="1" w:after="100" w:afterAutospacing="1"/>
    </w:pPr>
    <w:rPr>
      <w:rFonts w:ascii="Times New Roman" w:hAnsi="Times New Roman"/>
      <w:lang w:eastAsia="en-AU"/>
    </w:rPr>
  </w:style>
  <w:style w:type="character" w:styleId="Hyperlink">
    <w:name w:val="Hyperlink"/>
    <w:basedOn w:val="DefaultParagraphFont"/>
    <w:uiPriority w:val="99"/>
    <w:unhideWhenUsed/>
    <w:rsid w:val="00272A14"/>
    <w:rPr>
      <w:color w:val="0000FF" w:themeColor="hyperlink"/>
      <w:u w:val="single"/>
    </w:rPr>
  </w:style>
  <w:style w:type="character" w:styleId="CommentReference">
    <w:name w:val="annotation reference"/>
    <w:basedOn w:val="DefaultParagraphFont"/>
    <w:uiPriority w:val="99"/>
    <w:semiHidden/>
    <w:unhideWhenUsed/>
    <w:rsid w:val="00D86D4E"/>
    <w:rPr>
      <w:sz w:val="16"/>
      <w:szCs w:val="16"/>
    </w:rPr>
  </w:style>
  <w:style w:type="paragraph" w:styleId="CommentText">
    <w:name w:val="annotation text"/>
    <w:basedOn w:val="Normal"/>
    <w:link w:val="CommentTextChar"/>
    <w:uiPriority w:val="99"/>
    <w:unhideWhenUsed/>
    <w:rsid w:val="00D86D4E"/>
    <w:rPr>
      <w:sz w:val="20"/>
      <w:szCs w:val="20"/>
    </w:rPr>
  </w:style>
  <w:style w:type="character" w:customStyle="1" w:styleId="CommentTextChar">
    <w:name w:val="Comment Text Char"/>
    <w:basedOn w:val="DefaultParagraphFont"/>
    <w:link w:val="CommentText"/>
    <w:uiPriority w:val="99"/>
    <w:rsid w:val="00D86D4E"/>
    <w:rPr>
      <w:sz w:val="20"/>
      <w:szCs w:val="20"/>
    </w:rPr>
  </w:style>
  <w:style w:type="paragraph" w:styleId="CommentSubject">
    <w:name w:val="annotation subject"/>
    <w:basedOn w:val="CommentText"/>
    <w:next w:val="CommentText"/>
    <w:link w:val="CommentSubjectChar"/>
    <w:uiPriority w:val="99"/>
    <w:semiHidden/>
    <w:unhideWhenUsed/>
    <w:rsid w:val="00D86D4E"/>
    <w:rPr>
      <w:b/>
      <w:bCs/>
    </w:rPr>
  </w:style>
  <w:style w:type="character" w:customStyle="1" w:styleId="CommentSubjectChar">
    <w:name w:val="Comment Subject Char"/>
    <w:basedOn w:val="CommentTextChar"/>
    <w:link w:val="CommentSubject"/>
    <w:uiPriority w:val="99"/>
    <w:semiHidden/>
    <w:rsid w:val="00D86D4E"/>
    <w:rPr>
      <w:b/>
      <w:bCs/>
      <w:sz w:val="20"/>
      <w:szCs w:val="20"/>
    </w:rPr>
  </w:style>
  <w:style w:type="paragraph" w:styleId="BalloonText">
    <w:name w:val="Balloon Text"/>
    <w:basedOn w:val="Normal"/>
    <w:link w:val="BalloonTextChar"/>
    <w:uiPriority w:val="99"/>
    <w:semiHidden/>
    <w:unhideWhenUsed/>
    <w:rsid w:val="00D86D4E"/>
    <w:rPr>
      <w:rFonts w:ascii="Tahoma" w:hAnsi="Tahoma" w:cs="Tahoma"/>
      <w:sz w:val="16"/>
      <w:szCs w:val="16"/>
    </w:rPr>
  </w:style>
  <w:style w:type="character" w:customStyle="1" w:styleId="BalloonTextChar">
    <w:name w:val="Balloon Text Char"/>
    <w:basedOn w:val="DefaultParagraphFont"/>
    <w:link w:val="BalloonText"/>
    <w:uiPriority w:val="99"/>
    <w:semiHidden/>
    <w:rsid w:val="00D86D4E"/>
    <w:rPr>
      <w:rFonts w:ascii="Tahoma" w:hAnsi="Tahoma" w:cs="Tahoma"/>
      <w:sz w:val="16"/>
      <w:szCs w:val="16"/>
    </w:rPr>
  </w:style>
  <w:style w:type="paragraph" w:styleId="EndnoteText">
    <w:name w:val="endnote text"/>
    <w:basedOn w:val="Normal"/>
    <w:link w:val="EndnoteTextChar"/>
    <w:uiPriority w:val="99"/>
    <w:unhideWhenUsed/>
    <w:rsid w:val="00665B12"/>
    <w:rPr>
      <w:sz w:val="20"/>
      <w:szCs w:val="20"/>
    </w:rPr>
  </w:style>
  <w:style w:type="character" w:customStyle="1" w:styleId="EndnoteTextChar">
    <w:name w:val="Endnote Text Char"/>
    <w:basedOn w:val="DefaultParagraphFont"/>
    <w:link w:val="EndnoteText"/>
    <w:uiPriority w:val="99"/>
    <w:rsid w:val="00665B12"/>
    <w:rPr>
      <w:sz w:val="20"/>
      <w:szCs w:val="20"/>
    </w:rPr>
  </w:style>
  <w:style w:type="character" w:styleId="EndnoteReference">
    <w:name w:val="endnote reference"/>
    <w:basedOn w:val="DefaultParagraphFont"/>
    <w:uiPriority w:val="99"/>
    <w:semiHidden/>
    <w:unhideWhenUsed/>
    <w:rsid w:val="00665B12"/>
    <w:rPr>
      <w:vertAlign w:val="superscript"/>
    </w:rPr>
  </w:style>
  <w:style w:type="paragraph" w:customStyle="1" w:styleId="EndNoteBibliographyTitle">
    <w:name w:val="EndNote Bibliography Title"/>
    <w:basedOn w:val="Normal"/>
    <w:link w:val="EndNoteBibliographyTitleChar"/>
    <w:rsid w:val="00665B12"/>
    <w:pPr>
      <w:jc w:val="center"/>
    </w:pPr>
    <w:rPr>
      <w:rFonts w:ascii="Calibri" w:hAnsi="Calibri"/>
      <w:noProof/>
      <w:sz w:val="22"/>
    </w:rPr>
  </w:style>
  <w:style w:type="character" w:customStyle="1" w:styleId="EndNoteBibliographyTitleChar">
    <w:name w:val="EndNote Bibliography Title Char"/>
    <w:basedOn w:val="EndnoteTextChar"/>
    <w:link w:val="EndNoteBibliographyTitle"/>
    <w:rsid w:val="00665B12"/>
    <w:rPr>
      <w:rFonts w:ascii="Calibri" w:eastAsia="Times New Roman" w:hAnsi="Calibri" w:cs="Arial"/>
      <w:noProof/>
      <w:sz w:val="20"/>
      <w:szCs w:val="24"/>
      <w:lang w:val="en-US"/>
    </w:rPr>
  </w:style>
  <w:style w:type="paragraph" w:customStyle="1" w:styleId="EndNoteBibliography">
    <w:name w:val="EndNote Bibliography"/>
    <w:basedOn w:val="Normal"/>
    <w:link w:val="EndNoteBibliographyChar"/>
    <w:rsid w:val="00665B12"/>
    <w:rPr>
      <w:rFonts w:ascii="Calibri" w:hAnsi="Calibri"/>
      <w:noProof/>
      <w:sz w:val="22"/>
    </w:rPr>
  </w:style>
  <w:style w:type="character" w:customStyle="1" w:styleId="EndNoteBibliographyChar">
    <w:name w:val="EndNote Bibliography Char"/>
    <w:basedOn w:val="EndnoteTextChar"/>
    <w:link w:val="EndNoteBibliography"/>
    <w:rsid w:val="00665B12"/>
    <w:rPr>
      <w:rFonts w:ascii="Calibri" w:eastAsia="Times New Roman" w:hAnsi="Calibri" w:cs="Arial"/>
      <w:noProof/>
      <w:sz w:val="20"/>
      <w:szCs w:val="24"/>
      <w:lang w:val="en-US"/>
    </w:rPr>
  </w:style>
  <w:style w:type="character" w:styleId="FollowedHyperlink">
    <w:name w:val="FollowedHyperlink"/>
    <w:basedOn w:val="DefaultParagraphFont"/>
    <w:uiPriority w:val="99"/>
    <w:semiHidden/>
    <w:unhideWhenUsed/>
    <w:rsid w:val="0014478F"/>
    <w:rPr>
      <w:color w:val="800080" w:themeColor="followedHyperlink"/>
      <w:u w:val="single"/>
    </w:rPr>
  </w:style>
  <w:style w:type="table" w:styleId="TableGrid">
    <w:name w:val="Table Grid"/>
    <w:basedOn w:val="TableNormal"/>
    <w:uiPriority w:val="59"/>
    <w:rsid w:val="005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444360"/>
    <w:rPr>
      <w:sz w:val="20"/>
      <w:szCs w:val="20"/>
    </w:rPr>
  </w:style>
  <w:style w:type="character" w:customStyle="1" w:styleId="FootnoteTextChar">
    <w:name w:val="Footnote Text Char"/>
    <w:basedOn w:val="DefaultParagraphFont"/>
    <w:link w:val="FootnoteText"/>
    <w:uiPriority w:val="99"/>
    <w:rsid w:val="00444360"/>
    <w:rPr>
      <w:rFonts w:eastAsia="Times New Roman" w:cs="Times New Roman"/>
      <w:sz w:val="20"/>
      <w:szCs w:val="20"/>
      <w:lang w:val="en-US"/>
    </w:rPr>
  </w:style>
  <w:style w:type="character" w:styleId="FootnoteReference">
    <w:name w:val="footnote reference"/>
    <w:basedOn w:val="DefaultParagraphFont"/>
    <w:uiPriority w:val="99"/>
    <w:semiHidden/>
    <w:unhideWhenUsed/>
    <w:rsid w:val="00444360"/>
    <w:rPr>
      <w:vertAlign w:val="superscript"/>
    </w:rPr>
  </w:style>
  <w:style w:type="character" w:customStyle="1" w:styleId="ListParagraphChar">
    <w:name w:val="List Paragraph Char"/>
    <w:basedOn w:val="DefaultParagraphFont"/>
    <w:link w:val="ListParagraph"/>
    <w:uiPriority w:val="34"/>
    <w:rsid w:val="00BE68F8"/>
    <w:rPr>
      <w:rFonts w:eastAsia="Times New Roman" w:cs="Times New Roman"/>
      <w:lang w:val="en-US"/>
    </w:rPr>
  </w:style>
  <w:style w:type="character" w:customStyle="1" w:styleId="Heading1Char">
    <w:name w:val="Heading 1 Char"/>
    <w:basedOn w:val="DefaultParagraphFont"/>
    <w:link w:val="Heading1"/>
    <w:uiPriority w:val="9"/>
    <w:rsid w:val="00413AC0"/>
    <w:rPr>
      <w:rFonts w:ascii="Arial" w:eastAsiaTheme="majorEastAsia" w:hAnsi="Arial" w:cstheme="majorBidi"/>
      <w:color w:val="808080" w:themeColor="background1" w:themeShade="80"/>
      <w:sz w:val="52"/>
      <w:szCs w:val="52"/>
      <w:lang w:val="en-US"/>
    </w:rPr>
  </w:style>
  <w:style w:type="character" w:customStyle="1" w:styleId="Heading2Char">
    <w:name w:val="Heading 2 Char"/>
    <w:basedOn w:val="DefaultParagraphFont"/>
    <w:link w:val="Heading2"/>
    <w:uiPriority w:val="9"/>
    <w:rsid w:val="00413AC0"/>
    <w:rPr>
      <w:rFonts w:ascii="Arial" w:eastAsiaTheme="majorEastAsia" w:hAnsi="Arial" w:cstheme="majorBidi"/>
      <w:b/>
      <w:color w:val="808080" w:themeColor="background1" w:themeShade="80"/>
      <w:sz w:val="32"/>
      <w:szCs w:val="32"/>
      <w:lang w:val="en-US"/>
    </w:rPr>
  </w:style>
  <w:style w:type="paragraph" w:styleId="NoSpacing">
    <w:name w:val="No Spacing"/>
    <w:link w:val="NoSpacingChar"/>
    <w:uiPriority w:val="1"/>
    <w:qFormat/>
    <w:rsid w:val="0059465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94657"/>
    <w:rPr>
      <w:rFonts w:eastAsiaTheme="minorEastAsia"/>
      <w:lang w:val="en-US"/>
    </w:rPr>
  </w:style>
  <w:style w:type="paragraph" w:styleId="TOCHeading">
    <w:name w:val="TOC Heading"/>
    <w:basedOn w:val="Heading1"/>
    <w:next w:val="Normal"/>
    <w:uiPriority w:val="39"/>
    <w:unhideWhenUsed/>
    <w:qFormat/>
    <w:rsid w:val="00EB5A77"/>
    <w:pPr>
      <w:widowControl/>
      <w:spacing w:line="259" w:lineRule="auto"/>
      <w:outlineLvl w:val="9"/>
    </w:pPr>
    <w:rPr>
      <w:color w:val="365F91" w:themeColor="accent1" w:themeShade="BF"/>
    </w:rPr>
  </w:style>
  <w:style w:type="paragraph" w:styleId="TOC1">
    <w:name w:val="toc 1"/>
    <w:basedOn w:val="Normal"/>
    <w:next w:val="Normal"/>
    <w:autoRedefine/>
    <w:uiPriority w:val="39"/>
    <w:unhideWhenUsed/>
    <w:rsid w:val="00EB5A77"/>
    <w:pPr>
      <w:spacing w:after="100"/>
    </w:pPr>
  </w:style>
  <w:style w:type="paragraph" w:styleId="TOC2">
    <w:name w:val="toc 2"/>
    <w:basedOn w:val="Normal"/>
    <w:next w:val="Normal"/>
    <w:autoRedefine/>
    <w:uiPriority w:val="39"/>
    <w:unhideWhenUsed/>
    <w:rsid w:val="00EB5A77"/>
    <w:pPr>
      <w:spacing w:after="100"/>
      <w:ind w:left="220"/>
    </w:pPr>
  </w:style>
  <w:style w:type="character" w:customStyle="1" w:styleId="apple-converted-space">
    <w:name w:val="apple-converted-space"/>
    <w:basedOn w:val="DefaultParagraphFont"/>
    <w:rsid w:val="001326C9"/>
  </w:style>
  <w:style w:type="character" w:customStyle="1" w:styleId="Heading3Char">
    <w:name w:val="Heading 3 Char"/>
    <w:basedOn w:val="DefaultParagraphFont"/>
    <w:link w:val="Heading3"/>
    <w:uiPriority w:val="9"/>
    <w:rsid w:val="00C23E57"/>
    <w:rPr>
      <w:rFonts w:asciiTheme="majorHAnsi" w:eastAsiaTheme="majorEastAsia" w:hAnsiTheme="majorHAnsi" w:cstheme="majorBidi"/>
      <w:color w:val="33CCCC"/>
      <w:sz w:val="26"/>
      <w:szCs w:val="26"/>
      <w:lang w:val="en-US"/>
    </w:rPr>
  </w:style>
  <w:style w:type="character" w:styleId="Strong">
    <w:name w:val="Strong"/>
    <w:basedOn w:val="DefaultParagraphFont"/>
    <w:uiPriority w:val="22"/>
    <w:qFormat/>
    <w:rsid w:val="00C90C5F"/>
    <w:rPr>
      <w:b/>
      <w:bCs/>
    </w:rPr>
  </w:style>
  <w:style w:type="paragraph" w:styleId="Title">
    <w:name w:val="Title"/>
    <w:basedOn w:val="Normal"/>
    <w:next w:val="Normal"/>
    <w:link w:val="TitleChar"/>
    <w:uiPriority w:val="10"/>
    <w:qFormat/>
    <w:rsid w:val="00BC08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08D8"/>
    <w:rPr>
      <w:rFonts w:asciiTheme="majorHAnsi" w:eastAsiaTheme="majorEastAsia" w:hAnsiTheme="majorHAnsi" w:cstheme="majorBidi"/>
      <w:color w:val="17365D" w:themeColor="text2" w:themeShade="BF"/>
      <w:spacing w:val="5"/>
      <w:kern w:val="28"/>
      <w:sz w:val="52"/>
      <w:szCs w:val="52"/>
      <w:lang w:val="en-US"/>
    </w:rPr>
  </w:style>
  <w:style w:type="character" w:customStyle="1" w:styleId="lexicon-term">
    <w:name w:val="lexicon-term"/>
    <w:basedOn w:val="DefaultParagraphFont"/>
    <w:rsid w:val="005933DC"/>
  </w:style>
  <w:style w:type="character" w:customStyle="1" w:styleId="author">
    <w:name w:val="author"/>
    <w:basedOn w:val="DefaultParagraphFont"/>
    <w:rsid w:val="004110EF"/>
  </w:style>
  <w:style w:type="character" w:customStyle="1" w:styleId="articletitle">
    <w:name w:val="articletitle"/>
    <w:basedOn w:val="DefaultParagraphFont"/>
    <w:rsid w:val="004110EF"/>
  </w:style>
  <w:style w:type="character" w:customStyle="1" w:styleId="othertitle">
    <w:name w:val="othertitle"/>
    <w:basedOn w:val="DefaultParagraphFont"/>
    <w:rsid w:val="004110EF"/>
  </w:style>
  <w:style w:type="character" w:customStyle="1" w:styleId="vol">
    <w:name w:val="vol"/>
    <w:basedOn w:val="DefaultParagraphFont"/>
    <w:rsid w:val="004110EF"/>
  </w:style>
  <w:style w:type="character" w:customStyle="1" w:styleId="citedissue">
    <w:name w:val="citedissue"/>
    <w:basedOn w:val="DefaultParagraphFont"/>
    <w:rsid w:val="004110EF"/>
  </w:style>
  <w:style w:type="character" w:customStyle="1" w:styleId="A4">
    <w:name w:val="A4"/>
    <w:uiPriority w:val="99"/>
    <w:rsid w:val="00787A70"/>
    <w:rPr>
      <w:rFonts w:ascii="Arial MT Std Cond" w:hAnsi="Arial MT Std Cond" w:cs="Arial MT Std Cond"/>
      <w:color w:val="000000"/>
      <w:sz w:val="14"/>
      <w:szCs w:val="14"/>
    </w:rPr>
  </w:style>
  <w:style w:type="paragraph" w:customStyle="1" w:styleId="BodyTextbullet">
    <w:name w:val="Body Text (bullet)"/>
    <w:basedOn w:val="BodyText"/>
    <w:rsid w:val="00787A70"/>
    <w:pPr>
      <w:widowControl/>
      <w:numPr>
        <w:numId w:val="9"/>
      </w:numPr>
      <w:tabs>
        <w:tab w:val="clear" w:pos="821"/>
        <w:tab w:val="num" w:pos="360"/>
      </w:tabs>
      <w:spacing w:before="80"/>
      <w:ind w:left="0" w:firstLine="0"/>
      <w:jc w:val="both"/>
    </w:pPr>
    <w:rPr>
      <w:lang w:val="en-AU"/>
    </w:rPr>
  </w:style>
  <w:style w:type="paragraph" w:styleId="BodyText">
    <w:name w:val="Body Text"/>
    <w:basedOn w:val="Normal"/>
    <w:link w:val="BodyTextChar"/>
    <w:uiPriority w:val="99"/>
    <w:semiHidden/>
    <w:unhideWhenUsed/>
    <w:rsid w:val="00787A70"/>
    <w:pPr>
      <w:spacing w:after="120"/>
    </w:pPr>
  </w:style>
  <w:style w:type="character" w:customStyle="1" w:styleId="BodyTextChar">
    <w:name w:val="Body Text Char"/>
    <w:basedOn w:val="DefaultParagraphFont"/>
    <w:link w:val="BodyText"/>
    <w:uiPriority w:val="99"/>
    <w:semiHidden/>
    <w:rsid w:val="00787A70"/>
    <w:rPr>
      <w:rFonts w:eastAsia="Times New Roman" w:cs="Times New Roman"/>
      <w:lang w:val="en-US"/>
    </w:rPr>
  </w:style>
  <w:style w:type="character" w:styleId="Emphasis">
    <w:name w:val="Emphasis"/>
    <w:basedOn w:val="DefaultParagraphFont"/>
    <w:uiPriority w:val="20"/>
    <w:qFormat/>
    <w:rsid w:val="00643982"/>
    <w:rPr>
      <w:i/>
      <w:iCs/>
    </w:rPr>
  </w:style>
  <w:style w:type="table" w:styleId="LightShading-Accent1">
    <w:name w:val="Light Shading Accent 1"/>
    <w:basedOn w:val="TableNormal"/>
    <w:uiPriority w:val="60"/>
    <w:rsid w:val="007F38B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3">
    <w:name w:val="toc 3"/>
    <w:basedOn w:val="Normal"/>
    <w:next w:val="Normal"/>
    <w:autoRedefine/>
    <w:uiPriority w:val="39"/>
    <w:unhideWhenUsed/>
    <w:rsid w:val="00BB7CAA"/>
    <w:pPr>
      <w:spacing w:after="100"/>
      <w:ind w:left="440"/>
    </w:pPr>
  </w:style>
  <w:style w:type="character" w:customStyle="1" w:styleId="Heading4Char">
    <w:name w:val="Heading 4 Char"/>
    <w:basedOn w:val="DefaultParagraphFont"/>
    <w:link w:val="Heading4"/>
    <w:uiPriority w:val="9"/>
    <w:rsid w:val="001E3770"/>
    <w:rPr>
      <w:rFonts w:asciiTheme="majorHAnsi" w:eastAsiaTheme="majorEastAsia" w:hAnsiTheme="majorHAnsi" w:cstheme="majorBidi"/>
      <w:i/>
      <w:iCs/>
      <w:color w:val="365F91" w:themeColor="accent1" w:themeShade="BF"/>
      <w:lang w:val="en-US"/>
    </w:rPr>
  </w:style>
  <w:style w:type="paragraph" w:customStyle="1" w:styleId="TableParagraph">
    <w:name w:val="Table Paragraph"/>
    <w:basedOn w:val="Normal"/>
    <w:uiPriority w:val="1"/>
    <w:qFormat/>
    <w:rsid w:val="001E3770"/>
    <w:rPr>
      <w:rFonts w:eastAsiaTheme="minorHAnsi" w:cstheme="minorBidi"/>
    </w:rPr>
  </w:style>
  <w:style w:type="table" w:customStyle="1" w:styleId="WAHealthTable7">
    <w:name w:val="WA Health Table 7"/>
    <w:basedOn w:val="LightList"/>
    <w:uiPriority w:val="99"/>
    <w:rsid w:val="00783876"/>
    <w:rPr>
      <w:rFonts w:ascii="Arial" w:hAnsi="Arial"/>
      <w:sz w:val="24"/>
      <w:szCs w:val="20"/>
      <w:lang w:eastAsia="en-AU"/>
    </w:rPr>
    <w:tblPr/>
    <w:tblStylePr w:type="firstRow">
      <w:pPr>
        <w:spacing w:before="0" w:after="0" w:line="240" w:lineRule="auto"/>
      </w:pPr>
      <w:rPr>
        <w:b/>
        <w:bCs/>
        <w:color w:val="000000" w:themeColor="text1"/>
      </w:rPr>
      <w:tblPr/>
      <w:trPr>
        <w:tblHeader/>
      </w:trPr>
      <w:tcPr>
        <w:shd w:val="clear" w:color="auto" w:fill="FFFFFF" w:themeFill="background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
    <w:name w:val="Light List"/>
    <w:basedOn w:val="TableNormal"/>
    <w:uiPriority w:val="61"/>
    <w:semiHidden/>
    <w:unhideWhenUsed/>
    <w:rsid w:val="007838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5Char">
    <w:name w:val="Heading 5 Char"/>
    <w:basedOn w:val="DefaultParagraphFont"/>
    <w:link w:val="Heading5"/>
    <w:uiPriority w:val="9"/>
    <w:semiHidden/>
    <w:rsid w:val="00E95A34"/>
    <w:rPr>
      <w:rFonts w:asciiTheme="majorHAnsi" w:eastAsiaTheme="majorEastAsia" w:hAnsiTheme="majorHAnsi" w:cstheme="majorBidi"/>
      <w:color w:val="365F91" w:themeColor="accent1" w:themeShade="BF"/>
      <w:lang w:val="en-US"/>
    </w:rPr>
  </w:style>
  <w:style w:type="paragraph" w:customStyle="1" w:styleId="Style1frameworkheading">
    <w:name w:val="Style1 framework heading"/>
    <w:basedOn w:val="Heading3"/>
    <w:link w:val="Style1frameworkheadingChar"/>
    <w:qFormat/>
    <w:rsid w:val="003925DD"/>
    <w:pPr>
      <w:spacing w:before="80" w:after="120"/>
    </w:pPr>
    <w:rPr>
      <w:rFonts w:ascii="Arial" w:hAnsi="Arial" w:cs="Arial"/>
      <w:color w:val="0070C0"/>
    </w:rPr>
  </w:style>
  <w:style w:type="paragraph" w:styleId="TOC4">
    <w:name w:val="toc 4"/>
    <w:basedOn w:val="Normal"/>
    <w:next w:val="Normal"/>
    <w:autoRedefine/>
    <w:uiPriority w:val="39"/>
    <w:unhideWhenUsed/>
    <w:rsid w:val="003925DD"/>
    <w:pPr>
      <w:widowControl/>
      <w:spacing w:after="100" w:line="259" w:lineRule="auto"/>
      <w:ind w:left="660"/>
    </w:pPr>
    <w:rPr>
      <w:rFonts w:eastAsiaTheme="minorEastAsia" w:cstheme="minorBidi"/>
      <w:lang w:val="en-AU" w:eastAsia="en-AU"/>
    </w:rPr>
  </w:style>
  <w:style w:type="character" w:customStyle="1" w:styleId="Style1frameworkheadingChar">
    <w:name w:val="Style1 framework heading Char"/>
    <w:basedOn w:val="Heading3Char"/>
    <w:link w:val="Style1frameworkheading"/>
    <w:rsid w:val="003925DD"/>
    <w:rPr>
      <w:rFonts w:ascii="Arial" w:eastAsiaTheme="majorEastAsia" w:hAnsi="Arial" w:cs="Arial"/>
      <w:color w:val="0070C0"/>
      <w:sz w:val="26"/>
      <w:szCs w:val="26"/>
      <w:lang w:val="en-US"/>
    </w:rPr>
  </w:style>
  <w:style w:type="paragraph" w:styleId="TOC5">
    <w:name w:val="toc 5"/>
    <w:basedOn w:val="Normal"/>
    <w:next w:val="Normal"/>
    <w:autoRedefine/>
    <w:uiPriority w:val="39"/>
    <w:unhideWhenUsed/>
    <w:rsid w:val="003925DD"/>
    <w:pPr>
      <w:widowControl/>
      <w:spacing w:after="100" w:line="259" w:lineRule="auto"/>
      <w:ind w:left="880"/>
    </w:pPr>
    <w:rPr>
      <w:rFonts w:eastAsiaTheme="minorEastAsia" w:cstheme="minorBidi"/>
      <w:lang w:val="en-AU" w:eastAsia="en-AU"/>
    </w:rPr>
  </w:style>
  <w:style w:type="paragraph" w:styleId="TOC6">
    <w:name w:val="toc 6"/>
    <w:basedOn w:val="Normal"/>
    <w:next w:val="Normal"/>
    <w:autoRedefine/>
    <w:uiPriority w:val="39"/>
    <w:unhideWhenUsed/>
    <w:rsid w:val="003925DD"/>
    <w:pPr>
      <w:widowControl/>
      <w:spacing w:after="100" w:line="259" w:lineRule="auto"/>
      <w:ind w:left="1100"/>
    </w:pPr>
    <w:rPr>
      <w:rFonts w:eastAsiaTheme="minorEastAsia" w:cstheme="minorBidi"/>
      <w:lang w:val="en-AU" w:eastAsia="en-AU"/>
    </w:rPr>
  </w:style>
  <w:style w:type="paragraph" w:styleId="TOC7">
    <w:name w:val="toc 7"/>
    <w:basedOn w:val="Normal"/>
    <w:next w:val="Normal"/>
    <w:autoRedefine/>
    <w:uiPriority w:val="39"/>
    <w:unhideWhenUsed/>
    <w:rsid w:val="003925DD"/>
    <w:pPr>
      <w:widowControl/>
      <w:spacing w:after="100" w:line="259" w:lineRule="auto"/>
      <w:ind w:left="1320"/>
    </w:pPr>
    <w:rPr>
      <w:rFonts w:eastAsiaTheme="minorEastAsia" w:cstheme="minorBidi"/>
      <w:lang w:val="en-AU" w:eastAsia="en-AU"/>
    </w:rPr>
  </w:style>
  <w:style w:type="paragraph" w:styleId="TOC8">
    <w:name w:val="toc 8"/>
    <w:basedOn w:val="Normal"/>
    <w:next w:val="Normal"/>
    <w:autoRedefine/>
    <w:uiPriority w:val="39"/>
    <w:unhideWhenUsed/>
    <w:rsid w:val="003925DD"/>
    <w:pPr>
      <w:widowControl/>
      <w:spacing w:after="100" w:line="259" w:lineRule="auto"/>
      <w:ind w:left="1540"/>
    </w:pPr>
    <w:rPr>
      <w:rFonts w:eastAsiaTheme="minorEastAsia" w:cstheme="minorBidi"/>
      <w:lang w:val="en-AU" w:eastAsia="en-AU"/>
    </w:rPr>
  </w:style>
  <w:style w:type="paragraph" w:styleId="TOC9">
    <w:name w:val="toc 9"/>
    <w:basedOn w:val="Normal"/>
    <w:next w:val="Normal"/>
    <w:autoRedefine/>
    <w:uiPriority w:val="39"/>
    <w:unhideWhenUsed/>
    <w:rsid w:val="003925DD"/>
    <w:pPr>
      <w:widowControl/>
      <w:spacing w:after="100" w:line="259" w:lineRule="auto"/>
      <w:ind w:left="1760"/>
    </w:pPr>
    <w:rPr>
      <w:rFonts w:eastAsiaTheme="minorEastAsia" w:cstheme="minorBidi"/>
      <w:lang w:val="en-AU" w:eastAsia="en-AU"/>
    </w:rPr>
  </w:style>
  <w:style w:type="paragraph" w:customStyle="1" w:styleId="titleheadings">
    <w:name w:val="title headings"/>
    <w:basedOn w:val="Title"/>
    <w:link w:val="titleheadingsChar"/>
    <w:qFormat/>
    <w:rsid w:val="008B7DBC"/>
  </w:style>
  <w:style w:type="paragraph" w:styleId="Header">
    <w:name w:val="header"/>
    <w:basedOn w:val="Normal"/>
    <w:link w:val="HeaderChar"/>
    <w:uiPriority w:val="99"/>
    <w:unhideWhenUsed/>
    <w:rsid w:val="00C47692"/>
    <w:pPr>
      <w:tabs>
        <w:tab w:val="center" w:pos="4513"/>
        <w:tab w:val="right" w:pos="9026"/>
      </w:tabs>
    </w:pPr>
  </w:style>
  <w:style w:type="character" w:customStyle="1" w:styleId="titleheadingsChar">
    <w:name w:val="title headings Char"/>
    <w:basedOn w:val="TitleChar"/>
    <w:link w:val="titleheadings"/>
    <w:rsid w:val="008B7DBC"/>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erChar">
    <w:name w:val="Header Char"/>
    <w:basedOn w:val="DefaultParagraphFont"/>
    <w:link w:val="Header"/>
    <w:uiPriority w:val="99"/>
    <w:rsid w:val="00C47692"/>
    <w:rPr>
      <w:rFonts w:ascii="Arial" w:eastAsia="Times New Roman" w:hAnsi="Arial" w:cs="Arial"/>
      <w:sz w:val="24"/>
      <w:szCs w:val="24"/>
      <w:lang w:val="en-US"/>
    </w:rPr>
  </w:style>
  <w:style w:type="paragraph" w:styleId="Footer">
    <w:name w:val="footer"/>
    <w:basedOn w:val="Normal"/>
    <w:link w:val="FooterChar"/>
    <w:uiPriority w:val="99"/>
    <w:unhideWhenUsed/>
    <w:rsid w:val="00C47692"/>
    <w:pPr>
      <w:tabs>
        <w:tab w:val="center" w:pos="4513"/>
        <w:tab w:val="right" w:pos="9026"/>
      </w:tabs>
    </w:pPr>
  </w:style>
  <w:style w:type="character" w:customStyle="1" w:styleId="FooterChar">
    <w:name w:val="Footer Char"/>
    <w:basedOn w:val="DefaultParagraphFont"/>
    <w:link w:val="Footer"/>
    <w:uiPriority w:val="99"/>
    <w:rsid w:val="00C47692"/>
    <w:rPr>
      <w:rFonts w:ascii="Arial" w:eastAsia="Times New Roman" w:hAnsi="Arial" w:cs="Arial"/>
      <w:sz w:val="24"/>
      <w:szCs w:val="24"/>
      <w:lang w:val="en-US"/>
    </w:rPr>
  </w:style>
  <w:style w:type="paragraph" w:customStyle="1" w:styleId="Pa12">
    <w:name w:val="Pa12"/>
    <w:basedOn w:val="Normal"/>
    <w:next w:val="Normal"/>
    <w:uiPriority w:val="99"/>
    <w:rsid w:val="006A6F15"/>
    <w:pPr>
      <w:widowControl/>
      <w:autoSpaceDE w:val="0"/>
      <w:autoSpaceDN w:val="0"/>
      <w:adjustRightInd w:val="0"/>
      <w:spacing w:line="241" w:lineRule="atLeast"/>
    </w:pPr>
    <w:rPr>
      <w:rFonts w:ascii="Arial MT Std Cond" w:eastAsiaTheme="minorHAnsi" w:hAnsi="Arial MT Std Cond" w:cstheme="minorBidi"/>
      <w:lang w:val="en-AU"/>
    </w:rPr>
  </w:style>
  <w:style w:type="paragraph" w:styleId="Bibliography">
    <w:name w:val="Bibliography"/>
    <w:basedOn w:val="Normal"/>
    <w:next w:val="Normal"/>
    <w:uiPriority w:val="37"/>
    <w:unhideWhenUsed/>
    <w:rsid w:val="00A93975"/>
  </w:style>
  <w:style w:type="paragraph" w:customStyle="1" w:styleId="Default">
    <w:name w:val="Default"/>
    <w:rsid w:val="00693EEF"/>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F0191E"/>
    <w:pPr>
      <w:spacing w:after="0" w:line="240" w:lineRule="auto"/>
    </w:pPr>
    <w:rPr>
      <w:rFonts w:ascii="Arial" w:eastAsia="Times New Roman" w:hAnsi="Arial" w:cs="Arial"/>
      <w:sz w:val="24"/>
      <w:szCs w:val="24"/>
      <w:lang w:val="en-US"/>
    </w:rPr>
  </w:style>
  <w:style w:type="table" w:customStyle="1" w:styleId="TableGrid1">
    <w:name w:val="Table Grid1"/>
    <w:basedOn w:val="TableNormal"/>
    <w:next w:val="TableGrid"/>
    <w:uiPriority w:val="59"/>
    <w:rsid w:val="0099158E"/>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810">
      <w:bodyDiv w:val="1"/>
      <w:marLeft w:val="0"/>
      <w:marRight w:val="0"/>
      <w:marTop w:val="0"/>
      <w:marBottom w:val="0"/>
      <w:divBdr>
        <w:top w:val="none" w:sz="0" w:space="0" w:color="auto"/>
        <w:left w:val="none" w:sz="0" w:space="0" w:color="auto"/>
        <w:bottom w:val="none" w:sz="0" w:space="0" w:color="auto"/>
        <w:right w:val="none" w:sz="0" w:space="0" w:color="auto"/>
      </w:divBdr>
    </w:div>
    <w:div w:id="3098196">
      <w:bodyDiv w:val="1"/>
      <w:marLeft w:val="0"/>
      <w:marRight w:val="0"/>
      <w:marTop w:val="0"/>
      <w:marBottom w:val="0"/>
      <w:divBdr>
        <w:top w:val="none" w:sz="0" w:space="0" w:color="auto"/>
        <w:left w:val="none" w:sz="0" w:space="0" w:color="auto"/>
        <w:bottom w:val="none" w:sz="0" w:space="0" w:color="auto"/>
        <w:right w:val="none" w:sz="0" w:space="0" w:color="auto"/>
      </w:divBdr>
    </w:div>
    <w:div w:id="3871521">
      <w:bodyDiv w:val="1"/>
      <w:marLeft w:val="0"/>
      <w:marRight w:val="0"/>
      <w:marTop w:val="0"/>
      <w:marBottom w:val="0"/>
      <w:divBdr>
        <w:top w:val="none" w:sz="0" w:space="0" w:color="auto"/>
        <w:left w:val="none" w:sz="0" w:space="0" w:color="auto"/>
        <w:bottom w:val="none" w:sz="0" w:space="0" w:color="auto"/>
        <w:right w:val="none" w:sz="0" w:space="0" w:color="auto"/>
      </w:divBdr>
    </w:div>
    <w:div w:id="9572026">
      <w:bodyDiv w:val="1"/>
      <w:marLeft w:val="0"/>
      <w:marRight w:val="0"/>
      <w:marTop w:val="0"/>
      <w:marBottom w:val="0"/>
      <w:divBdr>
        <w:top w:val="none" w:sz="0" w:space="0" w:color="auto"/>
        <w:left w:val="none" w:sz="0" w:space="0" w:color="auto"/>
        <w:bottom w:val="none" w:sz="0" w:space="0" w:color="auto"/>
        <w:right w:val="none" w:sz="0" w:space="0" w:color="auto"/>
      </w:divBdr>
    </w:div>
    <w:div w:id="10885978">
      <w:bodyDiv w:val="1"/>
      <w:marLeft w:val="0"/>
      <w:marRight w:val="0"/>
      <w:marTop w:val="0"/>
      <w:marBottom w:val="0"/>
      <w:divBdr>
        <w:top w:val="none" w:sz="0" w:space="0" w:color="auto"/>
        <w:left w:val="none" w:sz="0" w:space="0" w:color="auto"/>
        <w:bottom w:val="none" w:sz="0" w:space="0" w:color="auto"/>
        <w:right w:val="none" w:sz="0" w:space="0" w:color="auto"/>
      </w:divBdr>
    </w:div>
    <w:div w:id="12072529">
      <w:bodyDiv w:val="1"/>
      <w:marLeft w:val="0"/>
      <w:marRight w:val="0"/>
      <w:marTop w:val="0"/>
      <w:marBottom w:val="0"/>
      <w:divBdr>
        <w:top w:val="none" w:sz="0" w:space="0" w:color="auto"/>
        <w:left w:val="none" w:sz="0" w:space="0" w:color="auto"/>
        <w:bottom w:val="none" w:sz="0" w:space="0" w:color="auto"/>
        <w:right w:val="none" w:sz="0" w:space="0" w:color="auto"/>
      </w:divBdr>
    </w:div>
    <w:div w:id="14890081">
      <w:bodyDiv w:val="1"/>
      <w:marLeft w:val="0"/>
      <w:marRight w:val="0"/>
      <w:marTop w:val="0"/>
      <w:marBottom w:val="0"/>
      <w:divBdr>
        <w:top w:val="none" w:sz="0" w:space="0" w:color="auto"/>
        <w:left w:val="none" w:sz="0" w:space="0" w:color="auto"/>
        <w:bottom w:val="none" w:sz="0" w:space="0" w:color="auto"/>
        <w:right w:val="none" w:sz="0" w:space="0" w:color="auto"/>
      </w:divBdr>
    </w:div>
    <w:div w:id="21130785">
      <w:bodyDiv w:val="1"/>
      <w:marLeft w:val="0"/>
      <w:marRight w:val="0"/>
      <w:marTop w:val="0"/>
      <w:marBottom w:val="0"/>
      <w:divBdr>
        <w:top w:val="none" w:sz="0" w:space="0" w:color="auto"/>
        <w:left w:val="none" w:sz="0" w:space="0" w:color="auto"/>
        <w:bottom w:val="none" w:sz="0" w:space="0" w:color="auto"/>
        <w:right w:val="none" w:sz="0" w:space="0" w:color="auto"/>
      </w:divBdr>
    </w:div>
    <w:div w:id="22370912">
      <w:bodyDiv w:val="1"/>
      <w:marLeft w:val="0"/>
      <w:marRight w:val="0"/>
      <w:marTop w:val="0"/>
      <w:marBottom w:val="0"/>
      <w:divBdr>
        <w:top w:val="none" w:sz="0" w:space="0" w:color="auto"/>
        <w:left w:val="none" w:sz="0" w:space="0" w:color="auto"/>
        <w:bottom w:val="none" w:sz="0" w:space="0" w:color="auto"/>
        <w:right w:val="none" w:sz="0" w:space="0" w:color="auto"/>
      </w:divBdr>
    </w:div>
    <w:div w:id="23750112">
      <w:bodyDiv w:val="1"/>
      <w:marLeft w:val="0"/>
      <w:marRight w:val="0"/>
      <w:marTop w:val="0"/>
      <w:marBottom w:val="0"/>
      <w:divBdr>
        <w:top w:val="none" w:sz="0" w:space="0" w:color="auto"/>
        <w:left w:val="none" w:sz="0" w:space="0" w:color="auto"/>
        <w:bottom w:val="none" w:sz="0" w:space="0" w:color="auto"/>
        <w:right w:val="none" w:sz="0" w:space="0" w:color="auto"/>
      </w:divBdr>
    </w:div>
    <w:div w:id="24059078">
      <w:bodyDiv w:val="1"/>
      <w:marLeft w:val="0"/>
      <w:marRight w:val="0"/>
      <w:marTop w:val="0"/>
      <w:marBottom w:val="0"/>
      <w:divBdr>
        <w:top w:val="none" w:sz="0" w:space="0" w:color="auto"/>
        <w:left w:val="none" w:sz="0" w:space="0" w:color="auto"/>
        <w:bottom w:val="none" w:sz="0" w:space="0" w:color="auto"/>
        <w:right w:val="none" w:sz="0" w:space="0" w:color="auto"/>
      </w:divBdr>
    </w:div>
    <w:div w:id="25448615">
      <w:bodyDiv w:val="1"/>
      <w:marLeft w:val="0"/>
      <w:marRight w:val="0"/>
      <w:marTop w:val="0"/>
      <w:marBottom w:val="0"/>
      <w:divBdr>
        <w:top w:val="none" w:sz="0" w:space="0" w:color="auto"/>
        <w:left w:val="none" w:sz="0" w:space="0" w:color="auto"/>
        <w:bottom w:val="none" w:sz="0" w:space="0" w:color="auto"/>
        <w:right w:val="none" w:sz="0" w:space="0" w:color="auto"/>
      </w:divBdr>
    </w:div>
    <w:div w:id="25641995">
      <w:bodyDiv w:val="1"/>
      <w:marLeft w:val="0"/>
      <w:marRight w:val="0"/>
      <w:marTop w:val="0"/>
      <w:marBottom w:val="0"/>
      <w:divBdr>
        <w:top w:val="none" w:sz="0" w:space="0" w:color="auto"/>
        <w:left w:val="none" w:sz="0" w:space="0" w:color="auto"/>
        <w:bottom w:val="none" w:sz="0" w:space="0" w:color="auto"/>
        <w:right w:val="none" w:sz="0" w:space="0" w:color="auto"/>
      </w:divBdr>
    </w:div>
    <w:div w:id="27610661">
      <w:bodyDiv w:val="1"/>
      <w:marLeft w:val="0"/>
      <w:marRight w:val="0"/>
      <w:marTop w:val="0"/>
      <w:marBottom w:val="0"/>
      <w:divBdr>
        <w:top w:val="none" w:sz="0" w:space="0" w:color="auto"/>
        <w:left w:val="none" w:sz="0" w:space="0" w:color="auto"/>
        <w:bottom w:val="none" w:sz="0" w:space="0" w:color="auto"/>
        <w:right w:val="none" w:sz="0" w:space="0" w:color="auto"/>
      </w:divBdr>
    </w:div>
    <w:div w:id="27797862">
      <w:bodyDiv w:val="1"/>
      <w:marLeft w:val="0"/>
      <w:marRight w:val="0"/>
      <w:marTop w:val="0"/>
      <w:marBottom w:val="0"/>
      <w:divBdr>
        <w:top w:val="none" w:sz="0" w:space="0" w:color="auto"/>
        <w:left w:val="none" w:sz="0" w:space="0" w:color="auto"/>
        <w:bottom w:val="none" w:sz="0" w:space="0" w:color="auto"/>
        <w:right w:val="none" w:sz="0" w:space="0" w:color="auto"/>
      </w:divBdr>
    </w:div>
    <w:div w:id="36706036">
      <w:bodyDiv w:val="1"/>
      <w:marLeft w:val="0"/>
      <w:marRight w:val="0"/>
      <w:marTop w:val="0"/>
      <w:marBottom w:val="0"/>
      <w:divBdr>
        <w:top w:val="none" w:sz="0" w:space="0" w:color="auto"/>
        <w:left w:val="none" w:sz="0" w:space="0" w:color="auto"/>
        <w:bottom w:val="none" w:sz="0" w:space="0" w:color="auto"/>
        <w:right w:val="none" w:sz="0" w:space="0" w:color="auto"/>
      </w:divBdr>
    </w:div>
    <w:div w:id="42678469">
      <w:bodyDiv w:val="1"/>
      <w:marLeft w:val="0"/>
      <w:marRight w:val="0"/>
      <w:marTop w:val="0"/>
      <w:marBottom w:val="0"/>
      <w:divBdr>
        <w:top w:val="none" w:sz="0" w:space="0" w:color="auto"/>
        <w:left w:val="none" w:sz="0" w:space="0" w:color="auto"/>
        <w:bottom w:val="none" w:sz="0" w:space="0" w:color="auto"/>
        <w:right w:val="none" w:sz="0" w:space="0" w:color="auto"/>
      </w:divBdr>
    </w:div>
    <w:div w:id="52780367">
      <w:bodyDiv w:val="1"/>
      <w:marLeft w:val="0"/>
      <w:marRight w:val="0"/>
      <w:marTop w:val="0"/>
      <w:marBottom w:val="0"/>
      <w:divBdr>
        <w:top w:val="none" w:sz="0" w:space="0" w:color="auto"/>
        <w:left w:val="none" w:sz="0" w:space="0" w:color="auto"/>
        <w:bottom w:val="none" w:sz="0" w:space="0" w:color="auto"/>
        <w:right w:val="none" w:sz="0" w:space="0" w:color="auto"/>
      </w:divBdr>
    </w:div>
    <w:div w:id="57286393">
      <w:bodyDiv w:val="1"/>
      <w:marLeft w:val="0"/>
      <w:marRight w:val="0"/>
      <w:marTop w:val="0"/>
      <w:marBottom w:val="0"/>
      <w:divBdr>
        <w:top w:val="none" w:sz="0" w:space="0" w:color="auto"/>
        <w:left w:val="none" w:sz="0" w:space="0" w:color="auto"/>
        <w:bottom w:val="none" w:sz="0" w:space="0" w:color="auto"/>
        <w:right w:val="none" w:sz="0" w:space="0" w:color="auto"/>
      </w:divBdr>
    </w:div>
    <w:div w:id="64422497">
      <w:bodyDiv w:val="1"/>
      <w:marLeft w:val="0"/>
      <w:marRight w:val="0"/>
      <w:marTop w:val="0"/>
      <w:marBottom w:val="0"/>
      <w:divBdr>
        <w:top w:val="none" w:sz="0" w:space="0" w:color="auto"/>
        <w:left w:val="none" w:sz="0" w:space="0" w:color="auto"/>
        <w:bottom w:val="none" w:sz="0" w:space="0" w:color="auto"/>
        <w:right w:val="none" w:sz="0" w:space="0" w:color="auto"/>
      </w:divBdr>
    </w:div>
    <w:div w:id="70736359">
      <w:bodyDiv w:val="1"/>
      <w:marLeft w:val="0"/>
      <w:marRight w:val="0"/>
      <w:marTop w:val="0"/>
      <w:marBottom w:val="0"/>
      <w:divBdr>
        <w:top w:val="none" w:sz="0" w:space="0" w:color="auto"/>
        <w:left w:val="none" w:sz="0" w:space="0" w:color="auto"/>
        <w:bottom w:val="none" w:sz="0" w:space="0" w:color="auto"/>
        <w:right w:val="none" w:sz="0" w:space="0" w:color="auto"/>
      </w:divBdr>
    </w:div>
    <w:div w:id="72509370">
      <w:bodyDiv w:val="1"/>
      <w:marLeft w:val="0"/>
      <w:marRight w:val="0"/>
      <w:marTop w:val="0"/>
      <w:marBottom w:val="0"/>
      <w:divBdr>
        <w:top w:val="none" w:sz="0" w:space="0" w:color="auto"/>
        <w:left w:val="none" w:sz="0" w:space="0" w:color="auto"/>
        <w:bottom w:val="none" w:sz="0" w:space="0" w:color="auto"/>
        <w:right w:val="none" w:sz="0" w:space="0" w:color="auto"/>
      </w:divBdr>
    </w:div>
    <w:div w:id="80758377">
      <w:bodyDiv w:val="1"/>
      <w:marLeft w:val="0"/>
      <w:marRight w:val="0"/>
      <w:marTop w:val="0"/>
      <w:marBottom w:val="0"/>
      <w:divBdr>
        <w:top w:val="none" w:sz="0" w:space="0" w:color="auto"/>
        <w:left w:val="none" w:sz="0" w:space="0" w:color="auto"/>
        <w:bottom w:val="none" w:sz="0" w:space="0" w:color="auto"/>
        <w:right w:val="none" w:sz="0" w:space="0" w:color="auto"/>
      </w:divBdr>
    </w:div>
    <w:div w:id="82998611">
      <w:bodyDiv w:val="1"/>
      <w:marLeft w:val="0"/>
      <w:marRight w:val="0"/>
      <w:marTop w:val="0"/>
      <w:marBottom w:val="0"/>
      <w:divBdr>
        <w:top w:val="none" w:sz="0" w:space="0" w:color="auto"/>
        <w:left w:val="none" w:sz="0" w:space="0" w:color="auto"/>
        <w:bottom w:val="none" w:sz="0" w:space="0" w:color="auto"/>
        <w:right w:val="none" w:sz="0" w:space="0" w:color="auto"/>
      </w:divBdr>
    </w:div>
    <w:div w:id="87699169">
      <w:bodyDiv w:val="1"/>
      <w:marLeft w:val="0"/>
      <w:marRight w:val="0"/>
      <w:marTop w:val="0"/>
      <w:marBottom w:val="0"/>
      <w:divBdr>
        <w:top w:val="none" w:sz="0" w:space="0" w:color="auto"/>
        <w:left w:val="none" w:sz="0" w:space="0" w:color="auto"/>
        <w:bottom w:val="none" w:sz="0" w:space="0" w:color="auto"/>
        <w:right w:val="none" w:sz="0" w:space="0" w:color="auto"/>
      </w:divBdr>
    </w:div>
    <w:div w:id="94980736">
      <w:bodyDiv w:val="1"/>
      <w:marLeft w:val="0"/>
      <w:marRight w:val="0"/>
      <w:marTop w:val="0"/>
      <w:marBottom w:val="0"/>
      <w:divBdr>
        <w:top w:val="none" w:sz="0" w:space="0" w:color="auto"/>
        <w:left w:val="none" w:sz="0" w:space="0" w:color="auto"/>
        <w:bottom w:val="none" w:sz="0" w:space="0" w:color="auto"/>
        <w:right w:val="none" w:sz="0" w:space="0" w:color="auto"/>
      </w:divBdr>
    </w:div>
    <w:div w:id="96953417">
      <w:bodyDiv w:val="1"/>
      <w:marLeft w:val="0"/>
      <w:marRight w:val="0"/>
      <w:marTop w:val="0"/>
      <w:marBottom w:val="0"/>
      <w:divBdr>
        <w:top w:val="none" w:sz="0" w:space="0" w:color="auto"/>
        <w:left w:val="none" w:sz="0" w:space="0" w:color="auto"/>
        <w:bottom w:val="none" w:sz="0" w:space="0" w:color="auto"/>
        <w:right w:val="none" w:sz="0" w:space="0" w:color="auto"/>
      </w:divBdr>
    </w:div>
    <w:div w:id="97455078">
      <w:bodyDiv w:val="1"/>
      <w:marLeft w:val="0"/>
      <w:marRight w:val="0"/>
      <w:marTop w:val="0"/>
      <w:marBottom w:val="0"/>
      <w:divBdr>
        <w:top w:val="none" w:sz="0" w:space="0" w:color="auto"/>
        <w:left w:val="none" w:sz="0" w:space="0" w:color="auto"/>
        <w:bottom w:val="none" w:sz="0" w:space="0" w:color="auto"/>
        <w:right w:val="none" w:sz="0" w:space="0" w:color="auto"/>
      </w:divBdr>
    </w:div>
    <w:div w:id="102917280">
      <w:bodyDiv w:val="1"/>
      <w:marLeft w:val="0"/>
      <w:marRight w:val="0"/>
      <w:marTop w:val="0"/>
      <w:marBottom w:val="0"/>
      <w:divBdr>
        <w:top w:val="none" w:sz="0" w:space="0" w:color="auto"/>
        <w:left w:val="none" w:sz="0" w:space="0" w:color="auto"/>
        <w:bottom w:val="none" w:sz="0" w:space="0" w:color="auto"/>
        <w:right w:val="none" w:sz="0" w:space="0" w:color="auto"/>
      </w:divBdr>
      <w:divsChild>
        <w:div w:id="56630194">
          <w:marLeft w:val="0"/>
          <w:marRight w:val="0"/>
          <w:marTop w:val="0"/>
          <w:marBottom w:val="0"/>
          <w:divBdr>
            <w:top w:val="none" w:sz="0" w:space="0" w:color="auto"/>
            <w:left w:val="none" w:sz="0" w:space="0" w:color="auto"/>
            <w:bottom w:val="none" w:sz="0" w:space="0" w:color="auto"/>
            <w:right w:val="none" w:sz="0" w:space="0" w:color="auto"/>
          </w:divBdr>
        </w:div>
        <w:div w:id="1283338647">
          <w:marLeft w:val="0"/>
          <w:marRight w:val="0"/>
          <w:marTop w:val="0"/>
          <w:marBottom w:val="0"/>
          <w:divBdr>
            <w:top w:val="none" w:sz="0" w:space="0" w:color="auto"/>
            <w:left w:val="none" w:sz="0" w:space="0" w:color="auto"/>
            <w:bottom w:val="none" w:sz="0" w:space="0" w:color="auto"/>
            <w:right w:val="none" w:sz="0" w:space="0" w:color="auto"/>
          </w:divBdr>
        </w:div>
        <w:div w:id="1405444856">
          <w:marLeft w:val="0"/>
          <w:marRight w:val="0"/>
          <w:marTop w:val="0"/>
          <w:marBottom w:val="0"/>
          <w:divBdr>
            <w:top w:val="none" w:sz="0" w:space="0" w:color="auto"/>
            <w:left w:val="none" w:sz="0" w:space="0" w:color="auto"/>
            <w:bottom w:val="none" w:sz="0" w:space="0" w:color="auto"/>
            <w:right w:val="none" w:sz="0" w:space="0" w:color="auto"/>
          </w:divBdr>
        </w:div>
        <w:div w:id="2076389181">
          <w:marLeft w:val="0"/>
          <w:marRight w:val="0"/>
          <w:marTop w:val="0"/>
          <w:marBottom w:val="0"/>
          <w:divBdr>
            <w:top w:val="none" w:sz="0" w:space="0" w:color="auto"/>
            <w:left w:val="none" w:sz="0" w:space="0" w:color="auto"/>
            <w:bottom w:val="none" w:sz="0" w:space="0" w:color="auto"/>
            <w:right w:val="none" w:sz="0" w:space="0" w:color="auto"/>
          </w:divBdr>
        </w:div>
      </w:divsChild>
    </w:div>
    <w:div w:id="103228844">
      <w:bodyDiv w:val="1"/>
      <w:marLeft w:val="0"/>
      <w:marRight w:val="0"/>
      <w:marTop w:val="0"/>
      <w:marBottom w:val="0"/>
      <w:divBdr>
        <w:top w:val="none" w:sz="0" w:space="0" w:color="auto"/>
        <w:left w:val="none" w:sz="0" w:space="0" w:color="auto"/>
        <w:bottom w:val="none" w:sz="0" w:space="0" w:color="auto"/>
        <w:right w:val="none" w:sz="0" w:space="0" w:color="auto"/>
      </w:divBdr>
    </w:div>
    <w:div w:id="105320566">
      <w:bodyDiv w:val="1"/>
      <w:marLeft w:val="0"/>
      <w:marRight w:val="0"/>
      <w:marTop w:val="0"/>
      <w:marBottom w:val="0"/>
      <w:divBdr>
        <w:top w:val="none" w:sz="0" w:space="0" w:color="auto"/>
        <w:left w:val="none" w:sz="0" w:space="0" w:color="auto"/>
        <w:bottom w:val="none" w:sz="0" w:space="0" w:color="auto"/>
        <w:right w:val="none" w:sz="0" w:space="0" w:color="auto"/>
      </w:divBdr>
    </w:div>
    <w:div w:id="105776352">
      <w:bodyDiv w:val="1"/>
      <w:marLeft w:val="0"/>
      <w:marRight w:val="0"/>
      <w:marTop w:val="0"/>
      <w:marBottom w:val="0"/>
      <w:divBdr>
        <w:top w:val="none" w:sz="0" w:space="0" w:color="auto"/>
        <w:left w:val="none" w:sz="0" w:space="0" w:color="auto"/>
        <w:bottom w:val="none" w:sz="0" w:space="0" w:color="auto"/>
        <w:right w:val="none" w:sz="0" w:space="0" w:color="auto"/>
      </w:divBdr>
    </w:div>
    <w:div w:id="110326755">
      <w:bodyDiv w:val="1"/>
      <w:marLeft w:val="0"/>
      <w:marRight w:val="0"/>
      <w:marTop w:val="0"/>
      <w:marBottom w:val="0"/>
      <w:divBdr>
        <w:top w:val="none" w:sz="0" w:space="0" w:color="auto"/>
        <w:left w:val="none" w:sz="0" w:space="0" w:color="auto"/>
        <w:bottom w:val="none" w:sz="0" w:space="0" w:color="auto"/>
        <w:right w:val="none" w:sz="0" w:space="0" w:color="auto"/>
      </w:divBdr>
    </w:div>
    <w:div w:id="110832120">
      <w:bodyDiv w:val="1"/>
      <w:marLeft w:val="0"/>
      <w:marRight w:val="0"/>
      <w:marTop w:val="0"/>
      <w:marBottom w:val="0"/>
      <w:divBdr>
        <w:top w:val="none" w:sz="0" w:space="0" w:color="auto"/>
        <w:left w:val="none" w:sz="0" w:space="0" w:color="auto"/>
        <w:bottom w:val="none" w:sz="0" w:space="0" w:color="auto"/>
        <w:right w:val="none" w:sz="0" w:space="0" w:color="auto"/>
      </w:divBdr>
    </w:div>
    <w:div w:id="111024705">
      <w:bodyDiv w:val="1"/>
      <w:marLeft w:val="0"/>
      <w:marRight w:val="0"/>
      <w:marTop w:val="0"/>
      <w:marBottom w:val="0"/>
      <w:divBdr>
        <w:top w:val="none" w:sz="0" w:space="0" w:color="auto"/>
        <w:left w:val="none" w:sz="0" w:space="0" w:color="auto"/>
        <w:bottom w:val="none" w:sz="0" w:space="0" w:color="auto"/>
        <w:right w:val="none" w:sz="0" w:space="0" w:color="auto"/>
      </w:divBdr>
    </w:div>
    <w:div w:id="111822284">
      <w:bodyDiv w:val="1"/>
      <w:marLeft w:val="0"/>
      <w:marRight w:val="0"/>
      <w:marTop w:val="0"/>
      <w:marBottom w:val="0"/>
      <w:divBdr>
        <w:top w:val="none" w:sz="0" w:space="0" w:color="auto"/>
        <w:left w:val="none" w:sz="0" w:space="0" w:color="auto"/>
        <w:bottom w:val="none" w:sz="0" w:space="0" w:color="auto"/>
        <w:right w:val="none" w:sz="0" w:space="0" w:color="auto"/>
      </w:divBdr>
    </w:div>
    <w:div w:id="118914985">
      <w:bodyDiv w:val="1"/>
      <w:marLeft w:val="0"/>
      <w:marRight w:val="0"/>
      <w:marTop w:val="0"/>
      <w:marBottom w:val="0"/>
      <w:divBdr>
        <w:top w:val="none" w:sz="0" w:space="0" w:color="auto"/>
        <w:left w:val="none" w:sz="0" w:space="0" w:color="auto"/>
        <w:bottom w:val="none" w:sz="0" w:space="0" w:color="auto"/>
        <w:right w:val="none" w:sz="0" w:space="0" w:color="auto"/>
      </w:divBdr>
    </w:div>
    <w:div w:id="120267793">
      <w:bodyDiv w:val="1"/>
      <w:marLeft w:val="0"/>
      <w:marRight w:val="0"/>
      <w:marTop w:val="0"/>
      <w:marBottom w:val="0"/>
      <w:divBdr>
        <w:top w:val="none" w:sz="0" w:space="0" w:color="auto"/>
        <w:left w:val="none" w:sz="0" w:space="0" w:color="auto"/>
        <w:bottom w:val="none" w:sz="0" w:space="0" w:color="auto"/>
        <w:right w:val="none" w:sz="0" w:space="0" w:color="auto"/>
      </w:divBdr>
    </w:div>
    <w:div w:id="127015224">
      <w:bodyDiv w:val="1"/>
      <w:marLeft w:val="0"/>
      <w:marRight w:val="0"/>
      <w:marTop w:val="0"/>
      <w:marBottom w:val="0"/>
      <w:divBdr>
        <w:top w:val="none" w:sz="0" w:space="0" w:color="auto"/>
        <w:left w:val="none" w:sz="0" w:space="0" w:color="auto"/>
        <w:bottom w:val="none" w:sz="0" w:space="0" w:color="auto"/>
        <w:right w:val="none" w:sz="0" w:space="0" w:color="auto"/>
      </w:divBdr>
    </w:div>
    <w:div w:id="128788072">
      <w:bodyDiv w:val="1"/>
      <w:marLeft w:val="0"/>
      <w:marRight w:val="0"/>
      <w:marTop w:val="0"/>
      <w:marBottom w:val="0"/>
      <w:divBdr>
        <w:top w:val="none" w:sz="0" w:space="0" w:color="auto"/>
        <w:left w:val="none" w:sz="0" w:space="0" w:color="auto"/>
        <w:bottom w:val="none" w:sz="0" w:space="0" w:color="auto"/>
        <w:right w:val="none" w:sz="0" w:space="0" w:color="auto"/>
      </w:divBdr>
    </w:div>
    <w:div w:id="139810593">
      <w:bodyDiv w:val="1"/>
      <w:marLeft w:val="0"/>
      <w:marRight w:val="0"/>
      <w:marTop w:val="0"/>
      <w:marBottom w:val="0"/>
      <w:divBdr>
        <w:top w:val="none" w:sz="0" w:space="0" w:color="auto"/>
        <w:left w:val="none" w:sz="0" w:space="0" w:color="auto"/>
        <w:bottom w:val="none" w:sz="0" w:space="0" w:color="auto"/>
        <w:right w:val="none" w:sz="0" w:space="0" w:color="auto"/>
      </w:divBdr>
    </w:div>
    <w:div w:id="143668565">
      <w:bodyDiv w:val="1"/>
      <w:marLeft w:val="0"/>
      <w:marRight w:val="0"/>
      <w:marTop w:val="0"/>
      <w:marBottom w:val="0"/>
      <w:divBdr>
        <w:top w:val="none" w:sz="0" w:space="0" w:color="auto"/>
        <w:left w:val="none" w:sz="0" w:space="0" w:color="auto"/>
        <w:bottom w:val="none" w:sz="0" w:space="0" w:color="auto"/>
        <w:right w:val="none" w:sz="0" w:space="0" w:color="auto"/>
      </w:divBdr>
    </w:div>
    <w:div w:id="154684591">
      <w:bodyDiv w:val="1"/>
      <w:marLeft w:val="0"/>
      <w:marRight w:val="0"/>
      <w:marTop w:val="0"/>
      <w:marBottom w:val="0"/>
      <w:divBdr>
        <w:top w:val="none" w:sz="0" w:space="0" w:color="auto"/>
        <w:left w:val="none" w:sz="0" w:space="0" w:color="auto"/>
        <w:bottom w:val="none" w:sz="0" w:space="0" w:color="auto"/>
        <w:right w:val="none" w:sz="0" w:space="0" w:color="auto"/>
      </w:divBdr>
    </w:div>
    <w:div w:id="163593892">
      <w:bodyDiv w:val="1"/>
      <w:marLeft w:val="0"/>
      <w:marRight w:val="0"/>
      <w:marTop w:val="0"/>
      <w:marBottom w:val="0"/>
      <w:divBdr>
        <w:top w:val="none" w:sz="0" w:space="0" w:color="auto"/>
        <w:left w:val="none" w:sz="0" w:space="0" w:color="auto"/>
        <w:bottom w:val="none" w:sz="0" w:space="0" w:color="auto"/>
        <w:right w:val="none" w:sz="0" w:space="0" w:color="auto"/>
      </w:divBdr>
    </w:div>
    <w:div w:id="171724438">
      <w:bodyDiv w:val="1"/>
      <w:marLeft w:val="0"/>
      <w:marRight w:val="0"/>
      <w:marTop w:val="0"/>
      <w:marBottom w:val="0"/>
      <w:divBdr>
        <w:top w:val="none" w:sz="0" w:space="0" w:color="auto"/>
        <w:left w:val="none" w:sz="0" w:space="0" w:color="auto"/>
        <w:bottom w:val="none" w:sz="0" w:space="0" w:color="auto"/>
        <w:right w:val="none" w:sz="0" w:space="0" w:color="auto"/>
      </w:divBdr>
    </w:div>
    <w:div w:id="183399606">
      <w:bodyDiv w:val="1"/>
      <w:marLeft w:val="0"/>
      <w:marRight w:val="0"/>
      <w:marTop w:val="0"/>
      <w:marBottom w:val="0"/>
      <w:divBdr>
        <w:top w:val="none" w:sz="0" w:space="0" w:color="auto"/>
        <w:left w:val="none" w:sz="0" w:space="0" w:color="auto"/>
        <w:bottom w:val="none" w:sz="0" w:space="0" w:color="auto"/>
        <w:right w:val="none" w:sz="0" w:space="0" w:color="auto"/>
      </w:divBdr>
    </w:div>
    <w:div w:id="184101373">
      <w:bodyDiv w:val="1"/>
      <w:marLeft w:val="0"/>
      <w:marRight w:val="0"/>
      <w:marTop w:val="0"/>
      <w:marBottom w:val="0"/>
      <w:divBdr>
        <w:top w:val="none" w:sz="0" w:space="0" w:color="auto"/>
        <w:left w:val="none" w:sz="0" w:space="0" w:color="auto"/>
        <w:bottom w:val="none" w:sz="0" w:space="0" w:color="auto"/>
        <w:right w:val="none" w:sz="0" w:space="0" w:color="auto"/>
      </w:divBdr>
    </w:div>
    <w:div w:id="188376037">
      <w:bodyDiv w:val="1"/>
      <w:marLeft w:val="0"/>
      <w:marRight w:val="0"/>
      <w:marTop w:val="0"/>
      <w:marBottom w:val="0"/>
      <w:divBdr>
        <w:top w:val="none" w:sz="0" w:space="0" w:color="auto"/>
        <w:left w:val="none" w:sz="0" w:space="0" w:color="auto"/>
        <w:bottom w:val="none" w:sz="0" w:space="0" w:color="auto"/>
        <w:right w:val="none" w:sz="0" w:space="0" w:color="auto"/>
      </w:divBdr>
    </w:div>
    <w:div w:id="191262131">
      <w:bodyDiv w:val="1"/>
      <w:marLeft w:val="0"/>
      <w:marRight w:val="0"/>
      <w:marTop w:val="0"/>
      <w:marBottom w:val="0"/>
      <w:divBdr>
        <w:top w:val="none" w:sz="0" w:space="0" w:color="auto"/>
        <w:left w:val="none" w:sz="0" w:space="0" w:color="auto"/>
        <w:bottom w:val="none" w:sz="0" w:space="0" w:color="auto"/>
        <w:right w:val="none" w:sz="0" w:space="0" w:color="auto"/>
      </w:divBdr>
    </w:div>
    <w:div w:id="192041465">
      <w:bodyDiv w:val="1"/>
      <w:marLeft w:val="0"/>
      <w:marRight w:val="0"/>
      <w:marTop w:val="0"/>
      <w:marBottom w:val="0"/>
      <w:divBdr>
        <w:top w:val="none" w:sz="0" w:space="0" w:color="auto"/>
        <w:left w:val="none" w:sz="0" w:space="0" w:color="auto"/>
        <w:bottom w:val="none" w:sz="0" w:space="0" w:color="auto"/>
        <w:right w:val="none" w:sz="0" w:space="0" w:color="auto"/>
      </w:divBdr>
    </w:div>
    <w:div w:id="194387622">
      <w:bodyDiv w:val="1"/>
      <w:marLeft w:val="0"/>
      <w:marRight w:val="0"/>
      <w:marTop w:val="0"/>
      <w:marBottom w:val="0"/>
      <w:divBdr>
        <w:top w:val="none" w:sz="0" w:space="0" w:color="auto"/>
        <w:left w:val="none" w:sz="0" w:space="0" w:color="auto"/>
        <w:bottom w:val="none" w:sz="0" w:space="0" w:color="auto"/>
        <w:right w:val="none" w:sz="0" w:space="0" w:color="auto"/>
      </w:divBdr>
    </w:div>
    <w:div w:id="195894881">
      <w:bodyDiv w:val="1"/>
      <w:marLeft w:val="0"/>
      <w:marRight w:val="0"/>
      <w:marTop w:val="0"/>
      <w:marBottom w:val="0"/>
      <w:divBdr>
        <w:top w:val="none" w:sz="0" w:space="0" w:color="auto"/>
        <w:left w:val="none" w:sz="0" w:space="0" w:color="auto"/>
        <w:bottom w:val="none" w:sz="0" w:space="0" w:color="auto"/>
        <w:right w:val="none" w:sz="0" w:space="0" w:color="auto"/>
      </w:divBdr>
    </w:div>
    <w:div w:id="196503548">
      <w:bodyDiv w:val="1"/>
      <w:marLeft w:val="0"/>
      <w:marRight w:val="0"/>
      <w:marTop w:val="0"/>
      <w:marBottom w:val="0"/>
      <w:divBdr>
        <w:top w:val="none" w:sz="0" w:space="0" w:color="auto"/>
        <w:left w:val="none" w:sz="0" w:space="0" w:color="auto"/>
        <w:bottom w:val="none" w:sz="0" w:space="0" w:color="auto"/>
        <w:right w:val="none" w:sz="0" w:space="0" w:color="auto"/>
      </w:divBdr>
    </w:div>
    <w:div w:id="197937014">
      <w:bodyDiv w:val="1"/>
      <w:marLeft w:val="0"/>
      <w:marRight w:val="0"/>
      <w:marTop w:val="0"/>
      <w:marBottom w:val="0"/>
      <w:divBdr>
        <w:top w:val="none" w:sz="0" w:space="0" w:color="auto"/>
        <w:left w:val="none" w:sz="0" w:space="0" w:color="auto"/>
        <w:bottom w:val="none" w:sz="0" w:space="0" w:color="auto"/>
        <w:right w:val="none" w:sz="0" w:space="0" w:color="auto"/>
      </w:divBdr>
    </w:div>
    <w:div w:id="200362270">
      <w:bodyDiv w:val="1"/>
      <w:marLeft w:val="0"/>
      <w:marRight w:val="0"/>
      <w:marTop w:val="0"/>
      <w:marBottom w:val="0"/>
      <w:divBdr>
        <w:top w:val="none" w:sz="0" w:space="0" w:color="auto"/>
        <w:left w:val="none" w:sz="0" w:space="0" w:color="auto"/>
        <w:bottom w:val="none" w:sz="0" w:space="0" w:color="auto"/>
        <w:right w:val="none" w:sz="0" w:space="0" w:color="auto"/>
      </w:divBdr>
    </w:div>
    <w:div w:id="205797960">
      <w:bodyDiv w:val="1"/>
      <w:marLeft w:val="0"/>
      <w:marRight w:val="0"/>
      <w:marTop w:val="0"/>
      <w:marBottom w:val="0"/>
      <w:divBdr>
        <w:top w:val="none" w:sz="0" w:space="0" w:color="auto"/>
        <w:left w:val="none" w:sz="0" w:space="0" w:color="auto"/>
        <w:bottom w:val="none" w:sz="0" w:space="0" w:color="auto"/>
        <w:right w:val="none" w:sz="0" w:space="0" w:color="auto"/>
      </w:divBdr>
    </w:div>
    <w:div w:id="212425795">
      <w:bodyDiv w:val="1"/>
      <w:marLeft w:val="0"/>
      <w:marRight w:val="0"/>
      <w:marTop w:val="0"/>
      <w:marBottom w:val="0"/>
      <w:divBdr>
        <w:top w:val="none" w:sz="0" w:space="0" w:color="auto"/>
        <w:left w:val="none" w:sz="0" w:space="0" w:color="auto"/>
        <w:bottom w:val="none" w:sz="0" w:space="0" w:color="auto"/>
        <w:right w:val="none" w:sz="0" w:space="0" w:color="auto"/>
      </w:divBdr>
    </w:div>
    <w:div w:id="212691725">
      <w:bodyDiv w:val="1"/>
      <w:marLeft w:val="0"/>
      <w:marRight w:val="0"/>
      <w:marTop w:val="0"/>
      <w:marBottom w:val="0"/>
      <w:divBdr>
        <w:top w:val="none" w:sz="0" w:space="0" w:color="auto"/>
        <w:left w:val="none" w:sz="0" w:space="0" w:color="auto"/>
        <w:bottom w:val="none" w:sz="0" w:space="0" w:color="auto"/>
        <w:right w:val="none" w:sz="0" w:space="0" w:color="auto"/>
      </w:divBdr>
    </w:div>
    <w:div w:id="212738180">
      <w:bodyDiv w:val="1"/>
      <w:marLeft w:val="0"/>
      <w:marRight w:val="0"/>
      <w:marTop w:val="0"/>
      <w:marBottom w:val="0"/>
      <w:divBdr>
        <w:top w:val="none" w:sz="0" w:space="0" w:color="auto"/>
        <w:left w:val="none" w:sz="0" w:space="0" w:color="auto"/>
        <w:bottom w:val="none" w:sz="0" w:space="0" w:color="auto"/>
        <w:right w:val="none" w:sz="0" w:space="0" w:color="auto"/>
      </w:divBdr>
    </w:div>
    <w:div w:id="215821497">
      <w:bodyDiv w:val="1"/>
      <w:marLeft w:val="0"/>
      <w:marRight w:val="0"/>
      <w:marTop w:val="0"/>
      <w:marBottom w:val="0"/>
      <w:divBdr>
        <w:top w:val="none" w:sz="0" w:space="0" w:color="auto"/>
        <w:left w:val="none" w:sz="0" w:space="0" w:color="auto"/>
        <w:bottom w:val="none" w:sz="0" w:space="0" w:color="auto"/>
        <w:right w:val="none" w:sz="0" w:space="0" w:color="auto"/>
      </w:divBdr>
    </w:div>
    <w:div w:id="216818876">
      <w:bodyDiv w:val="1"/>
      <w:marLeft w:val="0"/>
      <w:marRight w:val="0"/>
      <w:marTop w:val="0"/>
      <w:marBottom w:val="0"/>
      <w:divBdr>
        <w:top w:val="none" w:sz="0" w:space="0" w:color="auto"/>
        <w:left w:val="none" w:sz="0" w:space="0" w:color="auto"/>
        <w:bottom w:val="none" w:sz="0" w:space="0" w:color="auto"/>
        <w:right w:val="none" w:sz="0" w:space="0" w:color="auto"/>
      </w:divBdr>
    </w:div>
    <w:div w:id="217788974">
      <w:bodyDiv w:val="1"/>
      <w:marLeft w:val="0"/>
      <w:marRight w:val="0"/>
      <w:marTop w:val="0"/>
      <w:marBottom w:val="0"/>
      <w:divBdr>
        <w:top w:val="none" w:sz="0" w:space="0" w:color="auto"/>
        <w:left w:val="none" w:sz="0" w:space="0" w:color="auto"/>
        <w:bottom w:val="none" w:sz="0" w:space="0" w:color="auto"/>
        <w:right w:val="none" w:sz="0" w:space="0" w:color="auto"/>
      </w:divBdr>
    </w:div>
    <w:div w:id="224802491">
      <w:bodyDiv w:val="1"/>
      <w:marLeft w:val="0"/>
      <w:marRight w:val="0"/>
      <w:marTop w:val="0"/>
      <w:marBottom w:val="0"/>
      <w:divBdr>
        <w:top w:val="none" w:sz="0" w:space="0" w:color="auto"/>
        <w:left w:val="none" w:sz="0" w:space="0" w:color="auto"/>
        <w:bottom w:val="none" w:sz="0" w:space="0" w:color="auto"/>
        <w:right w:val="none" w:sz="0" w:space="0" w:color="auto"/>
      </w:divBdr>
    </w:div>
    <w:div w:id="228813488">
      <w:bodyDiv w:val="1"/>
      <w:marLeft w:val="0"/>
      <w:marRight w:val="0"/>
      <w:marTop w:val="0"/>
      <w:marBottom w:val="0"/>
      <w:divBdr>
        <w:top w:val="none" w:sz="0" w:space="0" w:color="auto"/>
        <w:left w:val="none" w:sz="0" w:space="0" w:color="auto"/>
        <w:bottom w:val="none" w:sz="0" w:space="0" w:color="auto"/>
        <w:right w:val="none" w:sz="0" w:space="0" w:color="auto"/>
      </w:divBdr>
    </w:div>
    <w:div w:id="233978621">
      <w:bodyDiv w:val="1"/>
      <w:marLeft w:val="0"/>
      <w:marRight w:val="0"/>
      <w:marTop w:val="0"/>
      <w:marBottom w:val="0"/>
      <w:divBdr>
        <w:top w:val="none" w:sz="0" w:space="0" w:color="auto"/>
        <w:left w:val="none" w:sz="0" w:space="0" w:color="auto"/>
        <w:bottom w:val="none" w:sz="0" w:space="0" w:color="auto"/>
        <w:right w:val="none" w:sz="0" w:space="0" w:color="auto"/>
      </w:divBdr>
    </w:div>
    <w:div w:id="236943739">
      <w:bodyDiv w:val="1"/>
      <w:marLeft w:val="0"/>
      <w:marRight w:val="0"/>
      <w:marTop w:val="0"/>
      <w:marBottom w:val="0"/>
      <w:divBdr>
        <w:top w:val="none" w:sz="0" w:space="0" w:color="auto"/>
        <w:left w:val="none" w:sz="0" w:space="0" w:color="auto"/>
        <w:bottom w:val="none" w:sz="0" w:space="0" w:color="auto"/>
        <w:right w:val="none" w:sz="0" w:space="0" w:color="auto"/>
      </w:divBdr>
    </w:div>
    <w:div w:id="237402756">
      <w:bodyDiv w:val="1"/>
      <w:marLeft w:val="0"/>
      <w:marRight w:val="0"/>
      <w:marTop w:val="0"/>
      <w:marBottom w:val="0"/>
      <w:divBdr>
        <w:top w:val="none" w:sz="0" w:space="0" w:color="auto"/>
        <w:left w:val="none" w:sz="0" w:space="0" w:color="auto"/>
        <w:bottom w:val="none" w:sz="0" w:space="0" w:color="auto"/>
        <w:right w:val="none" w:sz="0" w:space="0" w:color="auto"/>
      </w:divBdr>
    </w:div>
    <w:div w:id="237980067">
      <w:bodyDiv w:val="1"/>
      <w:marLeft w:val="0"/>
      <w:marRight w:val="0"/>
      <w:marTop w:val="0"/>
      <w:marBottom w:val="0"/>
      <w:divBdr>
        <w:top w:val="none" w:sz="0" w:space="0" w:color="auto"/>
        <w:left w:val="none" w:sz="0" w:space="0" w:color="auto"/>
        <w:bottom w:val="none" w:sz="0" w:space="0" w:color="auto"/>
        <w:right w:val="none" w:sz="0" w:space="0" w:color="auto"/>
      </w:divBdr>
    </w:div>
    <w:div w:id="239363709">
      <w:bodyDiv w:val="1"/>
      <w:marLeft w:val="0"/>
      <w:marRight w:val="0"/>
      <w:marTop w:val="0"/>
      <w:marBottom w:val="0"/>
      <w:divBdr>
        <w:top w:val="none" w:sz="0" w:space="0" w:color="auto"/>
        <w:left w:val="none" w:sz="0" w:space="0" w:color="auto"/>
        <w:bottom w:val="none" w:sz="0" w:space="0" w:color="auto"/>
        <w:right w:val="none" w:sz="0" w:space="0" w:color="auto"/>
      </w:divBdr>
    </w:div>
    <w:div w:id="241257703">
      <w:bodyDiv w:val="1"/>
      <w:marLeft w:val="0"/>
      <w:marRight w:val="0"/>
      <w:marTop w:val="0"/>
      <w:marBottom w:val="0"/>
      <w:divBdr>
        <w:top w:val="none" w:sz="0" w:space="0" w:color="auto"/>
        <w:left w:val="none" w:sz="0" w:space="0" w:color="auto"/>
        <w:bottom w:val="none" w:sz="0" w:space="0" w:color="auto"/>
        <w:right w:val="none" w:sz="0" w:space="0" w:color="auto"/>
      </w:divBdr>
    </w:div>
    <w:div w:id="242222660">
      <w:bodyDiv w:val="1"/>
      <w:marLeft w:val="0"/>
      <w:marRight w:val="0"/>
      <w:marTop w:val="0"/>
      <w:marBottom w:val="0"/>
      <w:divBdr>
        <w:top w:val="none" w:sz="0" w:space="0" w:color="auto"/>
        <w:left w:val="none" w:sz="0" w:space="0" w:color="auto"/>
        <w:bottom w:val="none" w:sz="0" w:space="0" w:color="auto"/>
        <w:right w:val="none" w:sz="0" w:space="0" w:color="auto"/>
      </w:divBdr>
    </w:div>
    <w:div w:id="242878879">
      <w:bodyDiv w:val="1"/>
      <w:marLeft w:val="0"/>
      <w:marRight w:val="0"/>
      <w:marTop w:val="0"/>
      <w:marBottom w:val="0"/>
      <w:divBdr>
        <w:top w:val="none" w:sz="0" w:space="0" w:color="auto"/>
        <w:left w:val="none" w:sz="0" w:space="0" w:color="auto"/>
        <w:bottom w:val="none" w:sz="0" w:space="0" w:color="auto"/>
        <w:right w:val="none" w:sz="0" w:space="0" w:color="auto"/>
      </w:divBdr>
    </w:div>
    <w:div w:id="243609231">
      <w:bodyDiv w:val="1"/>
      <w:marLeft w:val="0"/>
      <w:marRight w:val="0"/>
      <w:marTop w:val="0"/>
      <w:marBottom w:val="0"/>
      <w:divBdr>
        <w:top w:val="none" w:sz="0" w:space="0" w:color="auto"/>
        <w:left w:val="none" w:sz="0" w:space="0" w:color="auto"/>
        <w:bottom w:val="none" w:sz="0" w:space="0" w:color="auto"/>
        <w:right w:val="none" w:sz="0" w:space="0" w:color="auto"/>
      </w:divBdr>
    </w:div>
    <w:div w:id="248731887">
      <w:bodyDiv w:val="1"/>
      <w:marLeft w:val="0"/>
      <w:marRight w:val="0"/>
      <w:marTop w:val="0"/>
      <w:marBottom w:val="0"/>
      <w:divBdr>
        <w:top w:val="none" w:sz="0" w:space="0" w:color="auto"/>
        <w:left w:val="none" w:sz="0" w:space="0" w:color="auto"/>
        <w:bottom w:val="none" w:sz="0" w:space="0" w:color="auto"/>
        <w:right w:val="none" w:sz="0" w:space="0" w:color="auto"/>
      </w:divBdr>
    </w:div>
    <w:div w:id="249659240">
      <w:bodyDiv w:val="1"/>
      <w:marLeft w:val="0"/>
      <w:marRight w:val="0"/>
      <w:marTop w:val="0"/>
      <w:marBottom w:val="0"/>
      <w:divBdr>
        <w:top w:val="none" w:sz="0" w:space="0" w:color="auto"/>
        <w:left w:val="none" w:sz="0" w:space="0" w:color="auto"/>
        <w:bottom w:val="none" w:sz="0" w:space="0" w:color="auto"/>
        <w:right w:val="none" w:sz="0" w:space="0" w:color="auto"/>
      </w:divBdr>
    </w:div>
    <w:div w:id="250552883">
      <w:bodyDiv w:val="1"/>
      <w:marLeft w:val="0"/>
      <w:marRight w:val="0"/>
      <w:marTop w:val="0"/>
      <w:marBottom w:val="0"/>
      <w:divBdr>
        <w:top w:val="none" w:sz="0" w:space="0" w:color="auto"/>
        <w:left w:val="none" w:sz="0" w:space="0" w:color="auto"/>
        <w:bottom w:val="none" w:sz="0" w:space="0" w:color="auto"/>
        <w:right w:val="none" w:sz="0" w:space="0" w:color="auto"/>
      </w:divBdr>
    </w:div>
    <w:div w:id="254557069">
      <w:bodyDiv w:val="1"/>
      <w:marLeft w:val="0"/>
      <w:marRight w:val="0"/>
      <w:marTop w:val="0"/>
      <w:marBottom w:val="0"/>
      <w:divBdr>
        <w:top w:val="none" w:sz="0" w:space="0" w:color="auto"/>
        <w:left w:val="none" w:sz="0" w:space="0" w:color="auto"/>
        <w:bottom w:val="none" w:sz="0" w:space="0" w:color="auto"/>
        <w:right w:val="none" w:sz="0" w:space="0" w:color="auto"/>
      </w:divBdr>
    </w:div>
    <w:div w:id="257953685">
      <w:bodyDiv w:val="1"/>
      <w:marLeft w:val="0"/>
      <w:marRight w:val="0"/>
      <w:marTop w:val="0"/>
      <w:marBottom w:val="0"/>
      <w:divBdr>
        <w:top w:val="none" w:sz="0" w:space="0" w:color="auto"/>
        <w:left w:val="none" w:sz="0" w:space="0" w:color="auto"/>
        <w:bottom w:val="none" w:sz="0" w:space="0" w:color="auto"/>
        <w:right w:val="none" w:sz="0" w:space="0" w:color="auto"/>
      </w:divBdr>
    </w:div>
    <w:div w:id="258684198">
      <w:bodyDiv w:val="1"/>
      <w:marLeft w:val="0"/>
      <w:marRight w:val="0"/>
      <w:marTop w:val="0"/>
      <w:marBottom w:val="0"/>
      <w:divBdr>
        <w:top w:val="none" w:sz="0" w:space="0" w:color="auto"/>
        <w:left w:val="none" w:sz="0" w:space="0" w:color="auto"/>
        <w:bottom w:val="none" w:sz="0" w:space="0" w:color="auto"/>
        <w:right w:val="none" w:sz="0" w:space="0" w:color="auto"/>
      </w:divBdr>
    </w:div>
    <w:div w:id="260795541">
      <w:bodyDiv w:val="1"/>
      <w:marLeft w:val="0"/>
      <w:marRight w:val="0"/>
      <w:marTop w:val="0"/>
      <w:marBottom w:val="0"/>
      <w:divBdr>
        <w:top w:val="none" w:sz="0" w:space="0" w:color="auto"/>
        <w:left w:val="none" w:sz="0" w:space="0" w:color="auto"/>
        <w:bottom w:val="none" w:sz="0" w:space="0" w:color="auto"/>
        <w:right w:val="none" w:sz="0" w:space="0" w:color="auto"/>
      </w:divBdr>
    </w:div>
    <w:div w:id="261492663">
      <w:bodyDiv w:val="1"/>
      <w:marLeft w:val="0"/>
      <w:marRight w:val="0"/>
      <w:marTop w:val="0"/>
      <w:marBottom w:val="0"/>
      <w:divBdr>
        <w:top w:val="none" w:sz="0" w:space="0" w:color="auto"/>
        <w:left w:val="none" w:sz="0" w:space="0" w:color="auto"/>
        <w:bottom w:val="none" w:sz="0" w:space="0" w:color="auto"/>
        <w:right w:val="none" w:sz="0" w:space="0" w:color="auto"/>
      </w:divBdr>
    </w:div>
    <w:div w:id="265233523">
      <w:bodyDiv w:val="1"/>
      <w:marLeft w:val="0"/>
      <w:marRight w:val="0"/>
      <w:marTop w:val="0"/>
      <w:marBottom w:val="0"/>
      <w:divBdr>
        <w:top w:val="none" w:sz="0" w:space="0" w:color="auto"/>
        <w:left w:val="none" w:sz="0" w:space="0" w:color="auto"/>
        <w:bottom w:val="none" w:sz="0" w:space="0" w:color="auto"/>
        <w:right w:val="none" w:sz="0" w:space="0" w:color="auto"/>
      </w:divBdr>
    </w:div>
    <w:div w:id="265310913">
      <w:bodyDiv w:val="1"/>
      <w:marLeft w:val="0"/>
      <w:marRight w:val="0"/>
      <w:marTop w:val="0"/>
      <w:marBottom w:val="0"/>
      <w:divBdr>
        <w:top w:val="none" w:sz="0" w:space="0" w:color="auto"/>
        <w:left w:val="none" w:sz="0" w:space="0" w:color="auto"/>
        <w:bottom w:val="none" w:sz="0" w:space="0" w:color="auto"/>
        <w:right w:val="none" w:sz="0" w:space="0" w:color="auto"/>
      </w:divBdr>
    </w:div>
    <w:div w:id="266546210">
      <w:bodyDiv w:val="1"/>
      <w:marLeft w:val="0"/>
      <w:marRight w:val="0"/>
      <w:marTop w:val="0"/>
      <w:marBottom w:val="0"/>
      <w:divBdr>
        <w:top w:val="none" w:sz="0" w:space="0" w:color="auto"/>
        <w:left w:val="none" w:sz="0" w:space="0" w:color="auto"/>
        <w:bottom w:val="none" w:sz="0" w:space="0" w:color="auto"/>
        <w:right w:val="none" w:sz="0" w:space="0" w:color="auto"/>
      </w:divBdr>
    </w:div>
    <w:div w:id="266698135">
      <w:bodyDiv w:val="1"/>
      <w:marLeft w:val="0"/>
      <w:marRight w:val="0"/>
      <w:marTop w:val="0"/>
      <w:marBottom w:val="0"/>
      <w:divBdr>
        <w:top w:val="none" w:sz="0" w:space="0" w:color="auto"/>
        <w:left w:val="none" w:sz="0" w:space="0" w:color="auto"/>
        <w:bottom w:val="none" w:sz="0" w:space="0" w:color="auto"/>
        <w:right w:val="none" w:sz="0" w:space="0" w:color="auto"/>
      </w:divBdr>
    </w:div>
    <w:div w:id="267934565">
      <w:bodyDiv w:val="1"/>
      <w:marLeft w:val="0"/>
      <w:marRight w:val="0"/>
      <w:marTop w:val="0"/>
      <w:marBottom w:val="0"/>
      <w:divBdr>
        <w:top w:val="none" w:sz="0" w:space="0" w:color="auto"/>
        <w:left w:val="none" w:sz="0" w:space="0" w:color="auto"/>
        <w:bottom w:val="none" w:sz="0" w:space="0" w:color="auto"/>
        <w:right w:val="none" w:sz="0" w:space="0" w:color="auto"/>
      </w:divBdr>
    </w:div>
    <w:div w:id="268663682">
      <w:bodyDiv w:val="1"/>
      <w:marLeft w:val="0"/>
      <w:marRight w:val="0"/>
      <w:marTop w:val="0"/>
      <w:marBottom w:val="0"/>
      <w:divBdr>
        <w:top w:val="none" w:sz="0" w:space="0" w:color="auto"/>
        <w:left w:val="none" w:sz="0" w:space="0" w:color="auto"/>
        <w:bottom w:val="none" w:sz="0" w:space="0" w:color="auto"/>
        <w:right w:val="none" w:sz="0" w:space="0" w:color="auto"/>
      </w:divBdr>
    </w:div>
    <w:div w:id="268969555">
      <w:bodyDiv w:val="1"/>
      <w:marLeft w:val="0"/>
      <w:marRight w:val="0"/>
      <w:marTop w:val="0"/>
      <w:marBottom w:val="0"/>
      <w:divBdr>
        <w:top w:val="none" w:sz="0" w:space="0" w:color="auto"/>
        <w:left w:val="none" w:sz="0" w:space="0" w:color="auto"/>
        <w:bottom w:val="none" w:sz="0" w:space="0" w:color="auto"/>
        <w:right w:val="none" w:sz="0" w:space="0" w:color="auto"/>
      </w:divBdr>
    </w:div>
    <w:div w:id="271940370">
      <w:bodyDiv w:val="1"/>
      <w:marLeft w:val="0"/>
      <w:marRight w:val="0"/>
      <w:marTop w:val="0"/>
      <w:marBottom w:val="0"/>
      <w:divBdr>
        <w:top w:val="none" w:sz="0" w:space="0" w:color="auto"/>
        <w:left w:val="none" w:sz="0" w:space="0" w:color="auto"/>
        <w:bottom w:val="none" w:sz="0" w:space="0" w:color="auto"/>
        <w:right w:val="none" w:sz="0" w:space="0" w:color="auto"/>
      </w:divBdr>
    </w:div>
    <w:div w:id="272590685">
      <w:bodyDiv w:val="1"/>
      <w:marLeft w:val="0"/>
      <w:marRight w:val="0"/>
      <w:marTop w:val="0"/>
      <w:marBottom w:val="0"/>
      <w:divBdr>
        <w:top w:val="none" w:sz="0" w:space="0" w:color="auto"/>
        <w:left w:val="none" w:sz="0" w:space="0" w:color="auto"/>
        <w:bottom w:val="none" w:sz="0" w:space="0" w:color="auto"/>
        <w:right w:val="none" w:sz="0" w:space="0" w:color="auto"/>
      </w:divBdr>
    </w:div>
    <w:div w:id="272981197">
      <w:bodyDiv w:val="1"/>
      <w:marLeft w:val="0"/>
      <w:marRight w:val="0"/>
      <w:marTop w:val="0"/>
      <w:marBottom w:val="0"/>
      <w:divBdr>
        <w:top w:val="none" w:sz="0" w:space="0" w:color="auto"/>
        <w:left w:val="none" w:sz="0" w:space="0" w:color="auto"/>
        <w:bottom w:val="none" w:sz="0" w:space="0" w:color="auto"/>
        <w:right w:val="none" w:sz="0" w:space="0" w:color="auto"/>
      </w:divBdr>
    </w:div>
    <w:div w:id="280308652">
      <w:bodyDiv w:val="1"/>
      <w:marLeft w:val="0"/>
      <w:marRight w:val="0"/>
      <w:marTop w:val="0"/>
      <w:marBottom w:val="0"/>
      <w:divBdr>
        <w:top w:val="none" w:sz="0" w:space="0" w:color="auto"/>
        <w:left w:val="none" w:sz="0" w:space="0" w:color="auto"/>
        <w:bottom w:val="none" w:sz="0" w:space="0" w:color="auto"/>
        <w:right w:val="none" w:sz="0" w:space="0" w:color="auto"/>
      </w:divBdr>
    </w:div>
    <w:div w:id="284586777">
      <w:bodyDiv w:val="1"/>
      <w:marLeft w:val="0"/>
      <w:marRight w:val="0"/>
      <w:marTop w:val="0"/>
      <w:marBottom w:val="0"/>
      <w:divBdr>
        <w:top w:val="none" w:sz="0" w:space="0" w:color="auto"/>
        <w:left w:val="none" w:sz="0" w:space="0" w:color="auto"/>
        <w:bottom w:val="none" w:sz="0" w:space="0" w:color="auto"/>
        <w:right w:val="none" w:sz="0" w:space="0" w:color="auto"/>
      </w:divBdr>
    </w:div>
    <w:div w:id="291327917">
      <w:bodyDiv w:val="1"/>
      <w:marLeft w:val="0"/>
      <w:marRight w:val="0"/>
      <w:marTop w:val="0"/>
      <w:marBottom w:val="0"/>
      <w:divBdr>
        <w:top w:val="none" w:sz="0" w:space="0" w:color="auto"/>
        <w:left w:val="none" w:sz="0" w:space="0" w:color="auto"/>
        <w:bottom w:val="none" w:sz="0" w:space="0" w:color="auto"/>
        <w:right w:val="none" w:sz="0" w:space="0" w:color="auto"/>
      </w:divBdr>
    </w:div>
    <w:div w:id="296839387">
      <w:bodyDiv w:val="1"/>
      <w:marLeft w:val="0"/>
      <w:marRight w:val="0"/>
      <w:marTop w:val="0"/>
      <w:marBottom w:val="0"/>
      <w:divBdr>
        <w:top w:val="none" w:sz="0" w:space="0" w:color="auto"/>
        <w:left w:val="none" w:sz="0" w:space="0" w:color="auto"/>
        <w:bottom w:val="none" w:sz="0" w:space="0" w:color="auto"/>
        <w:right w:val="none" w:sz="0" w:space="0" w:color="auto"/>
      </w:divBdr>
    </w:div>
    <w:div w:id="305164060">
      <w:bodyDiv w:val="1"/>
      <w:marLeft w:val="0"/>
      <w:marRight w:val="0"/>
      <w:marTop w:val="0"/>
      <w:marBottom w:val="0"/>
      <w:divBdr>
        <w:top w:val="none" w:sz="0" w:space="0" w:color="auto"/>
        <w:left w:val="none" w:sz="0" w:space="0" w:color="auto"/>
        <w:bottom w:val="none" w:sz="0" w:space="0" w:color="auto"/>
        <w:right w:val="none" w:sz="0" w:space="0" w:color="auto"/>
      </w:divBdr>
    </w:div>
    <w:div w:id="306277429">
      <w:bodyDiv w:val="1"/>
      <w:marLeft w:val="0"/>
      <w:marRight w:val="0"/>
      <w:marTop w:val="0"/>
      <w:marBottom w:val="0"/>
      <w:divBdr>
        <w:top w:val="none" w:sz="0" w:space="0" w:color="auto"/>
        <w:left w:val="none" w:sz="0" w:space="0" w:color="auto"/>
        <w:bottom w:val="none" w:sz="0" w:space="0" w:color="auto"/>
        <w:right w:val="none" w:sz="0" w:space="0" w:color="auto"/>
      </w:divBdr>
    </w:div>
    <w:div w:id="306864785">
      <w:bodyDiv w:val="1"/>
      <w:marLeft w:val="0"/>
      <w:marRight w:val="0"/>
      <w:marTop w:val="0"/>
      <w:marBottom w:val="0"/>
      <w:divBdr>
        <w:top w:val="none" w:sz="0" w:space="0" w:color="auto"/>
        <w:left w:val="none" w:sz="0" w:space="0" w:color="auto"/>
        <w:bottom w:val="none" w:sz="0" w:space="0" w:color="auto"/>
        <w:right w:val="none" w:sz="0" w:space="0" w:color="auto"/>
      </w:divBdr>
    </w:div>
    <w:div w:id="308050058">
      <w:bodyDiv w:val="1"/>
      <w:marLeft w:val="0"/>
      <w:marRight w:val="0"/>
      <w:marTop w:val="0"/>
      <w:marBottom w:val="0"/>
      <w:divBdr>
        <w:top w:val="none" w:sz="0" w:space="0" w:color="auto"/>
        <w:left w:val="none" w:sz="0" w:space="0" w:color="auto"/>
        <w:bottom w:val="none" w:sz="0" w:space="0" w:color="auto"/>
        <w:right w:val="none" w:sz="0" w:space="0" w:color="auto"/>
      </w:divBdr>
    </w:div>
    <w:div w:id="311100535">
      <w:bodyDiv w:val="1"/>
      <w:marLeft w:val="0"/>
      <w:marRight w:val="0"/>
      <w:marTop w:val="0"/>
      <w:marBottom w:val="0"/>
      <w:divBdr>
        <w:top w:val="none" w:sz="0" w:space="0" w:color="auto"/>
        <w:left w:val="none" w:sz="0" w:space="0" w:color="auto"/>
        <w:bottom w:val="none" w:sz="0" w:space="0" w:color="auto"/>
        <w:right w:val="none" w:sz="0" w:space="0" w:color="auto"/>
      </w:divBdr>
    </w:div>
    <w:div w:id="311717289">
      <w:bodyDiv w:val="1"/>
      <w:marLeft w:val="0"/>
      <w:marRight w:val="0"/>
      <w:marTop w:val="0"/>
      <w:marBottom w:val="0"/>
      <w:divBdr>
        <w:top w:val="none" w:sz="0" w:space="0" w:color="auto"/>
        <w:left w:val="none" w:sz="0" w:space="0" w:color="auto"/>
        <w:bottom w:val="none" w:sz="0" w:space="0" w:color="auto"/>
        <w:right w:val="none" w:sz="0" w:space="0" w:color="auto"/>
      </w:divBdr>
    </w:div>
    <w:div w:id="311906804">
      <w:bodyDiv w:val="1"/>
      <w:marLeft w:val="0"/>
      <w:marRight w:val="0"/>
      <w:marTop w:val="0"/>
      <w:marBottom w:val="0"/>
      <w:divBdr>
        <w:top w:val="none" w:sz="0" w:space="0" w:color="auto"/>
        <w:left w:val="none" w:sz="0" w:space="0" w:color="auto"/>
        <w:bottom w:val="none" w:sz="0" w:space="0" w:color="auto"/>
        <w:right w:val="none" w:sz="0" w:space="0" w:color="auto"/>
      </w:divBdr>
    </w:div>
    <w:div w:id="312372856">
      <w:bodyDiv w:val="1"/>
      <w:marLeft w:val="0"/>
      <w:marRight w:val="0"/>
      <w:marTop w:val="0"/>
      <w:marBottom w:val="0"/>
      <w:divBdr>
        <w:top w:val="none" w:sz="0" w:space="0" w:color="auto"/>
        <w:left w:val="none" w:sz="0" w:space="0" w:color="auto"/>
        <w:bottom w:val="none" w:sz="0" w:space="0" w:color="auto"/>
        <w:right w:val="none" w:sz="0" w:space="0" w:color="auto"/>
      </w:divBdr>
    </w:div>
    <w:div w:id="313074643">
      <w:bodyDiv w:val="1"/>
      <w:marLeft w:val="0"/>
      <w:marRight w:val="0"/>
      <w:marTop w:val="0"/>
      <w:marBottom w:val="0"/>
      <w:divBdr>
        <w:top w:val="none" w:sz="0" w:space="0" w:color="auto"/>
        <w:left w:val="none" w:sz="0" w:space="0" w:color="auto"/>
        <w:bottom w:val="none" w:sz="0" w:space="0" w:color="auto"/>
        <w:right w:val="none" w:sz="0" w:space="0" w:color="auto"/>
      </w:divBdr>
    </w:div>
    <w:div w:id="314840912">
      <w:bodyDiv w:val="1"/>
      <w:marLeft w:val="0"/>
      <w:marRight w:val="0"/>
      <w:marTop w:val="0"/>
      <w:marBottom w:val="0"/>
      <w:divBdr>
        <w:top w:val="none" w:sz="0" w:space="0" w:color="auto"/>
        <w:left w:val="none" w:sz="0" w:space="0" w:color="auto"/>
        <w:bottom w:val="none" w:sz="0" w:space="0" w:color="auto"/>
        <w:right w:val="none" w:sz="0" w:space="0" w:color="auto"/>
      </w:divBdr>
    </w:div>
    <w:div w:id="320742595">
      <w:bodyDiv w:val="1"/>
      <w:marLeft w:val="0"/>
      <w:marRight w:val="0"/>
      <w:marTop w:val="0"/>
      <w:marBottom w:val="0"/>
      <w:divBdr>
        <w:top w:val="none" w:sz="0" w:space="0" w:color="auto"/>
        <w:left w:val="none" w:sz="0" w:space="0" w:color="auto"/>
        <w:bottom w:val="none" w:sz="0" w:space="0" w:color="auto"/>
        <w:right w:val="none" w:sz="0" w:space="0" w:color="auto"/>
      </w:divBdr>
    </w:div>
    <w:div w:id="323242685">
      <w:bodyDiv w:val="1"/>
      <w:marLeft w:val="0"/>
      <w:marRight w:val="0"/>
      <w:marTop w:val="0"/>
      <w:marBottom w:val="0"/>
      <w:divBdr>
        <w:top w:val="none" w:sz="0" w:space="0" w:color="auto"/>
        <w:left w:val="none" w:sz="0" w:space="0" w:color="auto"/>
        <w:bottom w:val="none" w:sz="0" w:space="0" w:color="auto"/>
        <w:right w:val="none" w:sz="0" w:space="0" w:color="auto"/>
      </w:divBdr>
    </w:div>
    <w:div w:id="326371740">
      <w:bodyDiv w:val="1"/>
      <w:marLeft w:val="0"/>
      <w:marRight w:val="0"/>
      <w:marTop w:val="0"/>
      <w:marBottom w:val="0"/>
      <w:divBdr>
        <w:top w:val="none" w:sz="0" w:space="0" w:color="auto"/>
        <w:left w:val="none" w:sz="0" w:space="0" w:color="auto"/>
        <w:bottom w:val="none" w:sz="0" w:space="0" w:color="auto"/>
        <w:right w:val="none" w:sz="0" w:space="0" w:color="auto"/>
      </w:divBdr>
    </w:div>
    <w:div w:id="326517174">
      <w:bodyDiv w:val="1"/>
      <w:marLeft w:val="0"/>
      <w:marRight w:val="0"/>
      <w:marTop w:val="0"/>
      <w:marBottom w:val="0"/>
      <w:divBdr>
        <w:top w:val="none" w:sz="0" w:space="0" w:color="auto"/>
        <w:left w:val="none" w:sz="0" w:space="0" w:color="auto"/>
        <w:bottom w:val="none" w:sz="0" w:space="0" w:color="auto"/>
        <w:right w:val="none" w:sz="0" w:space="0" w:color="auto"/>
      </w:divBdr>
    </w:div>
    <w:div w:id="331180724">
      <w:bodyDiv w:val="1"/>
      <w:marLeft w:val="0"/>
      <w:marRight w:val="0"/>
      <w:marTop w:val="0"/>
      <w:marBottom w:val="0"/>
      <w:divBdr>
        <w:top w:val="none" w:sz="0" w:space="0" w:color="auto"/>
        <w:left w:val="none" w:sz="0" w:space="0" w:color="auto"/>
        <w:bottom w:val="none" w:sz="0" w:space="0" w:color="auto"/>
        <w:right w:val="none" w:sz="0" w:space="0" w:color="auto"/>
      </w:divBdr>
    </w:div>
    <w:div w:id="341705861">
      <w:bodyDiv w:val="1"/>
      <w:marLeft w:val="0"/>
      <w:marRight w:val="0"/>
      <w:marTop w:val="0"/>
      <w:marBottom w:val="0"/>
      <w:divBdr>
        <w:top w:val="none" w:sz="0" w:space="0" w:color="auto"/>
        <w:left w:val="none" w:sz="0" w:space="0" w:color="auto"/>
        <w:bottom w:val="none" w:sz="0" w:space="0" w:color="auto"/>
        <w:right w:val="none" w:sz="0" w:space="0" w:color="auto"/>
      </w:divBdr>
    </w:div>
    <w:div w:id="344290176">
      <w:bodyDiv w:val="1"/>
      <w:marLeft w:val="0"/>
      <w:marRight w:val="0"/>
      <w:marTop w:val="0"/>
      <w:marBottom w:val="0"/>
      <w:divBdr>
        <w:top w:val="none" w:sz="0" w:space="0" w:color="auto"/>
        <w:left w:val="none" w:sz="0" w:space="0" w:color="auto"/>
        <w:bottom w:val="none" w:sz="0" w:space="0" w:color="auto"/>
        <w:right w:val="none" w:sz="0" w:space="0" w:color="auto"/>
      </w:divBdr>
    </w:div>
    <w:div w:id="344792102">
      <w:bodyDiv w:val="1"/>
      <w:marLeft w:val="0"/>
      <w:marRight w:val="0"/>
      <w:marTop w:val="0"/>
      <w:marBottom w:val="0"/>
      <w:divBdr>
        <w:top w:val="none" w:sz="0" w:space="0" w:color="auto"/>
        <w:left w:val="none" w:sz="0" w:space="0" w:color="auto"/>
        <w:bottom w:val="none" w:sz="0" w:space="0" w:color="auto"/>
        <w:right w:val="none" w:sz="0" w:space="0" w:color="auto"/>
      </w:divBdr>
    </w:div>
    <w:div w:id="345252026">
      <w:bodyDiv w:val="1"/>
      <w:marLeft w:val="0"/>
      <w:marRight w:val="0"/>
      <w:marTop w:val="0"/>
      <w:marBottom w:val="0"/>
      <w:divBdr>
        <w:top w:val="none" w:sz="0" w:space="0" w:color="auto"/>
        <w:left w:val="none" w:sz="0" w:space="0" w:color="auto"/>
        <w:bottom w:val="none" w:sz="0" w:space="0" w:color="auto"/>
        <w:right w:val="none" w:sz="0" w:space="0" w:color="auto"/>
      </w:divBdr>
    </w:div>
    <w:div w:id="349332321">
      <w:bodyDiv w:val="1"/>
      <w:marLeft w:val="0"/>
      <w:marRight w:val="0"/>
      <w:marTop w:val="0"/>
      <w:marBottom w:val="0"/>
      <w:divBdr>
        <w:top w:val="none" w:sz="0" w:space="0" w:color="auto"/>
        <w:left w:val="none" w:sz="0" w:space="0" w:color="auto"/>
        <w:bottom w:val="none" w:sz="0" w:space="0" w:color="auto"/>
        <w:right w:val="none" w:sz="0" w:space="0" w:color="auto"/>
      </w:divBdr>
    </w:div>
    <w:div w:id="351155534">
      <w:bodyDiv w:val="1"/>
      <w:marLeft w:val="0"/>
      <w:marRight w:val="0"/>
      <w:marTop w:val="0"/>
      <w:marBottom w:val="0"/>
      <w:divBdr>
        <w:top w:val="none" w:sz="0" w:space="0" w:color="auto"/>
        <w:left w:val="none" w:sz="0" w:space="0" w:color="auto"/>
        <w:bottom w:val="none" w:sz="0" w:space="0" w:color="auto"/>
        <w:right w:val="none" w:sz="0" w:space="0" w:color="auto"/>
      </w:divBdr>
    </w:div>
    <w:div w:id="358090362">
      <w:bodyDiv w:val="1"/>
      <w:marLeft w:val="0"/>
      <w:marRight w:val="0"/>
      <w:marTop w:val="0"/>
      <w:marBottom w:val="0"/>
      <w:divBdr>
        <w:top w:val="none" w:sz="0" w:space="0" w:color="auto"/>
        <w:left w:val="none" w:sz="0" w:space="0" w:color="auto"/>
        <w:bottom w:val="none" w:sz="0" w:space="0" w:color="auto"/>
        <w:right w:val="none" w:sz="0" w:space="0" w:color="auto"/>
      </w:divBdr>
    </w:div>
    <w:div w:id="362823872">
      <w:bodyDiv w:val="1"/>
      <w:marLeft w:val="0"/>
      <w:marRight w:val="0"/>
      <w:marTop w:val="0"/>
      <w:marBottom w:val="0"/>
      <w:divBdr>
        <w:top w:val="none" w:sz="0" w:space="0" w:color="auto"/>
        <w:left w:val="none" w:sz="0" w:space="0" w:color="auto"/>
        <w:bottom w:val="none" w:sz="0" w:space="0" w:color="auto"/>
        <w:right w:val="none" w:sz="0" w:space="0" w:color="auto"/>
      </w:divBdr>
    </w:div>
    <w:div w:id="371156672">
      <w:bodyDiv w:val="1"/>
      <w:marLeft w:val="0"/>
      <w:marRight w:val="0"/>
      <w:marTop w:val="0"/>
      <w:marBottom w:val="0"/>
      <w:divBdr>
        <w:top w:val="none" w:sz="0" w:space="0" w:color="auto"/>
        <w:left w:val="none" w:sz="0" w:space="0" w:color="auto"/>
        <w:bottom w:val="none" w:sz="0" w:space="0" w:color="auto"/>
        <w:right w:val="none" w:sz="0" w:space="0" w:color="auto"/>
      </w:divBdr>
    </w:div>
    <w:div w:id="388500834">
      <w:bodyDiv w:val="1"/>
      <w:marLeft w:val="0"/>
      <w:marRight w:val="0"/>
      <w:marTop w:val="0"/>
      <w:marBottom w:val="0"/>
      <w:divBdr>
        <w:top w:val="none" w:sz="0" w:space="0" w:color="auto"/>
        <w:left w:val="none" w:sz="0" w:space="0" w:color="auto"/>
        <w:bottom w:val="none" w:sz="0" w:space="0" w:color="auto"/>
        <w:right w:val="none" w:sz="0" w:space="0" w:color="auto"/>
      </w:divBdr>
    </w:div>
    <w:div w:id="391006335">
      <w:bodyDiv w:val="1"/>
      <w:marLeft w:val="0"/>
      <w:marRight w:val="0"/>
      <w:marTop w:val="0"/>
      <w:marBottom w:val="0"/>
      <w:divBdr>
        <w:top w:val="none" w:sz="0" w:space="0" w:color="auto"/>
        <w:left w:val="none" w:sz="0" w:space="0" w:color="auto"/>
        <w:bottom w:val="none" w:sz="0" w:space="0" w:color="auto"/>
        <w:right w:val="none" w:sz="0" w:space="0" w:color="auto"/>
      </w:divBdr>
    </w:div>
    <w:div w:id="392120369">
      <w:bodyDiv w:val="1"/>
      <w:marLeft w:val="0"/>
      <w:marRight w:val="0"/>
      <w:marTop w:val="0"/>
      <w:marBottom w:val="0"/>
      <w:divBdr>
        <w:top w:val="none" w:sz="0" w:space="0" w:color="auto"/>
        <w:left w:val="none" w:sz="0" w:space="0" w:color="auto"/>
        <w:bottom w:val="none" w:sz="0" w:space="0" w:color="auto"/>
        <w:right w:val="none" w:sz="0" w:space="0" w:color="auto"/>
      </w:divBdr>
    </w:div>
    <w:div w:id="392702963">
      <w:bodyDiv w:val="1"/>
      <w:marLeft w:val="0"/>
      <w:marRight w:val="0"/>
      <w:marTop w:val="0"/>
      <w:marBottom w:val="0"/>
      <w:divBdr>
        <w:top w:val="none" w:sz="0" w:space="0" w:color="auto"/>
        <w:left w:val="none" w:sz="0" w:space="0" w:color="auto"/>
        <w:bottom w:val="none" w:sz="0" w:space="0" w:color="auto"/>
        <w:right w:val="none" w:sz="0" w:space="0" w:color="auto"/>
      </w:divBdr>
    </w:div>
    <w:div w:id="394819971">
      <w:bodyDiv w:val="1"/>
      <w:marLeft w:val="0"/>
      <w:marRight w:val="0"/>
      <w:marTop w:val="0"/>
      <w:marBottom w:val="0"/>
      <w:divBdr>
        <w:top w:val="none" w:sz="0" w:space="0" w:color="auto"/>
        <w:left w:val="none" w:sz="0" w:space="0" w:color="auto"/>
        <w:bottom w:val="none" w:sz="0" w:space="0" w:color="auto"/>
        <w:right w:val="none" w:sz="0" w:space="0" w:color="auto"/>
      </w:divBdr>
    </w:div>
    <w:div w:id="395323560">
      <w:bodyDiv w:val="1"/>
      <w:marLeft w:val="0"/>
      <w:marRight w:val="0"/>
      <w:marTop w:val="0"/>
      <w:marBottom w:val="0"/>
      <w:divBdr>
        <w:top w:val="none" w:sz="0" w:space="0" w:color="auto"/>
        <w:left w:val="none" w:sz="0" w:space="0" w:color="auto"/>
        <w:bottom w:val="none" w:sz="0" w:space="0" w:color="auto"/>
        <w:right w:val="none" w:sz="0" w:space="0" w:color="auto"/>
      </w:divBdr>
    </w:div>
    <w:div w:id="395475843">
      <w:bodyDiv w:val="1"/>
      <w:marLeft w:val="0"/>
      <w:marRight w:val="0"/>
      <w:marTop w:val="0"/>
      <w:marBottom w:val="0"/>
      <w:divBdr>
        <w:top w:val="none" w:sz="0" w:space="0" w:color="auto"/>
        <w:left w:val="none" w:sz="0" w:space="0" w:color="auto"/>
        <w:bottom w:val="none" w:sz="0" w:space="0" w:color="auto"/>
        <w:right w:val="none" w:sz="0" w:space="0" w:color="auto"/>
      </w:divBdr>
    </w:div>
    <w:div w:id="404424984">
      <w:bodyDiv w:val="1"/>
      <w:marLeft w:val="0"/>
      <w:marRight w:val="0"/>
      <w:marTop w:val="0"/>
      <w:marBottom w:val="0"/>
      <w:divBdr>
        <w:top w:val="none" w:sz="0" w:space="0" w:color="auto"/>
        <w:left w:val="none" w:sz="0" w:space="0" w:color="auto"/>
        <w:bottom w:val="none" w:sz="0" w:space="0" w:color="auto"/>
        <w:right w:val="none" w:sz="0" w:space="0" w:color="auto"/>
      </w:divBdr>
    </w:div>
    <w:div w:id="404839127">
      <w:bodyDiv w:val="1"/>
      <w:marLeft w:val="0"/>
      <w:marRight w:val="0"/>
      <w:marTop w:val="0"/>
      <w:marBottom w:val="0"/>
      <w:divBdr>
        <w:top w:val="none" w:sz="0" w:space="0" w:color="auto"/>
        <w:left w:val="none" w:sz="0" w:space="0" w:color="auto"/>
        <w:bottom w:val="none" w:sz="0" w:space="0" w:color="auto"/>
        <w:right w:val="none" w:sz="0" w:space="0" w:color="auto"/>
      </w:divBdr>
    </w:div>
    <w:div w:id="405417830">
      <w:bodyDiv w:val="1"/>
      <w:marLeft w:val="0"/>
      <w:marRight w:val="0"/>
      <w:marTop w:val="0"/>
      <w:marBottom w:val="0"/>
      <w:divBdr>
        <w:top w:val="none" w:sz="0" w:space="0" w:color="auto"/>
        <w:left w:val="none" w:sz="0" w:space="0" w:color="auto"/>
        <w:bottom w:val="none" w:sz="0" w:space="0" w:color="auto"/>
        <w:right w:val="none" w:sz="0" w:space="0" w:color="auto"/>
      </w:divBdr>
    </w:div>
    <w:div w:id="407265061">
      <w:bodyDiv w:val="1"/>
      <w:marLeft w:val="0"/>
      <w:marRight w:val="0"/>
      <w:marTop w:val="0"/>
      <w:marBottom w:val="0"/>
      <w:divBdr>
        <w:top w:val="none" w:sz="0" w:space="0" w:color="auto"/>
        <w:left w:val="none" w:sz="0" w:space="0" w:color="auto"/>
        <w:bottom w:val="none" w:sz="0" w:space="0" w:color="auto"/>
        <w:right w:val="none" w:sz="0" w:space="0" w:color="auto"/>
      </w:divBdr>
    </w:div>
    <w:div w:id="420569280">
      <w:bodyDiv w:val="1"/>
      <w:marLeft w:val="0"/>
      <w:marRight w:val="0"/>
      <w:marTop w:val="0"/>
      <w:marBottom w:val="0"/>
      <w:divBdr>
        <w:top w:val="none" w:sz="0" w:space="0" w:color="auto"/>
        <w:left w:val="none" w:sz="0" w:space="0" w:color="auto"/>
        <w:bottom w:val="none" w:sz="0" w:space="0" w:color="auto"/>
        <w:right w:val="none" w:sz="0" w:space="0" w:color="auto"/>
      </w:divBdr>
    </w:div>
    <w:div w:id="421688900">
      <w:bodyDiv w:val="1"/>
      <w:marLeft w:val="0"/>
      <w:marRight w:val="0"/>
      <w:marTop w:val="0"/>
      <w:marBottom w:val="0"/>
      <w:divBdr>
        <w:top w:val="none" w:sz="0" w:space="0" w:color="auto"/>
        <w:left w:val="none" w:sz="0" w:space="0" w:color="auto"/>
        <w:bottom w:val="none" w:sz="0" w:space="0" w:color="auto"/>
        <w:right w:val="none" w:sz="0" w:space="0" w:color="auto"/>
      </w:divBdr>
    </w:div>
    <w:div w:id="422646913">
      <w:bodyDiv w:val="1"/>
      <w:marLeft w:val="0"/>
      <w:marRight w:val="0"/>
      <w:marTop w:val="0"/>
      <w:marBottom w:val="0"/>
      <w:divBdr>
        <w:top w:val="none" w:sz="0" w:space="0" w:color="auto"/>
        <w:left w:val="none" w:sz="0" w:space="0" w:color="auto"/>
        <w:bottom w:val="none" w:sz="0" w:space="0" w:color="auto"/>
        <w:right w:val="none" w:sz="0" w:space="0" w:color="auto"/>
      </w:divBdr>
    </w:div>
    <w:div w:id="424545369">
      <w:bodyDiv w:val="1"/>
      <w:marLeft w:val="0"/>
      <w:marRight w:val="0"/>
      <w:marTop w:val="0"/>
      <w:marBottom w:val="0"/>
      <w:divBdr>
        <w:top w:val="none" w:sz="0" w:space="0" w:color="auto"/>
        <w:left w:val="none" w:sz="0" w:space="0" w:color="auto"/>
        <w:bottom w:val="none" w:sz="0" w:space="0" w:color="auto"/>
        <w:right w:val="none" w:sz="0" w:space="0" w:color="auto"/>
      </w:divBdr>
    </w:div>
    <w:div w:id="429549211">
      <w:bodyDiv w:val="1"/>
      <w:marLeft w:val="0"/>
      <w:marRight w:val="0"/>
      <w:marTop w:val="0"/>
      <w:marBottom w:val="0"/>
      <w:divBdr>
        <w:top w:val="none" w:sz="0" w:space="0" w:color="auto"/>
        <w:left w:val="none" w:sz="0" w:space="0" w:color="auto"/>
        <w:bottom w:val="none" w:sz="0" w:space="0" w:color="auto"/>
        <w:right w:val="none" w:sz="0" w:space="0" w:color="auto"/>
      </w:divBdr>
    </w:div>
    <w:div w:id="433477219">
      <w:bodyDiv w:val="1"/>
      <w:marLeft w:val="0"/>
      <w:marRight w:val="0"/>
      <w:marTop w:val="0"/>
      <w:marBottom w:val="0"/>
      <w:divBdr>
        <w:top w:val="none" w:sz="0" w:space="0" w:color="auto"/>
        <w:left w:val="none" w:sz="0" w:space="0" w:color="auto"/>
        <w:bottom w:val="none" w:sz="0" w:space="0" w:color="auto"/>
        <w:right w:val="none" w:sz="0" w:space="0" w:color="auto"/>
      </w:divBdr>
    </w:div>
    <w:div w:id="437526227">
      <w:bodyDiv w:val="1"/>
      <w:marLeft w:val="0"/>
      <w:marRight w:val="0"/>
      <w:marTop w:val="0"/>
      <w:marBottom w:val="0"/>
      <w:divBdr>
        <w:top w:val="none" w:sz="0" w:space="0" w:color="auto"/>
        <w:left w:val="none" w:sz="0" w:space="0" w:color="auto"/>
        <w:bottom w:val="none" w:sz="0" w:space="0" w:color="auto"/>
        <w:right w:val="none" w:sz="0" w:space="0" w:color="auto"/>
      </w:divBdr>
    </w:div>
    <w:div w:id="441413390">
      <w:bodyDiv w:val="1"/>
      <w:marLeft w:val="0"/>
      <w:marRight w:val="0"/>
      <w:marTop w:val="0"/>
      <w:marBottom w:val="0"/>
      <w:divBdr>
        <w:top w:val="none" w:sz="0" w:space="0" w:color="auto"/>
        <w:left w:val="none" w:sz="0" w:space="0" w:color="auto"/>
        <w:bottom w:val="none" w:sz="0" w:space="0" w:color="auto"/>
        <w:right w:val="none" w:sz="0" w:space="0" w:color="auto"/>
      </w:divBdr>
    </w:div>
    <w:div w:id="443622882">
      <w:bodyDiv w:val="1"/>
      <w:marLeft w:val="0"/>
      <w:marRight w:val="0"/>
      <w:marTop w:val="0"/>
      <w:marBottom w:val="0"/>
      <w:divBdr>
        <w:top w:val="none" w:sz="0" w:space="0" w:color="auto"/>
        <w:left w:val="none" w:sz="0" w:space="0" w:color="auto"/>
        <w:bottom w:val="none" w:sz="0" w:space="0" w:color="auto"/>
        <w:right w:val="none" w:sz="0" w:space="0" w:color="auto"/>
      </w:divBdr>
    </w:div>
    <w:div w:id="443816090">
      <w:bodyDiv w:val="1"/>
      <w:marLeft w:val="0"/>
      <w:marRight w:val="0"/>
      <w:marTop w:val="0"/>
      <w:marBottom w:val="0"/>
      <w:divBdr>
        <w:top w:val="none" w:sz="0" w:space="0" w:color="auto"/>
        <w:left w:val="none" w:sz="0" w:space="0" w:color="auto"/>
        <w:bottom w:val="none" w:sz="0" w:space="0" w:color="auto"/>
        <w:right w:val="none" w:sz="0" w:space="0" w:color="auto"/>
      </w:divBdr>
    </w:div>
    <w:div w:id="455678944">
      <w:bodyDiv w:val="1"/>
      <w:marLeft w:val="0"/>
      <w:marRight w:val="0"/>
      <w:marTop w:val="0"/>
      <w:marBottom w:val="0"/>
      <w:divBdr>
        <w:top w:val="none" w:sz="0" w:space="0" w:color="auto"/>
        <w:left w:val="none" w:sz="0" w:space="0" w:color="auto"/>
        <w:bottom w:val="none" w:sz="0" w:space="0" w:color="auto"/>
        <w:right w:val="none" w:sz="0" w:space="0" w:color="auto"/>
      </w:divBdr>
    </w:div>
    <w:div w:id="461845322">
      <w:bodyDiv w:val="1"/>
      <w:marLeft w:val="0"/>
      <w:marRight w:val="0"/>
      <w:marTop w:val="0"/>
      <w:marBottom w:val="0"/>
      <w:divBdr>
        <w:top w:val="none" w:sz="0" w:space="0" w:color="auto"/>
        <w:left w:val="none" w:sz="0" w:space="0" w:color="auto"/>
        <w:bottom w:val="none" w:sz="0" w:space="0" w:color="auto"/>
        <w:right w:val="none" w:sz="0" w:space="0" w:color="auto"/>
      </w:divBdr>
    </w:div>
    <w:div w:id="471219840">
      <w:bodyDiv w:val="1"/>
      <w:marLeft w:val="0"/>
      <w:marRight w:val="0"/>
      <w:marTop w:val="0"/>
      <w:marBottom w:val="0"/>
      <w:divBdr>
        <w:top w:val="none" w:sz="0" w:space="0" w:color="auto"/>
        <w:left w:val="none" w:sz="0" w:space="0" w:color="auto"/>
        <w:bottom w:val="none" w:sz="0" w:space="0" w:color="auto"/>
        <w:right w:val="none" w:sz="0" w:space="0" w:color="auto"/>
      </w:divBdr>
    </w:div>
    <w:div w:id="474883028">
      <w:bodyDiv w:val="1"/>
      <w:marLeft w:val="0"/>
      <w:marRight w:val="0"/>
      <w:marTop w:val="0"/>
      <w:marBottom w:val="0"/>
      <w:divBdr>
        <w:top w:val="none" w:sz="0" w:space="0" w:color="auto"/>
        <w:left w:val="none" w:sz="0" w:space="0" w:color="auto"/>
        <w:bottom w:val="none" w:sz="0" w:space="0" w:color="auto"/>
        <w:right w:val="none" w:sz="0" w:space="0" w:color="auto"/>
      </w:divBdr>
    </w:div>
    <w:div w:id="474883578">
      <w:bodyDiv w:val="1"/>
      <w:marLeft w:val="0"/>
      <w:marRight w:val="0"/>
      <w:marTop w:val="0"/>
      <w:marBottom w:val="0"/>
      <w:divBdr>
        <w:top w:val="none" w:sz="0" w:space="0" w:color="auto"/>
        <w:left w:val="none" w:sz="0" w:space="0" w:color="auto"/>
        <w:bottom w:val="none" w:sz="0" w:space="0" w:color="auto"/>
        <w:right w:val="none" w:sz="0" w:space="0" w:color="auto"/>
      </w:divBdr>
    </w:div>
    <w:div w:id="475268163">
      <w:bodyDiv w:val="1"/>
      <w:marLeft w:val="0"/>
      <w:marRight w:val="0"/>
      <w:marTop w:val="0"/>
      <w:marBottom w:val="0"/>
      <w:divBdr>
        <w:top w:val="none" w:sz="0" w:space="0" w:color="auto"/>
        <w:left w:val="none" w:sz="0" w:space="0" w:color="auto"/>
        <w:bottom w:val="none" w:sz="0" w:space="0" w:color="auto"/>
        <w:right w:val="none" w:sz="0" w:space="0" w:color="auto"/>
      </w:divBdr>
    </w:div>
    <w:div w:id="475991188">
      <w:bodyDiv w:val="1"/>
      <w:marLeft w:val="0"/>
      <w:marRight w:val="0"/>
      <w:marTop w:val="0"/>
      <w:marBottom w:val="0"/>
      <w:divBdr>
        <w:top w:val="none" w:sz="0" w:space="0" w:color="auto"/>
        <w:left w:val="none" w:sz="0" w:space="0" w:color="auto"/>
        <w:bottom w:val="none" w:sz="0" w:space="0" w:color="auto"/>
        <w:right w:val="none" w:sz="0" w:space="0" w:color="auto"/>
      </w:divBdr>
    </w:div>
    <w:div w:id="482048651">
      <w:bodyDiv w:val="1"/>
      <w:marLeft w:val="0"/>
      <w:marRight w:val="0"/>
      <w:marTop w:val="0"/>
      <w:marBottom w:val="0"/>
      <w:divBdr>
        <w:top w:val="none" w:sz="0" w:space="0" w:color="auto"/>
        <w:left w:val="none" w:sz="0" w:space="0" w:color="auto"/>
        <w:bottom w:val="none" w:sz="0" w:space="0" w:color="auto"/>
        <w:right w:val="none" w:sz="0" w:space="0" w:color="auto"/>
      </w:divBdr>
    </w:div>
    <w:div w:id="485822906">
      <w:bodyDiv w:val="1"/>
      <w:marLeft w:val="0"/>
      <w:marRight w:val="0"/>
      <w:marTop w:val="0"/>
      <w:marBottom w:val="0"/>
      <w:divBdr>
        <w:top w:val="none" w:sz="0" w:space="0" w:color="auto"/>
        <w:left w:val="none" w:sz="0" w:space="0" w:color="auto"/>
        <w:bottom w:val="none" w:sz="0" w:space="0" w:color="auto"/>
        <w:right w:val="none" w:sz="0" w:space="0" w:color="auto"/>
      </w:divBdr>
    </w:div>
    <w:div w:id="487401047">
      <w:bodyDiv w:val="1"/>
      <w:marLeft w:val="0"/>
      <w:marRight w:val="0"/>
      <w:marTop w:val="0"/>
      <w:marBottom w:val="0"/>
      <w:divBdr>
        <w:top w:val="none" w:sz="0" w:space="0" w:color="auto"/>
        <w:left w:val="none" w:sz="0" w:space="0" w:color="auto"/>
        <w:bottom w:val="none" w:sz="0" w:space="0" w:color="auto"/>
        <w:right w:val="none" w:sz="0" w:space="0" w:color="auto"/>
      </w:divBdr>
    </w:div>
    <w:div w:id="489445490">
      <w:bodyDiv w:val="1"/>
      <w:marLeft w:val="0"/>
      <w:marRight w:val="0"/>
      <w:marTop w:val="0"/>
      <w:marBottom w:val="0"/>
      <w:divBdr>
        <w:top w:val="none" w:sz="0" w:space="0" w:color="auto"/>
        <w:left w:val="none" w:sz="0" w:space="0" w:color="auto"/>
        <w:bottom w:val="none" w:sz="0" w:space="0" w:color="auto"/>
        <w:right w:val="none" w:sz="0" w:space="0" w:color="auto"/>
      </w:divBdr>
    </w:div>
    <w:div w:id="496843686">
      <w:bodyDiv w:val="1"/>
      <w:marLeft w:val="0"/>
      <w:marRight w:val="0"/>
      <w:marTop w:val="0"/>
      <w:marBottom w:val="0"/>
      <w:divBdr>
        <w:top w:val="none" w:sz="0" w:space="0" w:color="auto"/>
        <w:left w:val="none" w:sz="0" w:space="0" w:color="auto"/>
        <w:bottom w:val="none" w:sz="0" w:space="0" w:color="auto"/>
        <w:right w:val="none" w:sz="0" w:space="0" w:color="auto"/>
      </w:divBdr>
    </w:div>
    <w:div w:id="498816814">
      <w:bodyDiv w:val="1"/>
      <w:marLeft w:val="0"/>
      <w:marRight w:val="0"/>
      <w:marTop w:val="0"/>
      <w:marBottom w:val="0"/>
      <w:divBdr>
        <w:top w:val="none" w:sz="0" w:space="0" w:color="auto"/>
        <w:left w:val="none" w:sz="0" w:space="0" w:color="auto"/>
        <w:bottom w:val="none" w:sz="0" w:space="0" w:color="auto"/>
        <w:right w:val="none" w:sz="0" w:space="0" w:color="auto"/>
      </w:divBdr>
    </w:div>
    <w:div w:id="503059250">
      <w:bodyDiv w:val="1"/>
      <w:marLeft w:val="0"/>
      <w:marRight w:val="0"/>
      <w:marTop w:val="0"/>
      <w:marBottom w:val="0"/>
      <w:divBdr>
        <w:top w:val="none" w:sz="0" w:space="0" w:color="auto"/>
        <w:left w:val="none" w:sz="0" w:space="0" w:color="auto"/>
        <w:bottom w:val="none" w:sz="0" w:space="0" w:color="auto"/>
        <w:right w:val="none" w:sz="0" w:space="0" w:color="auto"/>
      </w:divBdr>
    </w:div>
    <w:div w:id="504252292">
      <w:bodyDiv w:val="1"/>
      <w:marLeft w:val="0"/>
      <w:marRight w:val="0"/>
      <w:marTop w:val="0"/>
      <w:marBottom w:val="0"/>
      <w:divBdr>
        <w:top w:val="none" w:sz="0" w:space="0" w:color="auto"/>
        <w:left w:val="none" w:sz="0" w:space="0" w:color="auto"/>
        <w:bottom w:val="none" w:sz="0" w:space="0" w:color="auto"/>
        <w:right w:val="none" w:sz="0" w:space="0" w:color="auto"/>
      </w:divBdr>
    </w:div>
    <w:div w:id="508445201">
      <w:bodyDiv w:val="1"/>
      <w:marLeft w:val="0"/>
      <w:marRight w:val="0"/>
      <w:marTop w:val="0"/>
      <w:marBottom w:val="0"/>
      <w:divBdr>
        <w:top w:val="none" w:sz="0" w:space="0" w:color="auto"/>
        <w:left w:val="none" w:sz="0" w:space="0" w:color="auto"/>
        <w:bottom w:val="none" w:sz="0" w:space="0" w:color="auto"/>
        <w:right w:val="none" w:sz="0" w:space="0" w:color="auto"/>
      </w:divBdr>
    </w:div>
    <w:div w:id="509368551">
      <w:bodyDiv w:val="1"/>
      <w:marLeft w:val="0"/>
      <w:marRight w:val="0"/>
      <w:marTop w:val="0"/>
      <w:marBottom w:val="0"/>
      <w:divBdr>
        <w:top w:val="none" w:sz="0" w:space="0" w:color="auto"/>
        <w:left w:val="none" w:sz="0" w:space="0" w:color="auto"/>
        <w:bottom w:val="none" w:sz="0" w:space="0" w:color="auto"/>
        <w:right w:val="none" w:sz="0" w:space="0" w:color="auto"/>
      </w:divBdr>
    </w:div>
    <w:div w:id="511186356">
      <w:bodyDiv w:val="1"/>
      <w:marLeft w:val="0"/>
      <w:marRight w:val="0"/>
      <w:marTop w:val="0"/>
      <w:marBottom w:val="0"/>
      <w:divBdr>
        <w:top w:val="none" w:sz="0" w:space="0" w:color="auto"/>
        <w:left w:val="none" w:sz="0" w:space="0" w:color="auto"/>
        <w:bottom w:val="none" w:sz="0" w:space="0" w:color="auto"/>
        <w:right w:val="none" w:sz="0" w:space="0" w:color="auto"/>
      </w:divBdr>
    </w:div>
    <w:div w:id="513111591">
      <w:bodyDiv w:val="1"/>
      <w:marLeft w:val="0"/>
      <w:marRight w:val="0"/>
      <w:marTop w:val="0"/>
      <w:marBottom w:val="0"/>
      <w:divBdr>
        <w:top w:val="none" w:sz="0" w:space="0" w:color="auto"/>
        <w:left w:val="none" w:sz="0" w:space="0" w:color="auto"/>
        <w:bottom w:val="none" w:sz="0" w:space="0" w:color="auto"/>
        <w:right w:val="none" w:sz="0" w:space="0" w:color="auto"/>
      </w:divBdr>
    </w:div>
    <w:div w:id="513349118">
      <w:bodyDiv w:val="1"/>
      <w:marLeft w:val="0"/>
      <w:marRight w:val="0"/>
      <w:marTop w:val="0"/>
      <w:marBottom w:val="0"/>
      <w:divBdr>
        <w:top w:val="none" w:sz="0" w:space="0" w:color="auto"/>
        <w:left w:val="none" w:sz="0" w:space="0" w:color="auto"/>
        <w:bottom w:val="none" w:sz="0" w:space="0" w:color="auto"/>
        <w:right w:val="none" w:sz="0" w:space="0" w:color="auto"/>
      </w:divBdr>
    </w:div>
    <w:div w:id="518855176">
      <w:bodyDiv w:val="1"/>
      <w:marLeft w:val="0"/>
      <w:marRight w:val="0"/>
      <w:marTop w:val="0"/>
      <w:marBottom w:val="0"/>
      <w:divBdr>
        <w:top w:val="none" w:sz="0" w:space="0" w:color="auto"/>
        <w:left w:val="none" w:sz="0" w:space="0" w:color="auto"/>
        <w:bottom w:val="none" w:sz="0" w:space="0" w:color="auto"/>
        <w:right w:val="none" w:sz="0" w:space="0" w:color="auto"/>
      </w:divBdr>
    </w:div>
    <w:div w:id="524757928">
      <w:bodyDiv w:val="1"/>
      <w:marLeft w:val="0"/>
      <w:marRight w:val="0"/>
      <w:marTop w:val="0"/>
      <w:marBottom w:val="0"/>
      <w:divBdr>
        <w:top w:val="none" w:sz="0" w:space="0" w:color="auto"/>
        <w:left w:val="none" w:sz="0" w:space="0" w:color="auto"/>
        <w:bottom w:val="none" w:sz="0" w:space="0" w:color="auto"/>
        <w:right w:val="none" w:sz="0" w:space="0" w:color="auto"/>
      </w:divBdr>
    </w:div>
    <w:div w:id="527833819">
      <w:bodyDiv w:val="1"/>
      <w:marLeft w:val="0"/>
      <w:marRight w:val="0"/>
      <w:marTop w:val="0"/>
      <w:marBottom w:val="0"/>
      <w:divBdr>
        <w:top w:val="none" w:sz="0" w:space="0" w:color="auto"/>
        <w:left w:val="none" w:sz="0" w:space="0" w:color="auto"/>
        <w:bottom w:val="none" w:sz="0" w:space="0" w:color="auto"/>
        <w:right w:val="none" w:sz="0" w:space="0" w:color="auto"/>
      </w:divBdr>
    </w:div>
    <w:div w:id="528371555">
      <w:bodyDiv w:val="1"/>
      <w:marLeft w:val="0"/>
      <w:marRight w:val="0"/>
      <w:marTop w:val="0"/>
      <w:marBottom w:val="0"/>
      <w:divBdr>
        <w:top w:val="none" w:sz="0" w:space="0" w:color="auto"/>
        <w:left w:val="none" w:sz="0" w:space="0" w:color="auto"/>
        <w:bottom w:val="none" w:sz="0" w:space="0" w:color="auto"/>
        <w:right w:val="none" w:sz="0" w:space="0" w:color="auto"/>
      </w:divBdr>
    </w:div>
    <w:div w:id="533074937">
      <w:bodyDiv w:val="1"/>
      <w:marLeft w:val="0"/>
      <w:marRight w:val="0"/>
      <w:marTop w:val="0"/>
      <w:marBottom w:val="0"/>
      <w:divBdr>
        <w:top w:val="none" w:sz="0" w:space="0" w:color="auto"/>
        <w:left w:val="none" w:sz="0" w:space="0" w:color="auto"/>
        <w:bottom w:val="none" w:sz="0" w:space="0" w:color="auto"/>
        <w:right w:val="none" w:sz="0" w:space="0" w:color="auto"/>
      </w:divBdr>
    </w:div>
    <w:div w:id="536822210">
      <w:bodyDiv w:val="1"/>
      <w:marLeft w:val="0"/>
      <w:marRight w:val="0"/>
      <w:marTop w:val="0"/>
      <w:marBottom w:val="0"/>
      <w:divBdr>
        <w:top w:val="none" w:sz="0" w:space="0" w:color="auto"/>
        <w:left w:val="none" w:sz="0" w:space="0" w:color="auto"/>
        <w:bottom w:val="none" w:sz="0" w:space="0" w:color="auto"/>
        <w:right w:val="none" w:sz="0" w:space="0" w:color="auto"/>
      </w:divBdr>
    </w:div>
    <w:div w:id="538515719">
      <w:bodyDiv w:val="1"/>
      <w:marLeft w:val="0"/>
      <w:marRight w:val="0"/>
      <w:marTop w:val="0"/>
      <w:marBottom w:val="0"/>
      <w:divBdr>
        <w:top w:val="none" w:sz="0" w:space="0" w:color="auto"/>
        <w:left w:val="none" w:sz="0" w:space="0" w:color="auto"/>
        <w:bottom w:val="none" w:sz="0" w:space="0" w:color="auto"/>
        <w:right w:val="none" w:sz="0" w:space="0" w:color="auto"/>
      </w:divBdr>
    </w:div>
    <w:div w:id="542909918">
      <w:bodyDiv w:val="1"/>
      <w:marLeft w:val="0"/>
      <w:marRight w:val="0"/>
      <w:marTop w:val="0"/>
      <w:marBottom w:val="0"/>
      <w:divBdr>
        <w:top w:val="none" w:sz="0" w:space="0" w:color="auto"/>
        <w:left w:val="none" w:sz="0" w:space="0" w:color="auto"/>
        <w:bottom w:val="none" w:sz="0" w:space="0" w:color="auto"/>
        <w:right w:val="none" w:sz="0" w:space="0" w:color="auto"/>
      </w:divBdr>
    </w:div>
    <w:div w:id="545020966">
      <w:bodyDiv w:val="1"/>
      <w:marLeft w:val="0"/>
      <w:marRight w:val="0"/>
      <w:marTop w:val="0"/>
      <w:marBottom w:val="0"/>
      <w:divBdr>
        <w:top w:val="none" w:sz="0" w:space="0" w:color="auto"/>
        <w:left w:val="none" w:sz="0" w:space="0" w:color="auto"/>
        <w:bottom w:val="none" w:sz="0" w:space="0" w:color="auto"/>
        <w:right w:val="none" w:sz="0" w:space="0" w:color="auto"/>
      </w:divBdr>
    </w:div>
    <w:div w:id="547764295">
      <w:bodyDiv w:val="1"/>
      <w:marLeft w:val="0"/>
      <w:marRight w:val="0"/>
      <w:marTop w:val="0"/>
      <w:marBottom w:val="0"/>
      <w:divBdr>
        <w:top w:val="none" w:sz="0" w:space="0" w:color="auto"/>
        <w:left w:val="none" w:sz="0" w:space="0" w:color="auto"/>
        <w:bottom w:val="none" w:sz="0" w:space="0" w:color="auto"/>
        <w:right w:val="none" w:sz="0" w:space="0" w:color="auto"/>
      </w:divBdr>
    </w:div>
    <w:div w:id="548692229">
      <w:bodyDiv w:val="1"/>
      <w:marLeft w:val="0"/>
      <w:marRight w:val="0"/>
      <w:marTop w:val="0"/>
      <w:marBottom w:val="0"/>
      <w:divBdr>
        <w:top w:val="none" w:sz="0" w:space="0" w:color="auto"/>
        <w:left w:val="none" w:sz="0" w:space="0" w:color="auto"/>
        <w:bottom w:val="none" w:sz="0" w:space="0" w:color="auto"/>
        <w:right w:val="none" w:sz="0" w:space="0" w:color="auto"/>
      </w:divBdr>
    </w:div>
    <w:div w:id="554894395">
      <w:bodyDiv w:val="1"/>
      <w:marLeft w:val="0"/>
      <w:marRight w:val="0"/>
      <w:marTop w:val="0"/>
      <w:marBottom w:val="0"/>
      <w:divBdr>
        <w:top w:val="none" w:sz="0" w:space="0" w:color="auto"/>
        <w:left w:val="none" w:sz="0" w:space="0" w:color="auto"/>
        <w:bottom w:val="none" w:sz="0" w:space="0" w:color="auto"/>
        <w:right w:val="none" w:sz="0" w:space="0" w:color="auto"/>
      </w:divBdr>
    </w:div>
    <w:div w:id="564029306">
      <w:bodyDiv w:val="1"/>
      <w:marLeft w:val="0"/>
      <w:marRight w:val="0"/>
      <w:marTop w:val="0"/>
      <w:marBottom w:val="0"/>
      <w:divBdr>
        <w:top w:val="none" w:sz="0" w:space="0" w:color="auto"/>
        <w:left w:val="none" w:sz="0" w:space="0" w:color="auto"/>
        <w:bottom w:val="none" w:sz="0" w:space="0" w:color="auto"/>
        <w:right w:val="none" w:sz="0" w:space="0" w:color="auto"/>
      </w:divBdr>
    </w:div>
    <w:div w:id="568735878">
      <w:bodyDiv w:val="1"/>
      <w:marLeft w:val="0"/>
      <w:marRight w:val="0"/>
      <w:marTop w:val="0"/>
      <w:marBottom w:val="0"/>
      <w:divBdr>
        <w:top w:val="none" w:sz="0" w:space="0" w:color="auto"/>
        <w:left w:val="none" w:sz="0" w:space="0" w:color="auto"/>
        <w:bottom w:val="none" w:sz="0" w:space="0" w:color="auto"/>
        <w:right w:val="none" w:sz="0" w:space="0" w:color="auto"/>
      </w:divBdr>
    </w:div>
    <w:div w:id="569579216">
      <w:bodyDiv w:val="1"/>
      <w:marLeft w:val="0"/>
      <w:marRight w:val="0"/>
      <w:marTop w:val="0"/>
      <w:marBottom w:val="0"/>
      <w:divBdr>
        <w:top w:val="none" w:sz="0" w:space="0" w:color="auto"/>
        <w:left w:val="none" w:sz="0" w:space="0" w:color="auto"/>
        <w:bottom w:val="none" w:sz="0" w:space="0" w:color="auto"/>
        <w:right w:val="none" w:sz="0" w:space="0" w:color="auto"/>
      </w:divBdr>
    </w:div>
    <w:div w:id="569929865">
      <w:bodyDiv w:val="1"/>
      <w:marLeft w:val="0"/>
      <w:marRight w:val="0"/>
      <w:marTop w:val="0"/>
      <w:marBottom w:val="0"/>
      <w:divBdr>
        <w:top w:val="none" w:sz="0" w:space="0" w:color="auto"/>
        <w:left w:val="none" w:sz="0" w:space="0" w:color="auto"/>
        <w:bottom w:val="none" w:sz="0" w:space="0" w:color="auto"/>
        <w:right w:val="none" w:sz="0" w:space="0" w:color="auto"/>
      </w:divBdr>
    </w:div>
    <w:div w:id="572933577">
      <w:bodyDiv w:val="1"/>
      <w:marLeft w:val="0"/>
      <w:marRight w:val="0"/>
      <w:marTop w:val="0"/>
      <w:marBottom w:val="0"/>
      <w:divBdr>
        <w:top w:val="none" w:sz="0" w:space="0" w:color="auto"/>
        <w:left w:val="none" w:sz="0" w:space="0" w:color="auto"/>
        <w:bottom w:val="none" w:sz="0" w:space="0" w:color="auto"/>
        <w:right w:val="none" w:sz="0" w:space="0" w:color="auto"/>
      </w:divBdr>
    </w:div>
    <w:div w:id="574751907">
      <w:bodyDiv w:val="1"/>
      <w:marLeft w:val="0"/>
      <w:marRight w:val="0"/>
      <w:marTop w:val="0"/>
      <w:marBottom w:val="0"/>
      <w:divBdr>
        <w:top w:val="none" w:sz="0" w:space="0" w:color="auto"/>
        <w:left w:val="none" w:sz="0" w:space="0" w:color="auto"/>
        <w:bottom w:val="none" w:sz="0" w:space="0" w:color="auto"/>
        <w:right w:val="none" w:sz="0" w:space="0" w:color="auto"/>
      </w:divBdr>
    </w:div>
    <w:div w:id="576213464">
      <w:bodyDiv w:val="1"/>
      <w:marLeft w:val="0"/>
      <w:marRight w:val="0"/>
      <w:marTop w:val="0"/>
      <w:marBottom w:val="0"/>
      <w:divBdr>
        <w:top w:val="none" w:sz="0" w:space="0" w:color="auto"/>
        <w:left w:val="none" w:sz="0" w:space="0" w:color="auto"/>
        <w:bottom w:val="none" w:sz="0" w:space="0" w:color="auto"/>
        <w:right w:val="none" w:sz="0" w:space="0" w:color="auto"/>
      </w:divBdr>
    </w:div>
    <w:div w:id="583801712">
      <w:bodyDiv w:val="1"/>
      <w:marLeft w:val="0"/>
      <w:marRight w:val="0"/>
      <w:marTop w:val="0"/>
      <w:marBottom w:val="0"/>
      <w:divBdr>
        <w:top w:val="none" w:sz="0" w:space="0" w:color="auto"/>
        <w:left w:val="none" w:sz="0" w:space="0" w:color="auto"/>
        <w:bottom w:val="none" w:sz="0" w:space="0" w:color="auto"/>
        <w:right w:val="none" w:sz="0" w:space="0" w:color="auto"/>
      </w:divBdr>
    </w:div>
    <w:div w:id="583995017">
      <w:bodyDiv w:val="1"/>
      <w:marLeft w:val="0"/>
      <w:marRight w:val="0"/>
      <w:marTop w:val="0"/>
      <w:marBottom w:val="0"/>
      <w:divBdr>
        <w:top w:val="none" w:sz="0" w:space="0" w:color="auto"/>
        <w:left w:val="none" w:sz="0" w:space="0" w:color="auto"/>
        <w:bottom w:val="none" w:sz="0" w:space="0" w:color="auto"/>
        <w:right w:val="none" w:sz="0" w:space="0" w:color="auto"/>
      </w:divBdr>
    </w:div>
    <w:div w:id="584731900">
      <w:bodyDiv w:val="1"/>
      <w:marLeft w:val="0"/>
      <w:marRight w:val="0"/>
      <w:marTop w:val="0"/>
      <w:marBottom w:val="0"/>
      <w:divBdr>
        <w:top w:val="none" w:sz="0" w:space="0" w:color="auto"/>
        <w:left w:val="none" w:sz="0" w:space="0" w:color="auto"/>
        <w:bottom w:val="none" w:sz="0" w:space="0" w:color="auto"/>
        <w:right w:val="none" w:sz="0" w:space="0" w:color="auto"/>
      </w:divBdr>
    </w:div>
    <w:div w:id="586578987">
      <w:bodyDiv w:val="1"/>
      <w:marLeft w:val="0"/>
      <w:marRight w:val="0"/>
      <w:marTop w:val="0"/>
      <w:marBottom w:val="0"/>
      <w:divBdr>
        <w:top w:val="none" w:sz="0" w:space="0" w:color="auto"/>
        <w:left w:val="none" w:sz="0" w:space="0" w:color="auto"/>
        <w:bottom w:val="none" w:sz="0" w:space="0" w:color="auto"/>
        <w:right w:val="none" w:sz="0" w:space="0" w:color="auto"/>
      </w:divBdr>
    </w:div>
    <w:div w:id="589698279">
      <w:bodyDiv w:val="1"/>
      <w:marLeft w:val="0"/>
      <w:marRight w:val="0"/>
      <w:marTop w:val="0"/>
      <w:marBottom w:val="0"/>
      <w:divBdr>
        <w:top w:val="none" w:sz="0" w:space="0" w:color="auto"/>
        <w:left w:val="none" w:sz="0" w:space="0" w:color="auto"/>
        <w:bottom w:val="none" w:sz="0" w:space="0" w:color="auto"/>
        <w:right w:val="none" w:sz="0" w:space="0" w:color="auto"/>
      </w:divBdr>
    </w:div>
    <w:div w:id="590314082">
      <w:bodyDiv w:val="1"/>
      <w:marLeft w:val="0"/>
      <w:marRight w:val="0"/>
      <w:marTop w:val="0"/>
      <w:marBottom w:val="0"/>
      <w:divBdr>
        <w:top w:val="none" w:sz="0" w:space="0" w:color="auto"/>
        <w:left w:val="none" w:sz="0" w:space="0" w:color="auto"/>
        <w:bottom w:val="none" w:sz="0" w:space="0" w:color="auto"/>
        <w:right w:val="none" w:sz="0" w:space="0" w:color="auto"/>
      </w:divBdr>
    </w:div>
    <w:div w:id="593629794">
      <w:bodyDiv w:val="1"/>
      <w:marLeft w:val="0"/>
      <w:marRight w:val="0"/>
      <w:marTop w:val="0"/>
      <w:marBottom w:val="0"/>
      <w:divBdr>
        <w:top w:val="none" w:sz="0" w:space="0" w:color="auto"/>
        <w:left w:val="none" w:sz="0" w:space="0" w:color="auto"/>
        <w:bottom w:val="none" w:sz="0" w:space="0" w:color="auto"/>
        <w:right w:val="none" w:sz="0" w:space="0" w:color="auto"/>
      </w:divBdr>
    </w:div>
    <w:div w:id="593900289">
      <w:bodyDiv w:val="1"/>
      <w:marLeft w:val="0"/>
      <w:marRight w:val="0"/>
      <w:marTop w:val="0"/>
      <w:marBottom w:val="0"/>
      <w:divBdr>
        <w:top w:val="none" w:sz="0" w:space="0" w:color="auto"/>
        <w:left w:val="none" w:sz="0" w:space="0" w:color="auto"/>
        <w:bottom w:val="none" w:sz="0" w:space="0" w:color="auto"/>
        <w:right w:val="none" w:sz="0" w:space="0" w:color="auto"/>
      </w:divBdr>
    </w:div>
    <w:div w:id="596409645">
      <w:bodyDiv w:val="1"/>
      <w:marLeft w:val="0"/>
      <w:marRight w:val="0"/>
      <w:marTop w:val="0"/>
      <w:marBottom w:val="0"/>
      <w:divBdr>
        <w:top w:val="none" w:sz="0" w:space="0" w:color="auto"/>
        <w:left w:val="none" w:sz="0" w:space="0" w:color="auto"/>
        <w:bottom w:val="none" w:sz="0" w:space="0" w:color="auto"/>
        <w:right w:val="none" w:sz="0" w:space="0" w:color="auto"/>
      </w:divBdr>
    </w:div>
    <w:div w:id="598370183">
      <w:bodyDiv w:val="1"/>
      <w:marLeft w:val="0"/>
      <w:marRight w:val="0"/>
      <w:marTop w:val="0"/>
      <w:marBottom w:val="0"/>
      <w:divBdr>
        <w:top w:val="none" w:sz="0" w:space="0" w:color="auto"/>
        <w:left w:val="none" w:sz="0" w:space="0" w:color="auto"/>
        <w:bottom w:val="none" w:sz="0" w:space="0" w:color="auto"/>
        <w:right w:val="none" w:sz="0" w:space="0" w:color="auto"/>
      </w:divBdr>
    </w:div>
    <w:div w:id="602223282">
      <w:bodyDiv w:val="1"/>
      <w:marLeft w:val="0"/>
      <w:marRight w:val="0"/>
      <w:marTop w:val="0"/>
      <w:marBottom w:val="0"/>
      <w:divBdr>
        <w:top w:val="none" w:sz="0" w:space="0" w:color="auto"/>
        <w:left w:val="none" w:sz="0" w:space="0" w:color="auto"/>
        <w:bottom w:val="none" w:sz="0" w:space="0" w:color="auto"/>
        <w:right w:val="none" w:sz="0" w:space="0" w:color="auto"/>
      </w:divBdr>
    </w:div>
    <w:div w:id="605774760">
      <w:bodyDiv w:val="1"/>
      <w:marLeft w:val="0"/>
      <w:marRight w:val="0"/>
      <w:marTop w:val="0"/>
      <w:marBottom w:val="0"/>
      <w:divBdr>
        <w:top w:val="none" w:sz="0" w:space="0" w:color="auto"/>
        <w:left w:val="none" w:sz="0" w:space="0" w:color="auto"/>
        <w:bottom w:val="none" w:sz="0" w:space="0" w:color="auto"/>
        <w:right w:val="none" w:sz="0" w:space="0" w:color="auto"/>
      </w:divBdr>
    </w:div>
    <w:div w:id="607390479">
      <w:bodyDiv w:val="1"/>
      <w:marLeft w:val="0"/>
      <w:marRight w:val="0"/>
      <w:marTop w:val="0"/>
      <w:marBottom w:val="0"/>
      <w:divBdr>
        <w:top w:val="none" w:sz="0" w:space="0" w:color="auto"/>
        <w:left w:val="none" w:sz="0" w:space="0" w:color="auto"/>
        <w:bottom w:val="none" w:sz="0" w:space="0" w:color="auto"/>
        <w:right w:val="none" w:sz="0" w:space="0" w:color="auto"/>
      </w:divBdr>
    </w:div>
    <w:div w:id="607738975">
      <w:bodyDiv w:val="1"/>
      <w:marLeft w:val="0"/>
      <w:marRight w:val="0"/>
      <w:marTop w:val="0"/>
      <w:marBottom w:val="0"/>
      <w:divBdr>
        <w:top w:val="none" w:sz="0" w:space="0" w:color="auto"/>
        <w:left w:val="none" w:sz="0" w:space="0" w:color="auto"/>
        <w:bottom w:val="none" w:sz="0" w:space="0" w:color="auto"/>
        <w:right w:val="none" w:sz="0" w:space="0" w:color="auto"/>
      </w:divBdr>
    </w:div>
    <w:div w:id="612790878">
      <w:bodyDiv w:val="1"/>
      <w:marLeft w:val="0"/>
      <w:marRight w:val="0"/>
      <w:marTop w:val="0"/>
      <w:marBottom w:val="0"/>
      <w:divBdr>
        <w:top w:val="none" w:sz="0" w:space="0" w:color="auto"/>
        <w:left w:val="none" w:sz="0" w:space="0" w:color="auto"/>
        <w:bottom w:val="none" w:sz="0" w:space="0" w:color="auto"/>
        <w:right w:val="none" w:sz="0" w:space="0" w:color="auto"/>
      </w:divBdr>
    </w:div>
    <w:div w:id="620117209">
      <w:bodyDiv w:val="1"/>
      <w:marLeft w:val="0"/>
      <w:marRight w:val="0"/>
      <w:marTop w:val="0"/>
      <w:marBottom w:val="0"/>
      <w:divBdr>
        <w:top w:val="none" w:sz="0" w:space="0" w:color="auto"/>
        <w:left w:val="none" w:sz="0" w:space="0" w:color="auto"/>
        <w:bottom w:val="none" w:sz="0" w:space="0" w:color="auto"/>
        <w:right w:val="none" w:sz="0" w:space="0" w:color="auto"/>
      </w:divBdr>
    </w:div>
    <w:div w:id="620500001">
      <w:bodyDiv w:val="1"/>
      <w:marLeft w:val="0"/>
      <w:marRight w:val="0"/>
      <w:marTop w:val="0"/>
      <w:marBottom w:val="0"/>
      <w:divBdr>
        <w:top w:val="none" w:sz="0" w:space="0" w:color="auto"/>
        <w:left w:val="none" w:sz="0" w:space="0" w:color="auto"/>
        <w:bottom w:val="none" w:sz="0" w:space="0" w:color="auto"/>
        <w:right w:val="none" w:sz="0" w:space="0" w:color="auto"/>
      </w:divBdr>
    </w:div>
    <w:div w:id="622157316">
      <w:bodyDiv w:val="1"/>
      <w:marLeft w:val="0"/>
      <w:marRight w:val="0"/>
      <w:marTop w:val="0"/>
      <w:marBottom w:val="0"/>
      <w:divBdr>
        <w:top w:val="none" w:sz="0" w:space="0" w:color="auto"/>
        <w:left w:val="none" w:sz="0" w:space="0" w:color="auto"/>
        <w:bottom w:val="none" w:sz="0" w:space="0" w:color="auto"/>
        <w:right w:val="none" w:sz="0" w:space="0" w:color="auto"/>
      </w:divBdr>
    </w:div>
    <w:div w:id="622733648">
      <w:bodyDiv w:val="1"/>
      <w:marLeft w:val="0"/>
      <w:marRight w:val="0"/>
      <w:marTop w:val="0"/>
      <w:marBottom w:val="0"/>
      <w:divBdr>
        <w:top w:val="none" w:sz="0" w:space="0" w:color="auto"/>
        <w:left w:val="none" w:sz="0" w:space="0" w:color="auto"/>
        <w:bottom w:val="none" w:sz="0" w:space="0" w:color="auto"/>
        <w:right w:val="none" w:sz="0" w:space="0" w:color="auto"/>
      </w:divBdr>
    </w:div>
    <w:div w:id="626467471">
      <w:bodyDiv w:val="1"/>
      <w:marLeft w:val="0"/>
      <w:marRight w:val="0"/>
      <w:marTop w:val="0"/>
      <w:marBottom w:val="0"/>
      <w:divBdr>
        <w:top w:val="none" w:sz="0" w:space="0" w:color="auto"/>
        <w:left w:val="none" w:sz="0" w:space="0" w:color="auto"/>
        <w:bottom w:val="none" w:sz="0" w:space="0" w:color="auto"/>
        <w:right w:val="none" w:sz="0" w:space="0" w:color="auto"/>
      </w:divBdr>
    </w:div>
    <w:div w:id="634260868">
      <w:bodyDiv w:val="1"/>
      <w:marLeft w:val="0"/>
      <w:marRight w:val="0"/>
      <w:marTop w:val="0"/>
      <w:marBottom w:val="0"/>
      <w:divBdr>
        <w:top w:val="none" w:sz="0" w:space="0" w:color="auto"/>
        <w:left w:val="none" w:sz="0" w:space="0" w:color="auto"/>
        <w:bottom w:val="none" w:sz="0" w:space="0" w:color="auto"/>
        <w:right w:val="none" w:sz="0" w:space="0" w:color="auto"/>
      </w:divBdr>
    </w:div>
    <w:div w:id="636683385">
      <w:bodyDiv w:val="1"/>
      <w:marLeft w:val="0"/>
      <w:marRight w:val="0"/>
      <w:marTop w:val="0"/>
      <w:marBottom w:val="0"/>
      <w:divBdr>
        <w:top w:val="none" w:sz="0" w:space="0" w:color="auto"/>
        <w:left w:val="none" w:sz="0" w:space="0" w:color="auto"/>
        <w:bottom w:val="none" w:sz="0" w:space="0" w:color="auto"/>
        <w:right w:val="none" w:sz="0" w:space="0" w:color="auto"/>
      </w:divBdr>
    </w:div>
    <w:div w:id="643004870">
      <w:bodyDiv w:val="1"/>
      <w:marLeft w:val="0"/>
      <w:marRight w:val="0"/>
      <w:marTop w:val="0"/>
      <w:marBottom w:val="0"/>
      <w:divBdr>
        <w:top w:val="none" w:sz="0" w:space="0" w:color="auto"/>
        <w:left w:val="none" w:sz="0" w:space="0" w:color="auto"/>
        <w:bottom w:val="none" w:sz="0" w:space="0" w:color="auto"/>
        <w:right w:val="none" w:sz="0" w:space="0" w:color="auto"/>
      </w:divBdr>
    </w:div>
    <w:div w:id="643044759">
      <w:bodyDiv w:val="1"/>
      <w:marLeft w:val="0"/>
      <w:marRight w:val="0"/>
      <w:marTop w:val="0"/>
      <w:marBottom w:val="0"/>
      <w:divBdr>
        <w:top w:val="none" w:sz="0" w:space="0" w:color="auto"/>
        <w:left w:val="none" w:sz="0" w:space="0" w:color="auto"/>
        <w:bottom w:val="none" w:sz="0" w:space="0" w:color="auto"/>
        <w:right w:val="none" w:sz="0" w:space="0" w:color="auto"/>
      </w:divBdr>
    </w:div>
    <w:div w:id="645859451">
      <w:bodyDiv w:val="1"/>
      <w:marLeft w:val="0"/>
      <w:marRight w:val="0"/>
      <w:marTop w:val="0"/>
      <w:marBottom w:val="0"/>
      <w:divBdr>
        <w:top w:val="none" w:sz="0" w:space="0" w:color="auto"/>
        <w:left w:val="none" w:sz="0" w:space="0" w:color="auto"/>
        <w:bottom w:val="none" w:sz="0" w:space="0" w:color="auto"/>
        <w:right w:val="none" w:sz="0" w:space="0" w:color="auto"/>
      </w:divBdr>
    </w:div>
    <w:div w:id="647394080">
      <w:bodyDiv w:val="1"/>
      <w:marLeft w:val="0"/>
      <w:marRight w:val="0"/>
      <w:marTop w:val="0"/>
      <w:marBottom w:val="0"/>
      <w:divBdr>
        <w:top w:val="none" w:sz="0" w:space="0" w:color="auto"/>
        <w:left w:val="none" w:sz="0" w:space="0" w:color="auto"/>
        <w:bottom w:val="none" w:sz="0" w:space="0" w:color="auto"/>
        <w:right w:val="none" w:sz="0" w:space="0" w:color="auto"/>
      </w:divBdr>
    </w:div>
    <w:div w:id="648168762">
      <w:bodyDiv w:val="1"/>
      <w:marLeft w:val="0"/>
      <w:marRight w:val="0"/>
      <w:marTop w:val="0"/>
      <w:marBottom w:val="0"/>
      <w:divBdr>
        <w:top w:val="none" w:sz="0" w:space="0" w:color="auto"/>
        <w:left w:val="none" w:sz="0" w:space="0" w:color="auto"/>
        <w:bottom w:val="none" w:sz="0" w:space="0" w:color="auto"/>
        <w:right w:val="none" w:sz="0" w:space="0" w:color="auto"/>
      </w:divBdr>
    </w:div>
    <w:div w:id="652442570">
      <w:bodyDiv w:val="1"/>
      <w:marLeft w:val="0"/>
      <w:marRight w:val="0"/>
      <w:marTop w:val="0"/>
      <w:marBottom w:val="0"/>
      <w:divBdr>
        <w:top w:val="none" w:sz="0" w:space="0" w:color="auto"/>
        <w:left w:val="none" w:sz="0" w:space="0" w:color="auto"/>
        <w:bottom w:val="none" w:sz="0" w:space="0" w:color="auto"/>
        <w:right w:val="none" w:sz="0" w:space="0" w:color="auto"/>
      </w:divBdr>
    </w:div>
    <w:div w:id="653215795">
      <w:bodyDiv w:val="1"/>
      <w:marLeft w:val="0"/>
      <w:marRight w:val="0"/>
      <w:marTop w:val="0"/>
      <w:marBottom w:val="0"/>
      <w:divBdr>
        <w:top w:val="none" w:sz="0" w:space="0" w:color="auto"/>
        <w:left w:val="none" w:sz="0" w:space="0" w:color="auto"/>
        <w:bottom w:val="none" w:sz="0" w:space="0" w:color="auto"/>
        <w:right w:val="none" w:sz="0" w:space="0" w:color="auto"/>
      </w:divBdr>
    </w:div>
    <w:div w:id="656304878">
      <w:bodyDiv w:val="1"/>
      <w:marLeft w:val="0"/>
      <w:marRight w:val="0"/>
      <w:marTop w:val="0"/>
      <w:marBottom w:val="0"/>
      <w:divBdr>
        <w:top w:val="none" w:sz="0" w:space="0" w:color="auto"/>
        <w:left w:val="none" w:sz="0" w:space="0" w:color="auto"/>
        <w:bottom w:val="none" w:sz="0" w:space="0" w:color="auto"/>
        <w:right w:val="none" w:sz="0" w:space="0" w:color="auto"/>
      </w:divBdr>
    </w:div>
    <w:div w:id="656689146">
      <w:bodyDiv w:val="1"/>
      <w:marLeft w:val="0"/>
      <w:marRight w:val="0"/>
      <w:marTop w:val="0"/>
      <w:marBottom w:val="0"/>
      <w:divBdr>
        <w:top w:val="none" w:sz="0" w:space="0" w:color="auto"/>
        <w:left w:val="none" w:sz="0" w:space="0" w:color="auto"/>
        <w:bottom w:val="none" w:sz="0" w:space="0" w:color="auto"/>
        <w:right w:val="none" w:sz="0" w:space="0" w:color="auto"/>
      </w:divBdr>
    </w:div>
    <w:div w:id="667244480">
      <w:bodyDiv w:val="1"/>
      <w:marLeft w:val="0"/>
      <w:marRight w:val="0"/>
      <w:marTop w:val="0"/>
      <w:marBottom w:val="0"/>
      <w:divBdr>
        <w:top w:val="none" w:sz="0" w:space="0" w:color="auto"/>
        <w:left w:val="none" w:sz="0" w:space="0" w:color="auto"/>
        <w:bottom w:val="none" w:sz="0" w:space="0" w:color="auto"/>
        <w:right w:val="none" w:sz="0" w:space="0" w:color="auto"/>
      </w:divBdr>
    </w:div>
    <w:div w:id="677197935">
      <w:bodyDiv w:val="1"/>
      <w:marLeft w:val="0"/>
      <w:marRight w:val="0"/>
      <w:marTop w:val="0"/>
      <w:marBottom w:val="0"/>
      <w:divBdr>
        <w:top w:val="none" w:sz="0" w:space="0" w:color="auto"/>
        <w:left w:val="none" w:sz="0" w:space="0" w:color="auto"/>
        <w:bottom w:val="none" w:sz="0" w:space="0" w:color="auto"/>
        <w:right w:val="none" w:sz="0" w:space="0" w:color="auto"/>
      </w:divBdr>
    </w:div>
    <w:div w:id="681712716">
      <w:bodyDiv w:val="1"/>
      <w:marLeft w:val="0"/>
      <w:marRight w:val="0"/>
      <w:marTop w:val="0"/>
      <w:marBottom w:val="0"/>
      <w:divBdr>
        <w:top w:val="none" w:sz="0" w:space="0" w:color="auto"/>
        <w:left w:val="none" w:sz="0" w:space="0" w:color="auto"/>
        <w:bottom w:val="none" w:sz="0" w:space="0" w:color="auto"/>
        <w:right w:val="none" w:sz="0" w:space="0" w:color="auto"/>
      </w:divBdr>
    </w:div>
    <w:div w:id="687683209">
      <w:bodyDiv w:val="1"/>
      <w:marLeft w:val="0"/>
      <w:marRight w:val="0"/>
      <w:marTop w:val="0"/>
      <w:marBottom w:val="0"/>
      <w:divBdr>
        <w:top w:val="none" w:sz="0" w:space="0" w:color="auto"/>
        <w:left w:val="none" w:sz="0" w:space="0" w:color="auto"/>
        <w:bottom w:val="none" w:sz="0" w:space="0" w:color="auto"/>
        <w:right w:val="none" w:sz="0" w:space="0" w:color="auto"/>
      </w:divBdr>
    </w:div>
    <w:div w:id="687944588">
      <w:bodyDiv w:val="1"/>
      <w:marLeft w:val="0"/>
      <w:marRight w:val="0"/>
      <w:marTop w:val="0"/>
      <w:marBottom w:val="0"/>
      <w:divBdr>
        <w:top w:val="none" w:sz="0" w:space="0" w:color="auto"/>
        <w:left w:val="none" w:sz="0" w:space="0" w:color="auto"/>
        <w:bottom w:val="none" w:sz="0" w:space="0" w:color="auto"/>
        <w:right w:val="none" w:sz="0" w:space="0" w:color="auto"/>
      </w:divBdr>
    </w:div>
    <w:div w:id="692268638">
      <w:bodyDiv w:val="1"/>
      <w:marLeft w:val="0"/>
      <w:marRight w:val="0"/>
      <w:marTop w:val="0"/>
      <w:marBottom w:val="0"/>
      <w:divBdr>
        <w:top w:val="none" w:sz="0" w:space="0" w:color="auto"/>
        <w:left w:val="none" w:sz="0" w:space="0" w:color="auto"/>
        <w:bottom w:val="none" w:sz="0" w:space="0" w:color="auto"/>
        <w:right w:val="none" w:sz="0" w:space="0" w:color="auto"/>
      </w:divBdr>
    </w:div>
    <w:div w:id="694355205">
      <w:bodyDiv w:val="1"/>
      <w:marLeft w:val="0"/>
      <w:marRight w:val="0"/>
      <w:marTop w:val="0"/>
      <w:marBottom w:val="0"/>
      <w:divBdr>
        <w:top w:val="none" w:sz="0" w:space="0" w:color="auto"/>
        <w:left w:val="none" w:sz="0" w:space="0" w:color="auto"/>
        <w:bottom w:val="none" w:sz="0" w:space="0" w:color="auto"/>
        <w:right w:val="none" w:sz="0" w:space="0" w:color="auto"/>
      </w:divBdr>
    </w:div>
    <w:div w:id="697850928">
      <w:bodyDiv w:val="1"/>
      <w:marLeft w:val="0"/>
      <w:marRight w:val="0"/>
      <w:marTop w:val="0"/>
      <w:marBottom w:val="0"/>
      <w:divBdr>
        <w:top w:val="none" w:sz="0" w:space="0" w:color="auto"/>
        <w:left w:val="none" w:sz="0" w:space="0" w:color="auto"/>
        <w:bottom w:val="none" w:sz="0" w:space="0" w:color="auto"/>
        <w:right w:val="none" w:sz="0" w:space="0" w:color="auto"/>
      </w:divBdr>
    </w:div>
    <w:div w:id="698436974">
      <w:bodyDiv w:val="1"/>
      <w:marLeft w:val="0"/>
      <w:marRight w:val="0"/>
      <w:marTop w:val="0"/>
      <w:marBottom w:val="0"/>
      <w:divBdr>
        <w:top w:val="none" w:sz="0" w:space="0" w:color="auto"/>
        <w:left w:val="none" w:sz="0" w:space="0" w:color="auto"/>
        <w:bottom w:val="none" w:sz="0" w:space="0" w:color="auto"/>
        <w:right w:val="none" w:sz="0" w:space="0" w:color="auto"/>
      </w:divBdr>
    </w:div>
    <w:div w:id="701974816">
      <w:bodyDiv w:val="1"/>
      <w:marLeft w:val="0"/>
      <w:marRight w:val="0"/>
      <w:marTop w:val="0"/>
      <w:marBottom w:val="0"/>
      <w:divBdr>
        <w:top w:val="none" w:sz="0" w:space="0" w:color="auto"/>
        <w:left w:val="none" w:sz="0" w:space="0" w:color="auto"/>
        <w:bottom w:val="none" w:sz="0" w:space="0" w:color="auto"/>
        <w:right w:val="none" w:sz="0" w:space="0" w:color="auto"/>
      </w:divBdr>
    </w:div>
    <w:div w:id="703290220">
      <w:bodyDiv w:val="1"/>
      <w:marLeft w:val="0"/>
      <w:marRight w:val="0"/>
      <w:marTop w:val="0"/>
      <w:marBottom w:val="0"/>
      <w:divBdr>
        <w:top w:val="none" w:sz="0" w:space="0" w:color="auto"/>
        <w:left w:val="none" w:sz="0" w:space="0" w:color="auto"/>
        <w:bottom w:val="none" w:sz="0" w:space="0" w:color="auto"/>
        <w:right w:val="none" w:sz="0" w:space="0" w:color="auto"/>
      </w:divBdr>
    </w:div>
    <w:div w:id="705058646">
      <w:bodyDiv w:val="1"/>
      <w:marLeft w:val="0"/>
      <w:marRight w:val="0"/>
      <w:marTop w:val="0"/>
      <w:marBottom w:val="0"/>
      <w:divBdr>
        <w:top w:val="none" w:sz="0" w:space="0" w:color="auto"/>
        <w:left w:val="none" w:sz="0" w:space="0" w:color="auto"/>
        <w:bottom w:val="none" w:sz="0" w:space="0" w:color="auto"/>
        <w:right w:val="none" w:sz="0" w:space="0" w:color="auto"/>
      </w:divBdr>
    </w:div>
    <w:div w:id="726611380">
      <w:bodyDiv w:val="1"/>
      <w:marLeft w:val="0"/>
      <w:marRight w:val="0"/>
      <w:marTop w:val="0"/>
      <w:marBottom w:val="0"/>
      <w:divBdr>
        <w:top w:val="none" w:sz="0" w:space="0" w:color="auto"/>
        <w:left w:val="none" w:sz="0" w:space="0" w:color="auto"/>
        <w:bottom w:val="none" w:sz="0" w:space="0" w:color="auto"/>
        <w:right w:val="none" w:sz="0" w:space="0" w:color="auto"/>
      </w:divBdr>
    </w:div>
    <w:div w:id="727338698">
      <w:bodyDiv w:val="1"/>
      <w:marLeft w:val="0"/>
      <w:marRight w:val="0"/>
      <w:marTop w:val="0"/>
      <w:marBottom w:val="0"/>
      <w:divBdr>
        <w:top w:val="none" w:sz="0" w:space="0" w:color="auto"/>
        <w:left w:val="none" w:sz="0" w:space="0" w:color="auto"/>
        <w:bottom w:val="none" w:sz="0" w:space="0" w:color="auto"/>
        <w:right w:val="none" w:sz="0" w:space="0" w:color="auto"/>
      </w:divBdr>
    </w:div>
    <w:div w:id="729232463">
      <w:bodyDiv w:val="1"/>
      <w:marLeft w:val="0"/>
      <w:marRight w:val="0"/>
      <w:marTop w:val="0"/>
      <w:marBottom w:val="0"/>
      <w:divBdr>
        <w:top w:val="none" w:sz="0" w:space="0" w:color="auto"/>
        <w:left w:val="none" w:sz="0" w:space="0" w:color="auto"/>
        <w:bottom w:val="none" w:sz="0" w:space="0" w:color="auto"/>
        <w:right w:val="none" w:sz="0" w:space="0" w:color="auto"/>
      </w:divBdr>
    </w:div>
    <w:div w:id="740524025">
      <w:bodyDiv w:val="1"/>
      <w:marLeft w:val="0"/>
      <w:marRight w:val="0"/>
      <w:marTop w:val="0"/>
      <w:marBottom w:val="0"/>
      <w:divBdr>
        <w:top w:val="none" w:sz="0" w:space="0" w:color="auto"/>
        <w:left w:val="none" w:sz="0" w:space="0" w:color="auto"/>
        <w:bottom w:val="none" w:sz="0" w:space="0" w:color="auto"/>
        <w:right w:val="none" w:sz="0" w:space="0" w:color="auto"/>
      </w:divBdr>
    </w:div>
    <w:div w:id="749816848">
      <w:bodyDiv w:val="1"/>
      <w:marLeft w:val="0"/>
      <w:marRight w:val="0"/>
      <w:marTop w:val="0"/>
      <w:marBottom w:val="0"/>
      <w:divBdr>
        <w:top w:val="none" w:sz="0" w:space="0" w:color="auto"/>
        <w:left w:val="none" w:sz="0" w:space="0" w:color="auto"/>
        <w:bottom w:val="none" w:sz="0" w:space="0" w:color="auto"/>
        <w:right w:val="none" w:sz="0" w:space="0" w:color="auto"/>
      </w:divBdr>
    </w:div>
    <w:div w:id="749884715">
      <w:bodyDiv w:val="1"/>
      <w:marLeft w:val="0"/>
      <w:marRight w:val="0"/>
      <w:marTop w:val="0"/>
      <w:marBottom w:val="0"/>
      <w:divBdr>
        <w:top w:val="none" w:sz="0" w:space="0" w:color="auto"/>
        <w:left w:val="none" w:sz="0" w:space="0" w:color="auto"/>
        <w:bottom w:val="none" w:sz="0" w:space="0" w:color="auto"/>
        <w:right w:val="none" w:sz="0" w:space="0" w:color="auto"/>
      </w:divBdr>
    </w:div>
    <w:div w:id="752121565">
      <w:bodyDiv w:val="1"/>
      <w:marLeft w:val="0"/>
      <w:marRight w:val="0"/>
      <w:marTop w:val="0"/>
      <w:marBottom w:val="0"/>
      <w:divBdr>
        <w:top w:val="none" w:sz="0" w:space="0" w:color="auto"/>
        <w:left w:val="none" w:sz="0" w:space="0" w:color="auto"/>
        <w:bottom w:val="none" w:sz="0" w:space="0" w:color="auto"/>
        <w:right w:val="none" w:sz="0" w:space="0" w:color="auto"/>
      </w:divBdr>
    </w:div>
    <w:div w:id="754473400">
      <w:bodyDiv w:val="1"/>
      <w:marLeft w:val="0"/>
      <w:marRight w:val="0"/>
      <w:marTop w:val="0"/>
      <w:marBottom w:val="0"/>
      <w:divBdr>
        <w:top w:val="none" w:sz="0" w:space="0" w:color="auto"/>
        <w:left w:val="none" w:sz="0" w:space="0" w:color="auto"/>
        <w:bottom w:val="none" w:sz="0" w:space="0" w:color="auto"/>
        <w:right w:val="none" w:sz="0" w:space="0" w:color="auto"/>
      </w:divBdr>
    </w:div>
    <w:div w:id="761025504">
      <w:bodyDiv w:val="1"/>
      <w:marLeft w:val="0"/>
      <w:marRight w:val="0"/>
      <w:marTop w:val="0"/>
      <w:marBottom w:val="0"/>
      <w:divBdr>
        <w:top w:val="none" w:sz="0" w:space="0" w:color="auto"/>
        <w:left w:val="none" w:sz="0" w:space="0" w:color="auto"/>
        <w:bottom w:val="none" w:sz="0" w:space="0" w:color="auto"/>
        <w:right w:val="none" w:sz="0" w:space="0" w:color="auto"/>
      </w:divBdr>
    </w:div>
    <w:div w:id="764618003">
      <w:bodyDiv w:val="1"/>
      <w:marLeft w:val="0"/>
      <w:marRight w:val="0"/>
      <w:marTop w:val="0"/>
      <w:marBottom w:val="0"/>
      <w:divBdr>
        <w:top w:val="none" w:sz="0" w:space="0" w:color="auto"/>
        <w:left w:val="none" w:sz="0" w:space="0" w:color="auto"/>
        <w:bottom w:val="none" w:sz="0" w:space="0" w:color="auto"/>
        <w:right w:val="none" w:sz="0" w:space="0" w:color="auto"/>
      </w:divBdr>
    </w:div>
    <w:div w:id="765466884">
      <w:bodyDiv w:val="1"/>
      <w:marLeft w:val="0"/>
      <w:marRight w:val="0"/>
      <w:marTop w:val="0"/>
      <w:marBottom w:val="0"/>
      <w:divBdr>
        <w:top w:val="none" w:sz="0" w:space="0" w:color="auto"/>
        <w:left w:val="none" w:sz="0" w:space="0" w:color="auto"/>
        <w:bottom w:val="none" w:sz="0" w:space="0" w:color="auto"/>
        <w:right w:val="none" w:sz="0" w:space="0" w:color="auto"/>
      </w:divBdr>
    </w:div>
    <w:div w:id="767165872">
      <w:bodyDiv w:val="1"/>
      <w:marLeft w:val="0"/>
      <w:marRight w:val="0"/>
      <w:marTop w:val="0"/>
      <w:marBottom w:val="0"/>
      <w:divBdr>
        <w:top w:val="none" w:sz="0" w:space="0" w:color="auto"/>
        <w:left w:val="none" w:sz="0" w:space="0" w:color="auto"/>
        <w:bottom w:val="none" w:sz="0" w:space="0" w:color="auto"/>
        <w:right w:val="none" w:sz="0" w:space="0" w:color="auto"/>
      </w:divBdr>
    </w:div>
    <w:div w:id="769011663">
      <w:bodyDiv w:val="1"/>
      <w:marLeft w:val="0"/>
      <w:marRight w:val="0"/>
      <w:marTop w:val="0"/>
      <w:marBottom w:val="0"/>
      <w:divBdr>
        <w:top w:val="none" w:sz="0" w:space="0" w:color="auto"/>
        <w:left w:val="none" w:sz="0" w:space="0" w:color="auto"/>
        <w:bottom w:val="none" w:sz="0" w:space="0" w:color="auto"/>
        <w:right w:val="none" w:sz="0" w:space="0" w:color="auto"/>
      </w:divBdr>
    </w:div>
    <w:div w:id="770584773">
      <w:bodyDiv w:val="1"/>
      <w:marLeft w:val="0"/>
      <w:marRight w:val="0"/>
      <w:marTop w:val="0"/>
      <w:marBottom w:val="0"/>
      <w:divBdr>
        <w:top w:val="none" w:sz="0" w:space="0" w:color="auto"/>
        <w:left w:val="none" w:sz="0" w:space="0" w:color="auto"/>
        <w:bottom w:val="none" w:sz="0" w:space="0" w:color="auto"/>
        <w:right w:val="none" w:sz="0" w:space="0" w:color="auto"/>
      </w:divBdr>
    </w:div>
    <w:div w:id="770665210">
      <w:bodyDiv w:val="1"/>
      <w:marLeft w:val="0"/>
      <w:marRight w:val="0"/>
      <w:marTop w:val="0"/>
      <w:marBottom w:val="0"/>
      <w:divBdr>
        <w:top w:val="none" w:sz="0" w:space="0" w:color="auto"/>
        <w:left w:val="none" w:sz="0" w:space="0" w:color="auto"/>
        <w:bottom w:val="none" w:sz="0" w:space="0" w:color="auto"/>
        <w:right w:val="none" w:sz="0" w:space="0" w:color="auto"/>
      </w:divBdr>
    </w:div>
    <w:div w:id="772550528">
      <w:bodyDiv w:val="1"/>
      <w:marLeft w:val="0"/>
      <w:marRight w:val="0"/>
      <w:marTop w:val="0"/>
      <w:marBottom w:val="0"/>
      <w:divBdr>
        <w:top w:val="none" w:sz="0" w:space="0" w:color="auto"/>
        <w:left w:val="none" w:sz="0" w:space="0" w:color="auto"/>
        <w:bottom w:val="none" w:sz="0" w:space="0" w:color="auto"/>
        <w:right w:val="none" w:sz="0" w:space="0" w:color="auto"/>
      </w:divBdr>
    </w:div>
    <w:div w:id="773019999">
      <w:bodyDiv w:val="1"/>
      <w:marLeft w:val="0"/>
      <w:marRight w:val="0"/>
      <w:marTop w:val="0"/>
      <w:marBottom w:val="0"/>
      <w:divBdr>
        <w:top w:val="none" w:sz="0" w:space="0" w:color="auto"/>
        <w:left w:val="none" w:sz="0" w:space="0" w:color="auto"/>
        <w:bottom w:val="none" w:sz="0" w:space="0" w:color="auto"/>
        <w:right w:val="none" w:sz="0" w:space="0" w:color="auto"/>
      </w:divBdr>
    </w:div>
    <w:div w:id="775560755">
      <w:bodyDiv w:val="1"/>
      <w:marLeft w:val="0"/>
      <w:marRight w:val="0"/>
      <w:marTop w:val="0"/>
      <w:marBottom w:val="0"/>
      <w:divBdr>
        <w:top w:val="none" w:sz="0" w:space="0" w:color="auto"/>
        <w:left w:val="none" w:sz="0" w:space="0" w:color="auto"/>
        <w:bottom w:val="none" w:sz="0" w:space="0" w:color="auto"/>
        <w:right w:val="none" w:sz="0" w:space="0" w:color="auto"/>
      </w:divBdr>
    </w:div>
    <w:div w:id="776102964">
      <w:bodyDiv w:val="1"/>
      <w:marLeft w:val="0"/>
      <w:marRight w:val="0"/>
      <w:marTop w:val="0"/>
      <w:marBottom w:val="0"/>
      <w:divBdr>
        <w:top w:val="none" w:sz="0" w:space="0" w:color="auto"/>
        <w:left w:val="none" w:sz="0" w:space="0" w:color="auto"/>
        <w:bottom w:val="none" w:sz="0" w:space="0" w:color="auto"/>
        <w:right w:val="none" w:sz="0" w:space="0" w:color="auto"/>
      </w:divBdr>
    </w:div>
    <w:div w:id="782648082">
      <w:bodyDiv w:val="1"/>
      <w:marLeft w:val="0"/>
      <w:marRight w:val="0"/>
      <w:marTop w:val="0"/>
      <w:marBottom w:val="0"/>
      <w:divBdr>
        <w:top w:val="none" w:sz="0" w:space="0" w:color="auto"/>
        <w:left w:val="none" w:sz="0" w:space="0" w:color="auto"/>
        <w:bottom w:val="none" w:sz="0" w:space="0" w:color="auto"/>
        <w:right w:val="none" w:sz="0" w:space="0" w:color="auto"/>
      </w:divBdr>
    </w:div>
    <w:div w:id="789008614">
      <w:bodyDiv w:val="1"/>
      <w:marLeft w:val="0"/>
      <w:marRight w:val="0"/>
      <w:marTop w:val="0"/>
      <w:marBottom w:val="0"/>
      <w:divBdr>
        <w:top w:val="none" w:sz="0" w:space="0" w:color="auto"/>
        <w:left w:val="none" w:sz="0" w:space="0" w:color="auto"/>
        <w:bottom w:val="none" w:sz="0" w:space="0" w:color="auto"/>
        <w:right w:val="none" w:sz="0" w:space="0" w:color="auto"/>
      </w:divBdr>
    </w:div>
    <w:div w:id="792597306">
      <w:bodyDiv w:val="1"/>
      <w:marLeft w:val="0"/>
      <w:marRight w:val="0"/>
      <w:marTop w:val="0"/>
      <w:marBottom w:val="0"/>
      <w:divBdr>
        <w:top w:val="none" w:sz="0" w:space="0" w:color="auto"/>
        <w:left w:val="none" w:sz="0" w:space="0" w:color="auto"/>
        <w:bottom w:val="none" w:sz="0" w:space="0" w:color="auto"/>
        <w:right w:val="none" w:sz="0" w:space="0" w:color="auto"/>
      </w:divBdr>
    </w:div>
    <w:div w:id="793906853">
      <w:bodyDiv w:val="1"/>
      <w:marLeft w:val="0"/>
      <w:marRight w:val="0"/>
      <w:marTop w:val="0"/>
      <w:marBottom w:val="0"/>
      <w:divBdr>
        <w:top w:val="none" w:sz="0" w:space="0" w:color="auto"/>
        <w:left w:val="none" w:sz="0" w:space="0" w:color="auto"/>
        <w:bottom w:val="none" w:sz="0" w:space="0" w:color="auto"/>
        <w:right w:val="none" w:sz="0" w:space="0" w:color="auto"/>
      </w:divBdr>
    </w:div>
    <w:div w:id="794376288">
      <w:bodyDiv w:val="1"/>
      <w:marLeft w:val="0"/>
      <w:marRight w:val="0"/>
      <w:marTop w:val="0"/>
      <w:marBottom w:val="0"/>
      <w:divBdr>
        <w:top w:val="none" w:sz="0" w:space="0" w:color="auto"/>
        <w:left w:val="none" w:sz="0" w:space="0" w:color="auto"/>
        <w:bottom w:val="none" w:sz="0" w:space="0" w:color="auto"/>
        <w:right w:val="none" w:sz="0" w:space="0" w:color="auto"/>
      </w:divBdr>
    </w:div>
    <w:div w:id="799031310">
      <w:bodyDiv w:val="1"/>
      <w:marLeft w:val="0"/>
      <w:marRight w:val="0"/>
      <w:marTop w:val="0"/>
      <w:marBottom w:val="0"/>
      <w:divBdr>
        <w:top w:val="none" w:sz="0" w:space="0" w:color="auto"/>
        <w:left w:val="none" w:sz="0" w:space="0" w:color="auto"/>
        <w:bottom w:val="none" w:sz="0" w:space="0" w:color="auto"/>
        <w:right w:val="none" w:sz="0" w:space="0" w:color="auto"/>
      </w:divBdr>
    </w:div>
    <w:div w:id="804004490">
      <w:bodyDiv w:val="1"/>
      <w:marLeft w:val="0"/>
      <w:marRight w:val="0"/>
      <w:marTop w:val="0"/>
      <w:marBottom w:val="0"/>
      <w:divBdr>
        <w:top w:val="none" w:sz="0" w:space="0" w:color="auto"/>
        <w:left w:val="none" w:sz="0" w:space="0" w:color="auto"/>
        <w:bottom w:val="none" w:sz="0" w:space="0" w:color="auto"/>
        <w:right w:val="none" w:sz="0" w:space="0" w:color="auto"/>
      </w:divBdr>
    </w:div>
    <w:div w:id="805705599">
      <w:bodyDiv w:val="1"/>
      <w:marLeft w:val="0"/>
      <w:marRight w:val="0"/>
      <w:marTop w:val="0"/>
      <w:marBottom w:val="0"/>
      <w:divBdr>
        <w:top w:val="none" w:sz="0" w:space="0" w:color="auto"/>
        <w:left w:val="none" w:sz="0" w:space="0" w:color="auto"/>
        <w:bottom w:val="none" w:sz="0" w:space="0" w:color="auto"/>
        <w:right w:val="none" w:sz="0" w:space="0" w:color="auto"/>
      </w:divBdr>
    </w:div>
    <w:div w:id="806320833">
      <w:bodyDiv w:val="1"/>
      <w:marLeft w:val="0"/>
      <w:marRight w:val="0"/>
      <w:marTop w:val="0"/>
      <w:marBottom w:val="0"/>
      <w:divBdr>
        <w:top w:val="none" w:sz="0" w:space="0" w:color="auto"/>
        <w:left w:val="none" w:sz="0" w:space="0" w:color="auto"/>
        <w:bottom w:val="none" w:sz="0" w:space="0" w:color="auto"/>
        <w:right w:val="none" w:sz="0" w:space="0" w:color="auto"/>
      </w:divBdr>
    </w:div>
    <w:div w:id="817115357">
      <w:bodyDiv w:val="1"/>
      <w:marLeft w:val="0"/>
      <w:marRight w:val="0"/>
      <w:marTop w:val="0"/>
      <w:marBottom w:val="0"/>
      <w:divBdr>
        <w:top w:val="none" w:sz="0" w:space="0" w:color="auto"/>
        <w:left w:val="none" w:sz="0" w:space="0" w:color="auto"/>
        <w:bottom w:val="none" w:sz="0" w:space="0" w:color="auto"/>
        <w:right w:val="none" w:sz="0" w:space="0" w:color="auto"/>
      </w:divBdr>
    </w:div>
    <w:div w:id="820465659">
      <w:bodyDiv w:val="1"/>
      <w:marLeft w:val="0"/>
      <w:marRight w:val="0"/>
      <w:marTop w:val="0"/>
      <w:marBottom w:val="0"/>
      <w:divBdr>
        <w:top w:val="none" w:sz="0" w:space="0" w:color="auto"/>
        <w:left w:val="none" w:sz="0" w:space="0" w:color="auto"/>
        <w:bottom w:val="none" w:sz="0" w:space="0" w:color="auto"/>
        <w:right w:val="none" w:sz="0" w:space="0" w:color="auto"/>
      </w:divBdr>
    </w:div>
    <w:div w:id="823933713">
      <w:bodyDiv w:val="1"/>
      <w:marLeft w:val="0"/>
      <w:marRight w:val="0"/>
      <w:marTop w:val="0"/>
      <w:marBottom w:val="0"/>
      <w:divBdr>
        <w:top w:val="none" w:sz="0" w:space="0" w:color="auto"/>
        <w:left w:val="none" w:sz="0" w:space="0" w:color="auto"/>
        <w:bottom w:val="none" w:sz="0" w:space="0" w:color="auto"/>
        <w:right w:val="none" w:sz="0" w:space="0" w:color="auto"/>
      </w:divBdr>
    </w:div>
    <w:div w:id="827326933">
      <w:bodyDiv w:val="1"/>
      <w:marLeft w:val="0"/>
      <w:marRight w:val="0"/>
      <w:marTop w:val="0"/>
      <w:marBottom w:val="0"/>
      <w:divBdr>
        <w:top w:val="none" w:sz="0" w:space="0" w:color="auto"/>
        <w:left w:val="none" w:sz="0" w:space="0" w:color="auto"/>
        <w:bottom w:val="none" w:sz="0" w:space="0" w:color="auto"/>
        <w:right w:val="none" w:sz="0" w:space="0" w:color="auto"/>
      </w:divBdr>
    </w:div>
    <w:div w:id="829559935">
      <w:bodyDiv w:val="1"/>
      <w:marLeft w:val="0"/>
      <w:marRight w:val="0"/>
      <w:marTop w:val="0"/>
      <w:marBottom w:val="0"/>
      <w:divBdr>
        <w:top w:val="none" w:sz="0" w:space="0" w:color="auto"/>
        <w:left w:val="none" w:sz="0" w:space="0" w:color="auto"/>
        <w:bottom w:val="none" w:sz="0" w:space="0" w:color="auto"/>
        <w:right w:val="none" w:sz="0" w:space="0" w:color="auto"/>
      </w:divBdr>
    </w:div>
    <w:div w:id="830752432">
      <w:bodyDiv w:val="1"/>
      <w:marLeft w:val="0"/>
      <w:marRight w:val="0"/>
      <w:marTop w:val="0"/>
      <w:marBottom w:val="0"/>
      <w:divBdr>
        <w:top w:val="none" w:sz="0" w:space="0" w:color="auto"/>
        <w:left w:val="none" w:sz="0" w:space="0" w:color="auto"/>
        <w:bottom w:val="none" w:sz="0" w:space="0" w:color="auto"/>
        <w:right w:val="none" w:sz="0" w:space="0" w:color="auto"/>
      </w:divBdr>
    </w:div>
    <w:div w:id="836386756">
      <w:bodyDiv w:val="1"/>
      <w:marLeft w:val="0"/>
      <w:marRight w:val="0"/>
      <w:marTop w:val="0"/>
      <w:marBottom w:val="0"/>
      <w:divBdr>
        <w:top w:val="none" w:sz="0" w:space="0" w:color="auto"/>
        <w:left w:val="none" w:sz="0" w:space="0" w:color="auto"/>
        <w:bottom w:val="none" w:sz="0" w:space="0" w:color="auto"/>
        <w:right w:val="none" w:sz="0" w:space="0" w:color="auto"/>
      </w:divBdr>
    </w:div>
    <w:div w:id="838469289">
      <w:bodyDiv w:val="1"/>
      <w:marLeft w:val="0"/>
      <w:marRight w:val="0"/>
      <w:marTop w:val="0"/>
      <w:marBottom w:val="0"/>
      <w:divBdr>
        <w:top w:val="none" w:sz="0" w:space="0" w:color="auto"/>
        <w:left w:val="none" w:sz="0" w:space="0" w:color="auto"/>
        <w:bottom w:val="none" w:sz="0" w:space="0" w:color="auto"/>
        <w:right w:val="none" w:sz="0" w:space="0" w:color="auto"/>
      </w:divBdr>
    </w:div>
    <w:div w:id="839348728">
      <w:bodyDiv w:val="1"/>
      <w:marLeft w:val="0"/>
      <w:marRight w:val="0"/>
      <w:marTop w:val="0"/>
      <w:marBottom w:val="0"/>
      <w:divBdr>
        <w:top w:val="none" w:sz="0" w:space="0" w:color="auto"/>
        <w:left w:val="none" w:sz="0" w:space="0" w:color="auto"/>
        <w:bottom w:val="none" w:sz="0" w:space="0" w:color="auto"/>
        <w:right w:val="none" w:sz="0" w:space="0" w:color="auto"/>
      </w:divBdr>
    </w:div>
    <w:div w:id="841965616">
      <w:bodyDiv w:val="1"/>
      <w:marLeft w:val="0"/>
      <w:marRight w:val="0"/>
      <w:marTop w:val="0"/>
      <w:marBottom w:val="0"/>
      <w:divBdr>
        <w:top w:val="none" w:sz="0" w:space="0" w:color="auto"/>
        <w:left w:val="none" w:sz="0" w:space="0" w:color="auto"/>
        <w:bottom w:val="none" w:sz="0" w:space="0" w:color="auto"/>
        <w:right w:val="none" w:sz="0" w:space="0" w:color="auto"/>
      </w:divBdr>
    </w:div>
    <w:div w:id="845289553">
      <w:bodyDiv w:val="1"/>
      <w:marLeft w:val="0"/>
      <w:marRight w:val="0"/>
      <w:marTop w:val="0"/>
      <w:marBottom w:val="0"/>
      <w:divBdr>
        <w:top w:val="none" w:sz="0" w:space="0" w:color="auto"/>
        <w:left w:val="none" w:sz="0" w:space="0" w:color="auto"/>
        <w:bottom w:val="none" w:sz="0" w:space="0" w:color="auto"/>
        <w:right w:val="none" w:sz="0" w:space="0" w:color="auto"/>
      </w:divBdr>
    </w:div>
    <w:div w:id="845485326">
      <w:bodyDiv w:val="1"/>
      <w:marLeft w:val="0"/>
      <w:marRight w:val="0"/>
      <w:marTop w:val="0"/>
      <w:marBottom w:val="0"/>
      <w:divBdr>
        <w:top w:val="none" w:sz="0" w:space="0" w:color="auto"/>
        <w:left w:val="none" w:sz="0" w:space="0" w:color="auto"/>
        <w:bottom w:val="none" w:sz="0" w:space="0" w:color="auto"/>
        <w:right w:val="none" w:sz="0" w:space="0" w:color="auto"/>
      </w:divBdr>
    </w:div>
    <w:div w:id="847865429">
      <w:bodyDiv w:val="1"/>
      <w:marLeft w:val="0"/>
      <w:marRight w:val="0"/>
      <w:marTop w:val="0"/>
      <w:marBottom w:val="0"/>
      <w:divBdr>
        <w:top w:val="none" w:sz="0" w:space="0" w:color="auto"/>
        <w:left w:val="none" w:sz="0" w:space="0" w:color="auto"/>
        <w:bottom w:val="none" w:sz="0" w:space="0" w:color="auto"/>
        <w:right w:val="none" w:sz="0" w:space="0" w:color="auto"/>
      </w:divBdr>
    </w:div>
    <w:div w:id="850870751">
      <w:bodyDiv w:val="1"/>
      <w:marLeft w:val="0"/>
      <w:marRight w:val="0"/>
      <w:marTop w:val="0"/>
      <w:marBottom w:val="0"/>
      <w:divBdr>
        <w:top w:val="none" w:sz="0" w:space="0" w:color="auto"/>
        <w:left w:val="none" w:sz="0" w:space="0" w:color="auto"/>
        <w:bottom w:val="none" w:sz="0" w:space="0" w:color="auto"/>
        <w:right w:val="none" w:sz="0" w:space="0" w:color="auto"/>
      </w:divBdr>
    </w:div>
    <w:div w:id="852259570">
      <w:bodyDiv w:val="1"/>
      <w:marLeft w:val="0"/>
      <w:marRight w:val="0"/>
      <w:marTop w:val="0"/>
      <w:marBottom w:val="0"/>
      <w:divBdr>
        <w:top w:val="none" w:sz="0" w:space="0" w:color="auto"/>
        <w:left w:val="none" w:sz="0" w:space="0" w:color="auto"/>
        <w:bottom w:val="none" w:sz="0" w:space="0" w:color="auto"/>
        <w:right w:val="none" w:sz="0" w:space="0" w:color="auto"/>
      </w:divBdr>
    </w:div>
    <w:div w:id="854879586">
      <w:bodyDiv w:val="1"/>
      <w:marLeft w:val="0"/>
      <w:marRight w:val="0"/>
      <w:marTop w:val="0"/>
      <w:marBottom w:val="0"/>
      <w:divBdr>
        <w:top w:val="none" w:sz="0" w:space="0" w:color="auto"/>
        <w:left w:val="none" w:sz="0" w:space="0" w:color="auto"/>
        <w:bottom w:val="none" w:sz="0" w:space="0" w:color="auto"/>
        <w:right w:val="none" w:sz="0" w:space="0" w:color="auto"/>
      </w:divBdr>
    </w:div>
    <w:div w:id="856038241">
      <w:bodyDiv w:val="1"/>
      <w:marLeft w:val="0"/>
      <w:marRight w:val="0"/>
      <w:marTop w:val="0"/>
      <w:marBottom w:val="0"/>
      <w:divBdr>
        <w:top w:val="none" w:sz="0" w:space="0" w:color="auto"/>
        <w:left w:val="none" w:sz="0" w:space="0" w:color="auto"/>
        <w:bottom w:val="none" w:sz="0" w:space="0" w:color="auto"/>
        <w:right w:val="none" w:sz="0" w:space="0" w:color="auto"/>
      </w:divBdr>
    </w:div>
    <w:div w:id="858086960">
      <w:bodyDiv w:val="1"/>
      <w:marLeft w:val="0"/>
      <w:marRight w:val="0"/>
      <w:marTop w:val="0"/>
      <w:marBottom w:val="0"/>
      <w:divBdr>
        <w:top w:val="none" w:sz="0" w:space="0" w:color="auto"/>
        <w:left w:val="none" w:sz="0" w:space="0" w:color="auto"/>
        <w:bottom w:val="none" w:sz="0" w:space="0" w:color="auto"/>
        <w:right w:val="none" w:sz="0" w:space="0" w:color="auto"/>
      </w:divBdr>
    </w:div>
    <w:div w:id="866287088">
      <w:bodyDiv w:val="1"/>
      <w:marLeft w:val="0"/>
      <w:marRight w:val="0"/>
      <w:marTop w:val="0"/>
      <w:marBottom w:val="0"/>
      <w:divBdr>
        <w:top w:val="none" w:sz="0" w:space="0" w:color="auto"/>
        <w:left w:val="none" w:sz="0" w:space="0" w:color="auto"/>
        <w:bottom w:val="none" w:sz="0" w:space="0" w:color="auto"/>
        <w:right w:val="none" w:sz="0" w:space="0" w:color="auto"/>
      </w:divBdr>
    </w:div>
    <w:div w:id="866451633">
      <w:bodyDiv w:val="1"/>
      <w:marLeft w:val="0"/>
      <w:marRight w:val="0"/>
      <w:marTop w:val="0"/>
      <w:marBottom w:val="0"/>
      <w:divBdr>
        <w:top w:val="none" w:sz="0" w:space="0" w:color="auto"/>
        <w:left w:val="none" w:sz="0" w:space="0" w:color="auto"/>
        <w:bottom w:val="none" w:sz="0" w:space="0" w:color="auto"/>
        <w:right w:val="none" w:sz="0" w:space="0" w:color="auto"/>
      </w:divBdr>
    </w:div>
    <w:div w:id="873155726">
      <w:bodyDiv w:val="1"/>
      <w:marLeft w:val="0"/>
      <w:marRight w:val="0"/>
      <w:marTop w:val="0"/>
      <w:marBottom w:val="0"/>
      <w:divBdr>
        <w:top w:val="none" w:sz="0" w:space="0" w:color="auto"/>
        <w:left w:val="none" w:sz="0" w:space="0" w:color="auto"/>
        <w:bottom w:val="none" w:sz="0" w:space="0" w:color="auto"/>
        <w:right w:val="none" w:sz="0" w:space="0" w:color="auto"/>
      </w:divBdr>
    </w:div>
    <w:div w:id="879627579">
      <w:bodyDiv w:val="1"/>
      <w:marLeft w:val="0"/>
      <w:marRight w:val="0"/>
      <w:marTop w:val="0"/>
      <w:marBottom w:val="0"/>
      <w:divBdr>
        <w:top w:val="none" w:sz="0" w:space="0" w:color="auto"/>
        <w:left w:val="none" w:sz="0" w:space="0" w:color="auto"/>
        <w:bottom w:val="none" w:sz="0" w:space="0" w:color="auto"/>
        <w:right w:val="none" w:sz="0" w:space="0" w:color="auto"/>
      </w:divBdr>
    </w:div>
    <w:div w:id="881940097">
      <w:bodyDiv w:val="1"/>
      <w:marLeft w:val="0"/>
      <w:marRight w:val="0"/>
      <w:marTop w:val="0"/>
      <w:marBottom w:val="0"/>
      <w:divBdr>
        <w:top w:val="none" w:sz="0" w:space="0" w:color="auto"/>
        <w:left w:val="none" w:sz="0" w:space="0" w:color="auto"/>
        <w:bottom w:val="none" w:sz="0" w:space="0" w:color="auto"/>
        <w:right w:val="none" w:sz="0" w:space="0" w:color="auto"/>
      </w:divBdr>
    </w:div>
    <w:div w:id="887381134">
      <w:bodyDiv w:val="1"/>
      <w:marLeft w:val="0"/>
      <w:marRight w:val="0"/>
      <w:marTop w:val="0"/>
      <w:marBottom w:val="0"/>
      <w:divBdr>
        <w:top w:val="none" w:sz="0" w:space="0" w:color="auto"/>
        <w:left w:val="none" w:sz="0" w:space="0" w:color="auto"/>
        <w:bottom w:val="none" w:sz="0" w:space="0" w:color="auto"/>
        <w:right w:val="none" w:sz="0" w:space="0" w:color="auto"/>
      </w:divBdr>
    </w:div>
    <w:div w:id="888760626">
      <w:bodyDiv w:val="1"/>
      <w:marLeft w:val="0"/>
      <w:marRight w:val="0"/>
      <w:marTop w:val="0"/>
      <w:marBottom w:val="0"/>
      <w:divBdr>
        <w:top w:val="none" w:sz="0" w:space="0" w:color="auto"/>
        <w:left w:val="none" w:sz="0" w:space="0" w:color="auto"/>
        <w:bottom w:val="none" w:sz="0" w:space="0" w:color="auto"/>
        <w:right w:val="none" w:sz="0" w:space="0" w:color="auto"/>
      </w:divBdr>
    </w:div>
    <w:div w:id="888764162">
      <w:bodyDiv w:val="1"/>
      <w:marLeft w:val="0"/>
      <w:marRight w:val="0"/>
      <w:marTop w:val="0"/>
      <w:marBottom w:val="0"/>
      <w:divBdr>
        <w:top w:val="none" w:sz="0" w:space="0" w:color="auto"/>
        <w:left w:val="none" w:sz="0" w:space="0" w:color="auto"/>
        <w:bottom w:val="none" w:sz="0" w:space="0" w:color="auto"/>
        <w:right w:val="none" w:sz="0" w:space="0" w:color="auto"/>
      </w:divBdr>
    </w:div>
    <w:div w:id="896866674">
      <w:bodyDiv w:val="1"/>
      <w:marLeft w:val="0"/>
      <w:marRight w:val="0"/>
      <w:marTop w:val="0"/>
      <w:marBottom w:val="0"/>
      <w:divBdr>
        <w:top w:val="none" w:sz="0" w:space="0" w:color="auto"/>
        <w:left w:val="none" w:sz="0" w:space="0" w:color="auto"/>
        <w:bottom w:val="none" w:sz="0" w:space="0" w:color="auto"/>
        <w:right w:val="none" w:sz="0" w:space="0" w:color="auto"/>
      </w:divBdr>
    </w:div>
    <w:div w:id="900946589">
      <w:bodyDiv w:val="1"/>
      <w:marLeft w:val="0"/>
      <w:marRight w:val="0"/>
      <w:marTop w:val="0"/>
      <w:marBottom w:val="0"/>
      <w:divBdr>
        <w:top w:val="none" w:sz="0" w:space="0" w:color="auto"/>
        <w:left w:val="none" w:sz="0" w:space="0" w:color="auto"/>
        <w:bottom w:val="none" w:sz="0" w:space="0" w:color="auto"/>
        <w:right w:val="none" w:sz="0" w:space="0" w:color="auto"/>
      </w:divBdr>
    </w:div>
    <w:div w:id="902521395">
      <w:bodyDiv w:val="1"/>
      <w:marLeft w:val="0"/>
      <w:marRight w:val="0"/>
      <w:marTop w:val="0"/>
      <w:marBottom w:val="0"/>
      <w:divBdr>
        <w:top w:val="none" w:sz="0" w:space="0" w:color="auto"/>
        <w:left w:val="none" w:sz="0" w:space="0" w:color="auto"/>
        <w:bottom w:val="none" w:sz="0" w:space="0" w:color="auto"/>
        <w:right w:val="none" w:sz="0" w:space="0" w:color="auto"/>
      </w:divBdr>
    </w:div>
    <w:div w:id="903375629">
      <w:bodyDiv w:val="1"/>
      <w:marLeft w:val="0"/>
      <w:marRight w:val="0"/>
      <w:marTop w:val="0"/>
      <w:marBottom w:val="0"/>
      <w:divBdr>
        <w:top w:val="none" w:sz="0" w:space="0" w:color="auto"/>
        <w:left w:val="none" w:sz="0" w:space="0" w:color="auto"/>
        <w:bottom w:val="none" w:sz="0" w:space="0" w:color="auto"/>
        <w:right w:val="none" w:sz="0" w:space="0" w:color="auto"/>
      </w:divBdr>
    </w:div>
    <w:div w:id="906649833">
      <w:bodyDiv w:val="1"/>
      <w:marLeft w:val="0"/>
      <w:marRight w:val="0"/>
      <w:marTop w:val="0"/>
      <w:marBottom w:val="0"/>
      <w:divBdr>
        <w:top w:val="none" w:sz="0" w:space="0" w:color="auto"/>
        <w:left w:val="none" w:sz="0" w:space="0" w:color="auto"/>
        <w:bottom w:val="none" w:sz="0" w:space="0" w:color="auto"/>
        <w:right w:val="none" w:sz="0" w:space="0" w:color="auto"/>
      </w:divBdr>
    </w:div>
    <w:div w:id="909271394">
      <w:bodyDiv w:val="1"/>
      <w:marLeft w:val="0"/>
      <w:marRight w:val="0"/>
      <w:marTop w:val="0"/>
      <w:marBottom w:val="0"/>
      <w:divBdr>
        <w:top w:val="none" w:sz="0" w:space="0" w:color="auto"/>
        <w:left w:val="none" w:sz="0" w:space="0" w:color="auto"/>
        <w:bottom w:val="none" w:sz="0" w:space="0" w:color="auto"/>
        <w:right w:val="none" w:sz="0" w:space="0" w:color="auto"/>
      </w:divBdr>
    </w:div>
    <w:div w:id="912423791">
      <w:bodyDiv w:val="1"/>
      <w:marLeft w:val="0"/>
      <w:marRight w:val="0"/>
      <w:marTop w:val="0"/>
      <w:marBottom w:val="0"/>
      <w:divBdr>
        <w:top w:val="none" w:sz="0" w:space="0" w:color="auto"/>
        <w:left w:val="none" w:sz="0" w:space="0" w:color="auto"/>
        <w:bottom w:val="none" w:sz="0" w:space="0" w:color="auto"/>
        <w:right w:val="none" w:sz="0" w:space="0" w:color="auto"/>
      </w:divBdr>
    </w:div>
    <w:div w:id="913784498">
      <w:bodyDiv w:val="1"/>
      <w:marLeft w:val="0"/>
      <w:marRight w:val="0"/>
      <w:marTop w:val="0"/>
      <w:marBottom w:val="0"/>
      <w:divBdr>
        <w:top w:val="none" w:sz="0" w:space="0" w:color="auto"/>
        <w:left w:val="none" w:sz="0" w:space="0" w:color="auto"/>
        <w:bottom w:val="none" w:sz="0" w:space="0" w:color="auto"/>
        <w:right w:val="none" w:sz="0" w:space="0" w:color="auto"/>
      </w:divBdr>
    </w:div>
    <w:div w:id="918708048">
      <w:bodyDiv w:val="1"/>
      <w:marLeft w:val="0"/>
      <w:marRight w:val="0"/>
      <w:marTop w:val="0"/>
      <w:marBottom w:val="0"/>
      <w:divBdr>
        <w:top w:val="none" w:sz="0" w:space="0" w:color="auto"/>
        <w:left w:val="none" w:sz="0" w:space="0" w:color="auto"/>
        <w:bottom w:val="none" w:sz="0" w:space="0" w:color="auto"/>
        <w:right w:val="none" w:sz="0" w:space="0" w:color="auto"/>
      </w:divBdr>
    </w:div>
    <w:div w:id="921522257">
      <w:bodyDiv w:val="1"/>
      <w:marLeft w:val="0"/>
      <w:marRight w:val="0"/>
      <w:marTop w:val="0"/>
      <w:marBottom w:val="0"/>
      <w:divBdr>
        <w:top w:val="none" w:sz="0" w:space="0" w:color="auto"/>
        <w:left w:val="none" w:sz="0" w:space="0" w:color="auto"/>
        <w:bottom w:val="none" w:sz="0" w:space="0" w:color="auto"/>
        <w:right w:val="none" w:sz="0" w:space="0" w:color="auto"/>
      </w:divBdr>
    </w:div>
    <w:div w:id="925580688">
      <w:bodyDiv w:val="1"/>
      <w:marLeft w:val="0"/>
      <w:marRight w:val="0"/>
      <w:marTop w:val="0"/>
      <w:marBottom w:val="0"/>
      <w:divBdr>
        <w:top w:val="none" w:sz="0" w:space="0" w:color="auto"/>
        <w:left w:val="none" w:sz="0" w:space="0" w:color="auto"/>
        <w:bottom w:val="none" w:sz="0" w:space="0" w:color="auto"/>
        <w:right w:val="none" w:sz="0" w:space="0" w:color="auto"/>
      </w:divBdr>
    </w:div>
    <w:div w:id="926769999">
      <w:bodyDiv w:val="1"/>
      <w:marLeft w:val="0"/>
      <w:marRight w:val="0"/>
      <w:marTop w:val="0"/>
      <w:marBottom w:val="0"/>
      <w:divBdr>
        <w:top w:val="none" w:sz="0" w:space="0" w:color="auto"/>
        <w:left w:val="none" w:sz="0" w:space="0" w:color="auto"/>
        <w:bottom w:val="none" w:sz="0" w:space="0" w:color="auto"/>
        <w:right w:val="none" w:sz="0" w:space="0" w:color="auto"/>
      </w:divBdr>
    </w:div>
    <w:div w:id="926957752">
      <w:bodyDiv w:val="1"/>
      <w:marLeft w:val="0"/>
      <w:marRight w:val="0"/>
      <w:marTop w:val="0"/>
      <w:marBottom w:val="0"/>
      <w:divBdr>
        <w:top w:val="none" w:sz="0" w:space="0" w:color="auto"/>
        <w:left w:val="none" w:sz="0" w:space="0" w:color="auto"/>
        <w:bottom w:val="none" w:sz="0" w:space="0" w:color="auto"/>
        <w:right w:val="none" w:sz="0" w:space="0" w:color="auto"/>
      </w:divBdr>
    </w:div>
    <w:div w:id="929506419">
      <w:bodyDiv w:val="1"/>
      <w:marLeft w:val="0"/>
      <w:marRight w:val="0"/>
      <w:marTop w:val="0"/>
      <w:marBottom w:val="0"/>
      <w:divBdr>
        <w:top w:val="none" w:sz="0" w:space="0" w:color="auto"/>
        <w:left w:val="none" w:sz="0" w:space="0" w:color="auto"/>
        <w:bottom w:val="none" w:sz="0" w:space="0" w:color="auto"/>
        <w:right w:val="none" w:sz="0" w:space="0" w:color="auto"/>
      </w:divBdr>
    </w:div>
    <w:div w:id="932976552">
      <w:bodyDiv w:val="1"/>
      <w:marLeft w:val="0"/>
      <w:marRight w:val="0"/>
      <w:marTop w:val="0"/>
      <w:marBottom w:val="0"/>
      <w:divBdr>
        <w:top w:val="none" w:sz="0" w:space="0" w:color="auto"/>
        <w:left w:val="none" w:sz="0" w:space="0" w:color="auto"/>
        <w:bottom w:val="none" w:sz="0" w:space="0" w:color="auto"/>
        <w:right w:val="none" w:sz="0" w:space="0" w:color="auto"/>
      </w:divBdr>
    </w:div>
    <w:div w:id="933174436">
      <w:bodyDiv w:val="1"/>
      <w:marLeft w:val="0"/>
      <w:marRight w:val="0"/>
      <w:marTop w:val="0"/>
      <w:marBottom w:val="0"/>
      <w:divBdr>
        <w:top w:val="none" w:sz="0" w:space="0" w:color="auto"/>
        <w:left w:val="none" w:sz="0" w:space="0" w:color="auto"/>
        <w:bottom w:val="none" w:sz="0" w:space="0" w:color="auto"/>
        <w:right w:val="none" w:sz="0" w:space="0" w:color="auto"/>
      </w:divBdr>
    </w:div>
    <w:div w:id="934899781">
      <w:bodyDiv w:val="1"/>
      <w:marLeft w:val="0"/>
      <w:marRight w:val="0"/>
      <w:marTop w:val="0"/>
      <w:marBottom w:val="0"/>
      <w:divBdr>
        <w:top w:val="none" w:sz="0" w:space="0" w:color="auto"/>
        <w:left w:val="none" w:sz="0" w:space="0" w:color="auto"/>
        <w:bottom w:val="none" w:sz="0" w:space="0" w:color="auto"/>
        <w:right w:val="none" w:sz="0" w:space="0" w:color="auto"/>
      </w:divBdr>
    </w:div>
    <w:div w:id="936981150">
      <w:bodyDiv w:val="1"/>
      <w:marLeft w:val="0"/>
      <w:marRight w:val="0"/>
      <w:marTop w:val="0"/>
      <w:marBottom w:val="0"/>
      <w:divBdr>
        <w:top w:val="none" w:sz="0" w:space="0" w:color="auto"/>
        <w:left w:val="none" w:sz="0" w:space="0" w:color="auto"/>
        <w:bottom w:val="none" w:sz="0" w:space="0" w:color="auto"/>
        <w:right w:val="none" w:sz="0" w:space="0" w:color="auto"/>
      </w:divBdr>
    </w:div>
    <w:div w:id="937912737">
      <w:bodyDiv w:val="1"/>
      <w:marLeft w:val="0"/>
      <w:marRight w:val="0"/>
      <w:marTop w:val="0"/>
      <w:marBottom w:val="0"/>
      <w:divBdr>
        <w:top w:val="none" w:sz="0" w:space="0" w:color="auto"/>
        <w:left w:val="none" w:sz="0" w:space="0" w:color="auto"/>
        <w:bottom w:val="none" w:sz="0" w:space="0" w:color="auto"/>
        <w:right w:val="none" w:sz="0" w:space="0" w:color="auto"/>
      </w:divBdr>
    </w:div>
    <w:div w:id="938293909">
      <w:bodyDiv w:val="1"/>
      <w:marLeft w:val="0"/>
      <w:marRight w:val="0"/>
      <w:marTop w:val="0"/>
      <w:marBottom w:val="0"/>
      <w:divBdr>
        <w:top w:val="none" w:sz="0" w:space="0" w:color="auto"/>
        <w:left w:val="none" w:sz="0" w:space="0" w:color="auto"/>
        <w:bottom w:val="none" w:sz="0" w:space="0" w:color="auto"/>
        <w:right w:val="none" w:sz="0" w:space="0" w:color="auto"/>
      </w:divBdr>
    </w:div>
    <w:div w:id="939409337">
      <w:bodyDiv w:val="1"/>
      <w:marLeft w:val="0"/>
      <w:marRight w:val="0"/>
      <w:marTop w:val="0"/>
      <w:marBottom w:val="0"/>
      <w:divBdr>
        <w:top w:val="none" w:sz="0" w:space="0" w:color="auto"/>
        <w:left w:val="none" w:sz="0" w:space="0" w:color="auto"/>
        <w:bottom w:val="none" w:sz="0" w:space="0" w:color="auto"/>
        <w:right w:val="none" w:sz="0" w:space="0" w:color="auto"/>
      </w:divBdr>
    </w:div>
    <w:div w:id="942883686">
      <w:bodyDiv w:val="1"/>
      <w:marLeft w:val="0"/>
      <w:marRight w:val="0"/>
      <w:marTop w:val="0"/>
      <w:marBottom w:val="0"/>
      <w:divBdr>
        <w:top w:val="none" w:sz="0" w:space="0" w:color="auto"/>
        <w:left w:val="none" w:sz="0" w:space="0" w:color="auto"/>
        <w:bottom w:val="none" w:sz="0" w:space="0" w:color="auto"/>
        <w:right w:val="none" w:sz="0" w:space="0" w:color="auto"/>
      </w:divBdr>
    </w:div>
    <w:div w:id="946012177">
      <w:bodyDiv w:val="1"/>
      <w:marLeft w:val="0"/>
      <w:marRight w:val="0"/>
      <w:marTop w:val="0"/>
      <w:marBottom w:val="0"/>
      <w:divBdr>
        <w:top w:val="none" w:sz="0" w:space="0" w:color="auto"/>
        <w:left w:val="none" w:sz="0" w:space="0" w:color="auto"/>
        <w:bottom w:val="none" w:sz="0" w:space="0" w:color="auto"/>
        <w:right w:val="none" w:sz="0" w:space="0" w:color="auto"/>
      </w:divBdr>
    </w:div>
    <w:div w:id="946692796">
      <w:bodyDiv w:val="1"/>
      <w:marLeft w:val="0"/>
      <w:marRight w:val="0"/>
      <w:marTop w:val="0"/>
      <w:marBottom w:val="0"/>
      <w:divBdr>
        <w:top w:val="none" w:sz="0" w:space="0" w:color="auto"/>
        <w:left w:val="none" w:sz="0" w:space="0" w:color="auto"/>
        <w:bottom w:val="none" w:sz="0" w:space="0" w:color="auto"/>
        <w:right w:val="none" w:sz="0" w:space="0" w:color="auto"/>
      </w:divBdr>
    </w:div>
    <w:div w:id="946694345">
      <w:bodyDiv w:val="1"/>
      <w:marLeft w:val="0"/>
      <w:marRight w:val="0"/>
      <w:marTop w:val="0"/>
      <w:marBottom w:val="0"/>
      <w:divBdr>
        <w:top w:val="none" w:sz="0" w:space="0" w:color="auto"/>
        <w:left w:val="none" w:sz="0" w:space="0" w:color="auto"/>
        <w:bottom w:val="none" w:sz="0" w:space="0" w:color="auto"/>
        <w:right w:val="none" w:sz="0" w:space="0" w:color="auto"/>
      </w:divBdr>
    </w:div>
    <w:div w:id="947195901">
      <w:bodyDiv w:val="1"/>
      <w:marLeft w:val="0"/>
      <w:marRight w:val="0"/>
      <w:marTop w:val="0"/>
      <w:marBottom w:val="0"/>
      <w:divBdr>
        <w:top w:val="none" w:sz="0" w:space="0" w:color="auto"/>
        <w:left w:val="none" w:sz="0" w:space="0" w:color="auto"/>
        <w:bottom w:val="none" w:sz="0" w:space="0" w:color="auto"/>
        <w:right w:val="none" w:sz="0" w:space="0" w:color="auto"/>
      </w:divBdr>
    </w:div>
    <w:div w:id="951597864">
      <w:bodyDiv w:val="1"/>
      <w:marLeft w:val="0"/>
      <w:marRight w:val="0"/>
      <w:marTop w:val="0"/>
      <w:marBottom w:val="0"/>
      <w:divBdr>
        <w:top w:val="none" w:sz="0" w:space="0" w:color="auto"/>
        <w:left w:val="none" w:sz="0" w:space="0" w:color="auto"/>
        <w:bottom w:val="none" w:sz="0" w:space="0" w:color="auto"/>
        <w:right w:val="none" w:sz="0" w:space="0" w:color="auto"/>
      </w:divBdr>
    </w:div>
    <w:div w:id="956568131">
      <w:bodyDiv w:val="1"/>
      <w:marLeft w:val="0"/>
      <w:marRight w:val="0"/>
      <w:marTop w:val="0"/>
      <w:marBottom w:val="0"/>
      <w:divBdr>
        <w:top w:val="none" w:sz="0" w:space="0" w:color="auto"/>
        <w:left w:val="none" w:sz="0" w:space="0" w:color="auto"/>
        <w:bottom w:val="none" w:sz="0" w:space="0" w:color="auto"/>
        <w:right w:val="none" w:sz="0" w:space="0" w:color="auto"/>
      </w:divBdr>
    </w:div>
    <w:div w:id="962150057">
      <w:bodyDiv w:val="1"/>
      <w:marLeft w:val="0"/>
      <w:marRight w:val="0"/>
      <w:marTop w:val="0"/>
      <w:marBottom w:val="0"/>
      <w:divBdr>
        <w:top w:val="none" w:sz="0" w:space="0" w:color="auto"/>
        <w:left w:val="none" w:sz="0" w:space="0" w:color="auto"/>
        <w:bottom w:val="none" w:sz="0" w:space="0" w:color="auto"/>
        <w:right w:val="none" w:sz="0" w:space="0" w:color="auto"/>
      </w:divBdr>
    </w:div>
    <w:div w:id="965618184">
      <w:bodyDiv w:val="1"/>
      <w:marLeft w:val="0"/>
      <w:marRight w:val="0"/>
      <w:marTop w:val="0"/>
      <w:marBottom w:val="0"/>
      <w:divBdr>
        <w:top w:val="none" w:sz="0" w:space="0" w:color="auto"/>
        <w:left w:val="none" w:sz="0" w:space="0" w:color="auto"/>
        <w:bottom w:val="none" w:sz="0" w:space="0" w:color="auto"/>
        <w:right w:val="none" w:sz="0" w:space="0" w:color="auto"/>
      </w:divBdr>
    </w:div>
    <w:div w:id="973219271">
      <w:bodyDiv w:val="1"/>
      <w:marLeft w:val="0"/>
      <w:marRight w:val="0"/>
      <w:marTop w:val="0"/>
      <w:marBottom w:val="0"/>
      <w:divBdr>
        <w:top w:val="none" w:sz="0" w:space="0" w:color="auto"/>
        <w:left w:val="none" w:sz="0" w:space="0" w:color="auto"/>
        <w:bottom w:val="none" w:sz="0" w:space="0" w:color="auto"/>
        <w:right w:val="none" w:sz="0" w:space="0" w:color="auto"/>
      </w:divBdr>
    </w:div>
    <w:div w:id="981227636">
      <w:bodyDiv w:val="1"/>
      <w:marLeft w:val="0"/>
      <w:marRight w:val="0"/>
      <w:marTop w:val="0"/>
      <w:marBottom w:val="0"/>
      <w:divBdr>
        <w:top w:val="none" w:sz="0" w:space="0" w:color="auto"/>
        <w:left w:val="none" w:sz="0" w:space="0" w:color="auto"/>
        <w:bottom w:val="none" w:sz="0" w:space="0" w:color="auto"/>
        <w:right w:val="none" w:sz="0" w:space="0" w:color="auto"/>
      </w:divBdr>
    </w:div>
    <w:div w:id="987588849">
      <w:bodyDiv w:val="1"/>
      <w:marLeft w:val="0"/>
      <w:marRight w:val="0"/>
      <w:marTop w:val="0"/>
      <w:marBottom w:val="0"/>
      <w:divBdr>
        <w:top w:val="none" w:sz="0" w:space="0" w:color="auto"/>
        <w:left w:val="none" w:sz="0" w:space="0" w:color="auto"/>
        <w:bottom w:val="none" w:sz="0" w:space="0" w:color="auto"/>
        <w:right w:val="none" w:sz="0" w:space="0" w:color="auto"/>
      </w:divBdr>
    </w:div>
    <w:div w:id="991563624">
      <w:bodyDiv w:val="1"/>
      <w:marLeft w:val="0"/>
      <w:marRight w:val="0"/>
      <w:marTop w:val="0"/>
      <w:marBottom w:val="0"/>
      <w:divBdr>
        <w:top w:val="none" w:sz="0" w:space="0" w:color="auto"/>
        <w:left w:val="none" w:sz="0" w:space="0" w:color="auto"/>
        <w:bottom w:val="none" w:sz="0" w:space="0" w:color="auto"/>
        <w:right w:val="none" w:sz="0" w:space="0" w:color="auto"/>
      </w:divBdr>
    </w:div>
    <w:div w:id="1001196201">
      <w:bodyDiv w:val="1"/>
      <w:marLeft w:val="0"/>
      <w:marRight w:val="0"/>
      <w:marTop w:val="0"/>
      <w:marBottom w:val="0"/>
      <w:divBdr>
        <w:top w:val="none" w:sz="0" w:space="0" w:color="auto"/>
        <w:left w:val="none" w:sz="0" w:space="0" w:color="auto"/>
        <w:bottom w:val="none" w:sz="0" w:space="0" w:color="auto"/>
        <w:right w:val="none" w:sz="0" w:space="0" w:color="auto"/>
      </w:divBdr>
    </w:div>
    <w:div w:id="1001860126">
      <w:bodyDiv w:val="1"/>
      <w:marLeft w:val="0"/>
      <w:marRight w:val="0"/>
      <w:marTop w:val="0"/>
      <w:marBottom w:val="0"/>
      <w:divBdr>
        <w:top w:val="none" w:sz="0" w:space="0" w:color="auto"/>
        <w:left w:val="none" w:sz="0" w:space="0" w:color="auto"/>
        <w:bottom w:val="none" w:sz="0" w:space="0" w:color="auto"/>
        <w:right w:val="none" w:sz="0" w:space="0" w:color="auto"/>
      </w:divBdr>
    </w:div>
    <w:div w:id="1003319845">
      <w:bodyDiv w:val="1"/>
      <w:marLeft w:val="0"/>
      <w:marRight w:val="0"/>
      <w:marTop w:val="0"/>
      <w:marBottom w:val="0"/>
      <w:divBdr>
        <w:top w:val="none" w:sz="0" w:space="0" w:color="auto"/>
        <w:left w:val="none" w:sz="0" w:space="0" w:color="auto"/>
        <w:bottom w:val="none" w:sz="0" w:space="0" w:color="auto"/>
        <w:right w:val="none" w:sz="0" w:space="0" w:color="auto"/>
      </w:divBdr>
    </w:div>
    <w:div w:id="1004436406">
      <w:bodyDiv w:val="1"/>
      <w:marLeft w:val="0"/>
      <w:marRight w:val="0"/>
      <w:marTop w:val="0"/>
      <w:marBottom w:val="0"/>
      <w:divBdr>
        <w:top w:val="none" w:sz="0" w:space="0" w:color="auto"/>
        <w:left w:val="none" w:sz="0" w:space="0" w:color="auto"/>
        <w:bottom w:val="none" w:sz="0" w:space="0" w:color="auto"/>
        <w:right w:val="none" w:sz="0" w:space="0" w:color="auto"/>
      </w:divBdr>
    </w:div>
    <w:div w:id="1008211208">
      <w:bodyDiv w:val="1"/>
      <w:marLeft w:val="0"/>
      <w:marRight w:val="0"/>
      <w:marTop w:val="0"/>
      <w:marBottom w:val="0"/>
      <w:divBdr>
        <w:top w:val="none" w:sz="0" w:space="0" w:color="auto"/>
        <w:left w:val="none" w:sz="0" w:space="0" w:color="auto"/>
        <w:bottom w:val="none" w:sz="0" w:space="0" w:color="auto"/>
        <w:right w:val="none" w:sz="0" w:space="0" w:color="auto"/>
      </w:divBdr>
    </w:div>
    <w:div w:id="1012604534">
      <w:bodyDiv w:val="1"/>
      <w:marLeft w:val="0"/>
      <w:marRight w:val="0"/>
      <w:marTop w:val="0"/>
      <w:marBottom w:val="0"/>
      <w:divBdr>
        <w:top w:val="none" w:sz="0" w:space="0" w:color="auto"/>
        <w:left w:val="none" w:sz="0" w:space="0" w:color="auto"/>
        <w:bottom w:val="none" w:sz="0" w:space="0" w:color="auto"/>
        <w:right w:val="none" w:sz="0" w:space="0" w:color="auto"/>
      </w:divBdr>
    </w:div>
    <w:div w:id="1020013163">
      <w:bodyDiv w:val="1"/>
      <w:marLeft w:val="0"/>
      <w:marRight w:val="0"/>
      <w:marTop w:val="0"/>
      <w:marBottom w:val="0"/>
      <w:divBdr>
        <w:top w:val="none" w:sz="0" w:space="0" w:color="auto"/>
        <w:left w:val="none" w:sz="0" w:space="0" w:color="auto"/>
        <w:bottom w:val="none" w:sz="0" w:space="0" w:color="auto"/>
        <w:right w:val="none" w:sz="0" w:space="0" w:color="auto"/>
      </w:divBdr>
    </w:div>
    <w:div w:id="1023743996">
      <w:bodyDiv w:val="1"/>
      <w:marLeft w:val="0"/>
      <w:marRight w:val="0"/>
      <w:marTop w:val="0"/>
      <w:marBottom w:val="0"/>
      <w:divBdr>
        <w:top w:val="none" w:sz="0" w:space="0" w:color="auto"/>
        <w:left w:val="none" w:sz="0" w:space="0" w:color="auto"/>
        <w:bottom w:val="none" w:sz="0" w:space="0" w:color="auto"/>
        <w:right w:val="none" w:sz="0" w:space="0" w:color="auto"/>
      </w:divBdr>
    </w:div>
    <w:div w:id="1024593440">
      <w:bodyDiv w:val="1"/>
      <w:marLeft w:val="0"/>
      <w:marRight w:val="0"/>
      <w:marTop w:val="0"/>
      <w:marBottom w:val="0"/>
      <w:divBdr>
        <w:top w:val="none" w:sz="0" w:space="0" w:color="auto"/>
        <w:left w:val="none" w:sz="0" w:space="0" w:color="auto"/>
        <w:bottom w:val="none" w:sz="0" w:space="0" w:color="auto"/>
        <w:right w:val="none" w:sz="0" w:space="0" w:color="auto"/>
      </w:divBdr>
    </w:div>
    <w:div w:id="1026522636">
      <w:bodyDiv w:val="1"/>
      <w:marLeft w:val="0"/>
      <w:marRight w:val="0"/>
      <w:marTop w:val="0"/>
      <w:marBottom w:val="0"/>
      <w:divBdr>
        <w:top w:val="none" w:sz="0" w:space="0" w:color="auto"/>
        <w:left w:val="none" w:sz="0" w:space="0" w:color="auto"/>
        <w:bottom w:val="none" w:sz="0" w:space="0" w:color="auto"/>
        <w:right w:val="none" w:sz="0" w:space="0" w:color="auto"/>
      </w:divBdr>
    </w:div>
    <w:div w:id="1027021823">
      <w:bodyDiv w:val="1"/>
      <w:marLeft w:val="0"/>
      <w:marRight w:val="0"/>
      <w:marTop w:val="0"/>
      <w:marBottom w:val="0"/>
      <w:divBdr>
        <w:top w:val="none" w:sz="0" w:space="0" w:color="auto"/>
        <w:left w:val="none" w:sz="0" w:space="0" w:color="auto"/>
        <w:bottom w:val="none" w:sz="0" w:space="0" w:color="auto"/>
        <w:right w:val="none" w:sz="0" w:space="0" w:color="auto"/>
      </w:divBdr>
    </w:div>
    <w:div w:id="1032805636">
      <w:bodyDiv w:val="1"/>
      <w:marLeft w:val="0"/>
      <w:marRight w:val="0"/>
      <w:marTop w:val="0"/>
      <w:marBottom w:val="0"/>
      <w:divBdr>
        <w:top w:val="none" w:sz="0" w:space="0" w:color="auto"/>
        <w:left w:val="none" w:sz="0" w:space="0" w:color="auto"/>
        <w:bottom w:val="none" w:sz="0" w:space="0" w:color="auto"/>
        <w:right w:val="none" w:sz="0" w:space="0" w:color="auto"/>
      </w:divBdr>
    </w:div>
    <w:div w:id="1033119650">
      <w:bodyDiv w:val="1"/>
      <w:marLeft w:val="0"/>
      <w:marRight w:val="0"/>
      <w:marTop w:val="0"/>
      <w:marBottom w:val="0"/>
      <w:divBdr>
        <w:top w:val="none" w:sz="0" w:space="0" w:color="auto"/>
        <w:left w:val="none" w:sz="0" w:space="0" w:color="auto"/>
        <w:bottom w:val="none" w:sz="0" w:space="0" w:color="auto"/>
        <w:right w:val="none" w:sz="0" w:space="0" w:color="auto"/>
      </w:divBdr>
    </w:div>
    <w:div w:id="1033578306">
      <w:bodyDiv w:val="1"/>
      <w:marLeft w:val="0"/>
      <w:marRight w:val="0"/>
      <w:marTop w:val="0"/>
      <w:marBottom w:val="0"/>
      <w:divBdr>
        <w:top w:val="none" w:sz="0" w:space="0" w:color="auto"/>
        <w:left w:val="none" w:sz="0" w:space="0" w:color="auto"/>
        <w:bottom w:val="none" w:sz="0" w:space="0" w:color="auto"/>
        <w:right w:val="none" w:sz="0" w:space="0" w:color="auto"/>
      </w:divBdr>
    </w:div>
    <w:div w:id="1033993338">
      <w:bodyDiv w:val="1"/>
      <w:marLeft w:val="0"/>
      <w:marRight w:val="0"/>
      <w:marTop w:val="0"/>
      <w:marBottom w:val="0"/>
      <w:divBdr>
        <w:top w:val="none" w:sz="0" w:space="0" w:color="auto"/>
        <w:left w:val="none" w:sz="0" w:space="0" w:color="auto"/>
        <w:bottom w:val="none" w:sz="0" w:space="0" w:color="auto"/>
        <w:right w:val="none" w:sz="0" w:space="0" w:color="auto"/>
      </w:divBdr>
    </w:div>
    <w:div w:id="1039629326">
      <w:bodyDiv w:val="1"/>
      <w:marLeft w:val="0"/>
      <w:marRight w:val="0"/>
      <w:marTop w:val="0"/>
      <w:marBottom w:val="0"/>
      <w:divBdr>
        <w:top w:val="none" w:sz="0" w:space="0" w:color="auto"/>
        <w:left w:val="none" w:sz="0" w:space="0" w:color="auto"/>
        <w:bottom w:val="none" w:sz="0" w:space="0" w:color="auto"/>
        <w:right w:val="none" w:sz="0" w:space="0" w:color="auto"/>
      </w:divBdr>
    </w:div>
    <w:div w:id="1042288981">
      <w:bodyDiv w:val="1"/>
      <w:marLeft w:val="0"/>
      <w:marRight w:val="0"/>
      <w:marTop w:val="0"/>
      <w:marBottom w:val="0"/>
      <w:divBdr>
        <w:top w:val="none" w:sz="0" w:space="0" w:color="auto"/>
        <w:left w:val="none" w:sz="0" w:space="0" w:color="auto"/>
        <w:bottom w:val="none" w:sz="0" w:space="0" w:color="auto"/>
        <w:right w:val="none" w:sz="0" w:space="0" w:color="auto"/>
      </w:divBdr>
    </w:div>
    <w:div w:id="1045831953">
      <w:bodyDiv w:val="1"/>
      <w:marLeft w:val="0"/>
      <w:marRight w:val="0"/>
      <w:marTop w:val="0"/>
      <w:marBottom w:val="0"/>
      <w:divBdr>
        <w:top w:val="none" w:sz="0" w:space="0" w:color="auto"/>
        <w:left w:val="none" w:sz="0" w:space="0" w:color="auto"/>
        <w:bottom w:val="none" w:sz="0" w:space="0" w:color="auto"/>
        <w:right w:val="none" w:sz="0" w:space="0" w:color="auto"/>
      </w:divBdr>
    </w:div>
    <w:div w:id="1047140256">
      <w:bodyDiv w:val="1"/>
      <w:marLeft w:val="0"/>
      <w:marRight w:val="0"/>
      <w:marTop w:val="0"/>
      <w:marBottom w:val="0"/>
      <w:divBdr>
        <w:top w:val="none" w:sz="0" w:space="0" w:color="auto"/>
        <w:left w:val="none" w:sz="0" w:space="0" w:color="auto"/>
        <w:bottom w:val="none" w:sz="0" w:space="0" w:color="auto"/>
        <w:right w:val="none" w:sz="0" w:space="0" w:color="auto"/>
      </w:divBdr>
    </w:div>
    <w:div w:id="1048070111">
      <w:bodyDiv w:val="1"/>
      <w:marLeft w:val="0"/>
      <w:marRight w:val="0"/>
      <w:marTop w:val="0"/>
      <w:marBottom w:val="0"/>
      <w:divBdr>
        <w:top w:val="none" w:sz="0" w:space="0" w:color="auto"/>
        <w:left w:val="none" w:sz="0" w:space="0" w:color="auto"/>
        <w:bottom w:val="none" w:sz="0" w:space="0" w:color="auto"/>
        <w:right w:val="none" w:sz="0" w:space="0" w:color="auto"/>
      </w:divBdr>
    </w:div>
    <w:div w:id="1050567413">
      <w:bodyDiv w:val="1"/>
      <w:marLeft w:val="0"/>
      <w:marRight w:val="0"/>
      <w:marTop w:val="0"/>
      <w:marBottom w:val="0"/>
      <w:divBdr>
        <w:top w:val="none" w:sz="0" w:space="0" w:color="auto"/>
        <w:left w:val="none" w:sz="0" w:space="0" w:color="auto"/>
        <w:bottom w:val="none" w:sz="0" w:space="0" w:color="auto"/>
        <w:right w:val="none" w:sz="0" w:space="0" w:color="auto"/>
      </w:divBdr>
    </w:div>
    <w:div w:id="1050615729">
      <w:bodyDiv w:val="1"/>
      <w:marLeft w:val="0"/>
      <w:marRight w:val="0"/>
      <w:marTop w:val="0"/>
      <w:marBottom w:val="0"/>
      <w:divBdr>
        <w:top w:val="none" w:sz="0" w:space="0" w:color="auto"/>
        <w:left w:val="none" w:sz="0" w:space="0" w:color="auto"/>
        <w:bottom w:val="none" w:sz="0" w:space="0" w:color="auto"/>
        <w:right w:val="none" w:sz="0" w:space="0" w:color="auto"/>
      </w:divBdr>
    </w:div>
    <w:div w:id="1057436162">
      <w:bodyDiv w:val="1"/>
      <w:marLeft w:val="0"/>
      <w:marRight w:val="0"/>
      <w:marTop w:val="0"/>
      <w:marBottom w:val="0"/>
      <w:divBdr>
        <w:top w:val="none" w:sz="0" w:space="0" w:color="auto"/>
        <w:left w:val="none" w:sz="0" w:space="0" w:color="auto"/>
        <w:bottom w:val="none" w:sz="0" w:space="0" w:color="auto"/>
        <w:right w:val="none" w:sz="0" w:space="0" w:color="auto"/>
      </w:divBdr>
    </w:div>
    <w:div w:id="1057976695">
      <w:bodyDiv w:val="1"/>
      <w:marLeft w:val="0"/>
      <w:marRight w:val="0"/>
      <w:marTop w:val="0"/>
      <w:marBottom w:val="0"/>
      <w:divBdr>
        <w:top w:val="none" w:sz="0" w:space="0" w:color="auto"/>
        <w:left w:val="none" w:sz="0" w:space="0" w:color="auto"/>
        <w:bottom w:val="none" w:sz="0" w:space="0" w:color="auto"/>
        <w:right w:val="none" w:sz="0" w:space="0" w:color="auto"/>
      </w:divBdr>
    </w:div>
    <w:div w:id="1059205817">
      <w:bodyDiv w:val="1"/>
      <w:marLeft w:val="0"/>
      <w:marRight w:val="0"/>
      <w:marTop w:val="0"/>
      <w:marBottom w:val="0"/>
      <w:divBdr>
        <w:top w:val="none" w:sz="0" w:space="0" w:color="auto"/>
        <w:left w:val="none" w:sz="0" w:space="0" w:color="auto"/>
        <w:bottom w:val="none" w:sz="0" w:space="0" w:color="auto"/>
        <w:right w:val="none" w:sz="0" w:space="0" w:color="auto"/>
      </w:divBdr>
    </w:div>
    <w:div w:id="1059524372">
      <w:bodyDiv w:val="1"/>
      <w:marLeft w:val="0"/>
      <w:marRight w:val="0"/>
      <w:marTop w:val="0"/>
      <w:marBottom w:val="0"/>
      <w:divBdr>
        <w:top w:val="none" w:sz="0" w:space="0" w:color="auto"/>
        <w:left w:val="none" w:sz="0" w:space="0" w:color="auto"/>
        <w:bottom w:val="none" w:sz="0" w:space="0" w:color="auto"/>
        <w:right w:val="none" w:sz="0" w:space="0" w:color="auto"/>
      </w:divBdr>
    </w:div>
    <w:div w:id="1061909329">
      <w:bodyDiv w:val="1"/>
      <w:marLeft w:val="0"/>
      <w:marRight w:val="0"/>
      <w:marTop w:val="0"/>
      <w:marBottom w:val="0"/>
      <w:divBdr>
        <w:top w:val="none" w:sz="0" w:space="0" w:color="auto"/>
        <w:left w:val="none" w:sz="0" w:space="0" w:color="auto"/>
        <w:bottom w:val="none" w:sz="0" w:space="0" w:color="auto"/>
        <w:right w:val="none" w:sz="0" w:space="0" w:color="auto"/>
      </w:divBdr>
    </w:div>
    <w:div w:id="1064372478">
      <w:bodyDiv w:val="1"/>
      <w:marLeft w:val="0"/>
      <w:marRight w:val="0"/>
      <w:marTop w:val="0"/>
      <w:marBottom w:val="0"/>
      <w:divBdr>
        <w:top w:val="none" w:sz="0" w:space="0" w:color="auto"/>
        <w:left w:val="none" w:sz="0" w:space="0" w:color="auto"/>
        <w:bottom w:val="none" w:sz="0" w:space="0" w:color="auto"/>
        <w:right w:val="none" w:sz="0" w:space="0" w:color="auto"/>
      </w:divBdr>
    </w:div>
    <w:div w:id="1078596542">
      <w:bodyDiv w:val="1"/>
      <w:marLeft w:val="0"/>
      <w:marRight w:val="0"/>
      <w:marTop w:val="0"/>
      <w:marBottom w:val="0"/>
      <w:divBdr>
        <w:top w:val="none" w:sz="0" w:space="0" w:color="auto"/>
        <w:left w:val="none" w:sz="0" w:space="0" w:color="auto"/>
        <w:bottom w:val="none" w:sz="0" w:space="0" w:color="auto"/>
        <w:right w:val="none" w:sz="0" w:space="0" w:color="auto"/>
      </w:divBdr>
    </w:div>
    <w:div w:id="1082600233">
      <w:bodyDiv w:val="1"/>
      <w:marLeft w:val="0"/>
      <w:marRight w:val="0"/>
      <w:marTop w:val="0"/>
      <w:marBottom w:val="0"/>
      <w:divBdr>
        <w:top w:val="none" w:sz="0" w:space="0" w:color="auto"/>
        <w:left w:val="none" w:sz="0" w:space="0" w:color="auto"/>
        <w:bottom w:val="none" w:sz="0" w:space="0" w:color="auto"/>
        <w:right w:val="none" w:sz="0" w:space="0" w:color="auto"/>
      </w:divBdr>
    </w:div>
    <w:div w:id="1083576116">
      <w:bodyDiv w:val="1"/>
      <w:marLeft w:val="0"/>
      <w:marRight w:val="0"/>
      <w:marTop w:val="0"/>
      <w:marBottom w:val="0"/>
      <w:divBdr>
        <w:top w:val="none" w:sz="0" w:space="0" w:color="auto"/>
        <w:left w:val="none" w:sz="0" w:space="0" w:color="auto"/>
        <w:bottom w:val="none" w:sz="0" w:space="0" w:color="auto"/>
        <w:right w:val="none" w:sz="0" w:space="0" w:color="auto"/>
      </w:divBdr>
    </w:div>
    <w:div w:id="1087773871">
      <w:bodyDiv w:val="1"/>
      <w:marLeft w:val="0"/>
      <w:marRight w:val="0"/>
      <w:marTop w:val="0"/>
      <w:marBottom w:val="0"/>
      <w:divBdr>
        <w:top w:val="none" w:sz="0" w:space="0" w:color="auto"/>
        <w:left w:val="none" w:sz="0" w:space="0" w:color="auto"/>
        <w:bottom w:val="none" w:sz="0" w:space="0" w:color="auto"/>
        <w:right w:val="none" w:sz="0" w:space="0" w:color="auto"/>
      </w:divBdr>
    </w:div>
    <w:div w:id="1087843129">
      <w:bodyDiv w:val="1"/>
      <w:marLeft w:val="0"/>
      <w:marRight w:val="0"/>
      <w:marTop w:val="0"/>
      <w:marBottom w:val="0"/>
      <w:divBdr>
        <w:top w:val="none" w:sz="0" w:space="0" w:color="auto"/>
        <w:left w:val="none" w:sz="0" w:space="0" w:color="auto"/>
        <w:bottom w:val="none" w:sz="0" w:space="0" w:color="auto"/>
        <w:right w:val="none" w:sz="0" w:space="0" w:color="auto"/>
      </w:divBdr>
    </w:div>
    <w:div w:id="1088816129">
      <w:bodyDiv w:val="1"/>
      <w:marLeft w:val="0"/>
      <w:marRight w:val="0"/>
      <w:marTop w:val="0"/>
      <w:marBottom w:val="0"/>
      <w:divBdr>
        <w:top w:val="none" w:sz="0" w:space="0" w:color="auto"/>
        <w:left w:val="none" w:sz="0" w:space="0" w:color="auto"/>
        <w:bottom w:val="none" w:sz="0" w:space="0" w:color="auto"/>
        <w:right w:val="none" w:sz="0" w:space="0" w:color="auto"/>
      </w:divBdr>
    </w:div>
    <w:div w:id="1089809795">
      <w:bodyDiv w:val="1"/>
      <w:marLeft w:val="0"/>
      <w:marRight w:val="0"/>
      <w:marTop w:val="0"/>
      <w:marBottom w:val="0"/>
      <w:divBdr>
        <w:top w:val="none" w:sz="0" w:space="0" w:color="auto"/>
        <w:left w:val="none" w:sz="0" w:space="0" w:color="auto"/>
        <w:bottom w:val="none" w:sz="0" w:space="0" w:color="auto"/>
        <w:right w:val="none" w:sz="0" w:space="0" w:color="auto"/>
      </w:divBdr>
    </w:div>
    <w:div w:id="1093668572">
      <w:bodyDiv w:val="1"/>
      <w:marLeft w:val="0"/>
      <w:marRight w:val="0"/>
      <w:marTop w:val="0"/>
      <w:marBottom w:val="0"/>
      <w:divBdr>
        <w:top w:val="none" w:sz="0" w:space="0" w:color="auto"/>
        <w:left w:val="none" w:sz="0" w:space="0" w:color="auto"/>
        <w:bottom w:val="none" w:sz="0" w:space="0" w:color="auto"/>
        <w:right w:val="none" w:sz="0" w:space="0" w:color="auto"/>
      </w:divBdr>
    </w:div>
    <w:div w:id="1096906973">
      <w:bodyDiv w:val="1"/>
      <w:marLeft w:val="0"/>
      <w:marRight w:val="0"/>
      <w:marTop w:val="0"/>
      <w:marBottom w:val="0"/>
      <w:divBdr>
        <w:top w:val="none" w:sz="0" w:space="0" w:color="auto"/>
        <w:left w:val="none" w:sz="0" w:space="0" w:color="auto"/>
        <w:bottom w:val="none" w:sz="0" w:space="0" w:color="auto"/>
        <w:right w:val="none" w:sz="0" w:space="0" w:color="auto"/>
      </w:divBdr>
    </w:div>
    <w:div w:id="1104157351">
      <w:bodyDiv w:val="1"/>
      <w:marLeft w:val="0"/>
      <w:marRight w:val="0"/>
      <w:marTop w:val="0"/>
      <w:marBottom w:val="0"/>
      <w:divBdr>
        <w:top w:val="none" w:sz="0" w:space="0" w:color="auto"/>
        <w:left w:val="none" w:sz="0" w:space="0" w:color="auto"/>
        <w:bottom w:val="none" w:sz="0" w:space="0" w:color="auto"/>
        <w:right w:val="none" w:sz="0" w:space="0" w:color="auto"/>
      </w:divBdr>
    </w:div>
    <w:div w:id="1121801050">
      <w:bodyDiv w:val="1"/>
      <w:marLeft w:val="0"/>
      <w:marRight w:val="0"/>
      <w:marTop w:val="0"/>
      <w:marBottom w:val="0"/>
      <w:divBdr>
        <w:top w:val="none" w:sz="0" w:space="0" w:color="auto"/>
        <w:left w:val="none" w:sz="0" w:space="0" w:color="auto"/>
        <w:bottom w:val="none" w:sz="0" w:space="0" w:color="auto"/>
        <w:right w:val="none" w:sz="0" w:space="0" w:color="auto"/>
      </w:divBdr>
    </w:div>
    <w:div w:id="1129125285">
      <w:bodyDiv w:val="1"/>
      <w:marLeft w:val="0"/>
      <w:marRight w:val="0"/>
      <w:marTop w:val="0"/>
      <w:marBottom w:val="0"/>
      <w:divBdr>
        <w:top w:val="none" w:sz="0" w:space="0" w:color="auto"/>
        <w:left w:val="none" w:sz="0" w:space="0" w:color="auto"/>
        <w:bottom w:val="none" w:sz="0" w:space="0" w:color="auto"/>
        <w:right w:val="none" w:sz="0" w:space="0" w:color="auto"/>
      </w:divBdr>
    </w:div>
    <w:div w:id="1129394476">
      <w:bodyDiv w:val="1"/>
      <w:marLeft w:val="0"/>
      <w:marRight w:val="0"/>
      <w:marTop w:val="0"/>
      <w:marBottom w:val="0"/>
      <w:divBdr>
        <w:top w:val="none" w:sz="0" w:space="0" w:color="auto"/>
        <w:left w:val="none" w:sz="0" w:space="0" w:color="auto"/>
        <w:bottom w:val="none" w:sz="0" w:space="0" w:color="auto"/>
        <w:right w:val="none" w:sz="0" w:space="0" w:color="auto"/>
      </w:divBdr>
    </w:div>
    <w:div w:id="1133989130">
      <w:bodyDiv w:val="1"/>
      <w:marLeft w:val="0"/>
      <w:marRight w:val="0"/>
      <w:marTop w:val="0"/>
      <w:marBottom w:val="0"/>
      <w:divBdr>
        <w:top w:val="none" w:sz="0" w:space="0" w:color="auto"/>
        <w:left w:val="none" w:sz="0" w:space="0" w:color="auto"/>
        <w:bottom w:val="none" w:sz="0" w:space="0" w:color="auto"/>
        <w:right w:val="none" w:sz="0" w:space="0" w:color="auto"/>
      </w:divBdr>
    </w:div>
    <w:div w:id="1140732385">
      <w:bodyDiv w:val="1"/>
      <w:marLeft w:val="0"/>
      <w:marRight w:val="0"/>
      <w:marTop w:val="0"/>
      <w:marBottom w:val="0"/>
      <w:divBdr>
        <w:top w:val="none" w:sz="0" w:space="0" w:color="auto"/>
        <w:left w:val="none" w:sz="0" w:space="0" w:color="auto"/>
        <w:bottom w:val="none" w:sz="0" w:space="0" w:color="auto"/>
        <w:right w:val="none" w:sz="0" w:space="0" w:color="auto"/>
      </w:divBdr>
    </w:div>
    <w:div w:id="1148285212">
      <w:bodyDiv w:val="1"/>
      <w:marLeft w:val="0"/>
      <w:marRight w:val="0"/>
      <w:marTop w:val="0"/>
      <w:marBottom w:val="0"/>
      <w:divBdr>
        <w:top w:val="none" w:sz="0" w:space="0" w:color="auto"/>
        <w:left w:val="none" w:sz="0" w:space="0" w:color="auto"/>
        <w:bottom w:val="none" w:sz="0" w:space="0" w:color="auto"/>
        <w:right w:val="none" w:sz="0" w:space="0" w:color="auto"/>
      </w:divBdr>
    </w:div>
    <w:div w:id="1152941700">
      <w:bodyDiv w:val="1"/>
      <w:marLeft w:val="0"/>
      <w:marRight w:val="0"/>
      <w:marTop w:val="0"/>
      <w:marBottom w:val="0"/>
      <w:divBdr>
        <w:top w:val="none" w:sz="0" w:space="0" w:color="auto"/>
        <w:left w:val="none" w:sz="0" w:space="0" w:color="auto"/>
        <w:bottom w:val="none" w:sz="0" w:space="0" w:color="auto"/>
        <w:right w:val="none" w:sz="0" w:space="0" w:color="auto"/>
      </w:divBdr>
    </w:div>
    <w:div w:id="1154758694">
      <w:bodyDiv w:val="1"/>
      <w:marLeft w:val="0"/>
      <w:marRight w:val="0"/>
      <w:marTop w:val="0"/>
      <w:marBottom w:val="0"/>
      <w:divBdr>
        <w:top w:val="none" w:sz="0" w:space="0" w:color="auto"/>
        <w:left w:val="none" w:sz="0" w:space="0" w:color="auto"/>
        <w:bottom w:val="none" w:sz="0" w:space="0" w:color="auto"/>
        <w:right w:val="none" w:sz="0" w:space="0" w:color="auto"/>
      </w:divBdr>
    </w:div>
    <w:div w:id="1155610486">
      <w:bodyDiv w:val="1"/>
      <w:marLeft w:val="0"/>
      <w:marRight w:val="0"/>
      <w:marTop w:val="0"/>
      <w:marBottom w:val="0"/>
      <w:divBdr>
        <w:top w:val="none" w:sz="0" w:space="0" w:color="auto"/>
        <w:left w:val="none" w:sz="0" w:space="0" w:color="auto"/>
        <w:bottom w:val="none" w:sz="0" w:space="0" w:color="auto"/>
        <w:right w:val="none" w:sz="0" w:space="0" w:color="auto"/>
      </w:divBdr>
    </w:div>
    <w:div w:id="1156336571">
      <w:bodyDiv w:val="1"/>
      <w:marLeft w:val="0"/>
      <w:marRight w:val="0"/>
      <w:marTop w:val="0"/>
      <w:marBottom w:val="0"/>
      <w:divBdr>
        <w:top w:val="none" w:sz="0" w:space="0" w:color="auto"/>
        <w:left w:val="none" w:sz="0" w:space="0" w:color="auto"/>
        <w:bottom w:val="none" w:sz="0" w:space="0" w:color="auto"/>
        <w:right w:val="none" w:sz="0" w:space="0" w:color="auto"/>
      </w:divBdr>
    </w:div>
    <w:div w:id="1163358124">
      <w:bodyDiv w:val="1"/>
      <w:marLeft w:val="0"/>
      <w:marRight w:val="0"/>
      <w:marTop w:val="0"/>
      <w:marBottom w:val="0"/>
      <w:divBdr>
        <w:top w:val="none" w:sz="0" w:space="0" w:color="auto"/>
        <w:left w:val="none" w:sz="0" w:space="0" w:color="auto"/>
        <w:bottom w:val="none" w:sz="0" w:space="0" w:color="auto"/>
        <w:right w:val="none" w:sz="0" w:space="0" w:color="auto"/>
      </w:divBdr>
    </w:div>
    <w:div w:id="1164475199">
      <w:bodyDiv w:val="1"/>
      <w:marLeft w:val="0"/>
      <w:marRight w:val="0"/>
      <w:marTop w:val="0"/>
      <w:marBottom w:val="0"/>
      <w:divBdr>
        <w:top w:val="none" w:sz="0" w:space="0" w:color="auto"/>
        <w:left w:val="none" w:sz="0" w:space="0" w:color="auto"/>
        <w:bottom w:val="none" w:sz="0" w:space="0" w:color="auto"/>
        <w:right w:val="none" w:sz="0" w:space="0" w:color="auto"/>
      </w:divBdr>
    </w:div>
    <w:div w:id="1167209146">
      <w:bodyDiv w:val="1"/>
      <w:marLeft w:val="0"/>
      <w:marRight w:val="0"/>
      <w:marTop w:val="0"/>
      <w:marBottom w:val="0"/>
      <w:divBdr>
        <w:top w:val="none" w:sz="0" w:space="0" w:color="auto"/>
        <w:left w:val="none" w:sz="0" w:space="0" w:color="auto"/>
        <w:bottom w:val="none" w:sz="0" w:space="0" w:color="auto"/>
        <w:right w:val="none" w:sz="0" w:space="0" w:color="auto"/>
      </w:divBdr>
    </w:div>
    <w:div w:id="1168903553">
      <w:bodyDiv w:val="1"/>
      <w:marLeft w:val="0"/>
      <w:marRight w:val="0"/>
      <w:marTop w:val="0"/>
      <w:marBottom w:val="0"/>
      <w:divBdr>
        <w:top w:val="none" w:sz="0" w:space="0" w:color="auto"/>
        <w:left w:val="none" w:sz="0" w:space="0" w:color="auto"/>
        <w:bottom w:val="none" w:sz="0" w:space="0" w:color="auto"/>
        <w:right w:val="none" w:sz="0" w:space="0" w:color="auto"/>
      </w:divBdr>
    </w:div>
    <w:div w:id="1175654855">
      <w:bodyDiv w:val="1"/>
      <w:marLeft w:val="0"/>
      <w:marRight w:val="0"/>
      <w:marTop w:val="0"/>
      <w:marBottom w:val="0"/>
      <w:divBdr>
        <w:top w:val="none" w:sz="0" w:space="0" w:color="auto"/>
        <w:left w:val="none" w:sz="0" w:space="0" w:color="auto"/>
        <w:bottom w:val="none" w:sz="0" w:space="0" w:color="auto"/>
        <w:right w:val="none" w:sz="0" w:space="0" w:color="auto"/>
      </w:divBdr>
    </w:div>
    <w:div w:id="1175725465">
      <w:bodyDiv w:val="1"/>
      <w:marLeft w:val="0"/>
      <w:marRight w:val="0"/>
      <w:marTop w:val="0"/>
      <w:marBottom w:val="0"/>
      <w:divBdr>
        <w:top w:val="none" w:sz="0" w:space="0" w:color="auto"/>
        <w:left w:val="none" w:sz="0" w:space="0" w:color="auto"/>
        <w:bottom w:val="none" w:sz="0" w:space="0" w:color="auto"/>
        <w:right w:val="none" w:sz="0" w:space="0" w:color="auto"/>
      </w:divBdr>
    </w:div>
    <w:div w:id="1186865198">
      <w:bodyDiv w:val="1"/>
      <w:marLeft w:val="0"/>
      <w:marRight w:val="0"/>
      <w:marTop w:val="0"/>
      <w:marBottom w:val="0"/>
      <w:divBdr>
        <w:top w:val="none" w:sz="0" w:space="0" w:color="auto"/>
        <w:left w:val="none" w:sz="0" w:space="0" w:color="auto"/>
        <w:bottom w:val="none" w:sz="0" w:space="0" w:color="auto"/>
        <w:right w:val="none" w:sz="0" w:space="0" w:color="auto"/>
      </w:divBdr>
    </w:div>
    <w:div w:id="1193230682">
      <w:bodyDiv w:val="1"/>
      <w:marLeft w:val="0"/>
      <w:marRight w:val="0"/>
      <w:marTop w:val="0"/>
      <w:marBottom w:val="0"/>
      <w:divBdr>
        <w:top w:val="none" w:sz="0" w:space="0" w:color="auto"/>
        <w:left w:val="none" w:sz="0" w:space="0" w:color="auto"/>
        <w:bottom w:val="none" w:sz="0" w:space="0" w:color="auto"/>
        <w:right w:val="none" w:sz="0" w:space="0" w:color="auto"/>
      </w:divBdr>
    </w:div>
    <w:div w:id="1196692210">
      <w:bodyDiv w:val="1"/>
      <w:marLeft w:val="0"/>
      <w:marRight w:val="0"/>
      <w:marTop w:val="0"/>
      <w:marBottom w:val="0"/>
      <w:divBdr>
        <w:top w:val="none" w:sz="0" w:space="0" w:color="auto"/>
        <w:left w:val="none" w:sz="0" w:space="0" w:color="auto"/>
        <w:bottom w:val="none" w:sz="0" w:space="0" w:color="auto"/>
        <w:right w:val="none" w:sz="0" w:space="0" w:color="auto"/>
      </w:divBdr>
    </w:div>
    <w:div w:id="1197423703">
      <w:bodyDiv w:val="1"/>
      <w:marLeft w:val="0"/>
      <w:marRight w:val="0"/>
      <w:marTop w:val="0"/>
      <w:marBottom w:val="0"/>
      <w:divBdr>
        <w:top w:val="none" w:sz="0" w:space="0" w:color="auto"/>
        <w:left w:val="none" w:sz="0" w:space="0" w:color="auto"/>
        <w:bottom w:val="none" w:sz="0" w:space="0" w:color="auto"/>
        <w:right w:val="none" w:sz="0" w:space="0" w:color="auto"/>
      </w:divBdr>
    </w:div>
    <w:div w:id="1198854153">
      <w:bodyDiv w:val="1"/>
      <w:marLeft w:val="0"/>
      <w:marRight w:val="0"/>
      <w:marTop w:val="0"/>
      <w:marBottom w:val="0"/>
      <w:divBdr>
        <w:top w:val="none" w:sz="0" w:space="0" w:color="auto"/>
        <w:left w:val="none" w:sz="0" w:space="0" w:color="auto"/>
        <w:bottom w:val="none" w:sz="0" w:space="0" w:color="auto"/>
        <w:right w:val="none" w:sz="0" w:space="0" w:color="auto"/>
      </w:divBdr>
    </w:div>
    <w:div w:id="1198935913">
      <w:bodyDiv w:val="1"/>
      <w:marLeft w:val="0"/>
      <w:marRight w:val="0"/>
      <w:marTop w:val="0"/>
      <w:marBottom w:val="0"/>
      <w:divBdr>
        <w:top w:val="none" w:sz="0" w:space="0" w:color="auto"/>
        <w:left w:val="none" w:sz="0" w:space="0" w:color="auto"/>
        <w:bottom w:val="none" w:sz="0" w:space="0" w:color="auto"/>
        <w:right w:val="none" w:sz="0" w:space="0" w:color="auto"/>
      </w:divBdr>
    </w:div>
    <w:div w:id="1200164723">
      <w:bodyDiv w:val="1"/>
      <w:marLeft w:val="0"/>
      <w:marRight w:val="0"/>
      <w:marTop w:val="0"/>
      <w:marBottom w:val="0"/>
      <w:divBdr>
        <w:top w:val="none" w:sz="0" w:space="0" w:color="auto"/>
        <w:left w:val="none" w:sz="0" w:space="0" w:color="auto"/>
        <w:bottom w:val="none" w:sz="0" w:space="0" w:color="auto"/>
        <w:right w:val="none" w:sz="0" w:space="0" w:color="auto"/>
      </w:divBdr>
    </w:div>
    <w:div w:id="1201625234">
      <w:bodyDiv w:val="1"/>
      <w:marLeft w:val="0"/>
      <w:marRight w:val="0"/>
      <w:marTop w:val="0"/>
      <w:marBottom w:val="0"/>
      <w:divBdr>
        <w:top w:val="none" w:sz="0" w:space="0" w:color="auto"/>
        <w:left w:val="none" w:sz="0" w:space="0" w:color="auto"/>
        <w:bottom w:val="none" w:sz="0" w:space="0" w:color="auto"/>
        <w:right w:val="none" w:sz="0" w:space="0" w:color="auto"/>
      </w:divBdr>
    </w:div>
    <w:div w:id="1202982446">
      <w:bodyDiv w:val="1"/>
      <w:marLeft w:val="0"/>
      <w:marRight w:val="0"/>
      <w:marTop w:val="0"/>
      <w:marBottom w:val="0"/>
      <w:divBdr>
        <w:top w:val="none" w:sz="0" w:space="0" w:color="auto"/>
        <w:left w:val="none" w:sz="0" w:space="0" w:color="auto"/>
        <w:bottom w:val="none" w:sz="0" w:space="0" w:color="auto"/>
        <w:right w:val="none" w:sz="0" w:space="0" w:color="auto"/>
      </w:divBdr>
    </w:div>
    <w:div w:id="1205799831">
      <w:bodyDiv w:val="1"/>
      <w:marLeft w:val="0"/>
      <w:marRight w:val="0"/>
      <w:marTop w:val="0"/>
      <w:marBottom w:val="0"/>
      <w:divBdr>
        <w:top w:val="none" w:sz="0" w:space="0" w:color="auto"/>
        <w:left w:val="none" w:sz="0" w:space="0" w:color="auto"/>
        <w:bottom w:val="none" w:sz="0" w:space="0" w:color="auto"/>
        <w:right w:val="none" w:sz="0" w:space="0" w:color="auto"/>
      </w:divBdr>
    </w:div>
    <w:div w:id="1205874411">
      <w:bodyDiv w:val="1"/>
      <w:marLeft w:val="0"/>
      <w:marRight w:val="0"/>
      <w:marTop w:val="0"/>
      <w:marBottom w:val="0"/>
      <w:divBdr>
        <w:top w:val="none" w:sz="0" w:space="0" w:color="auto"/>
        <w:left w:val="none" w:sz="0" w:space="0" w:color="auto"/>
        <w:bottom w:val="none" w:sz="0" w:space="0" w:color="auto"/>
        <w:right w:val="none" w:sz="0" w:space="0" w:color="auto"/>
      </w:divBdr>
    </w:div>
    <w:div w:id="1207332407">
      <w:bodyDiv w:val="1"/>
      <w:marLeft w:val="0"/>
      <w:marRight w:val="0"/>
      <w:marTop w:val="0"/>
      <w:marBottom w:val="0"/>
      <w:divBdr>
        <w:top w:val="none" w:sz="0" w:space="0" w:color="auto"/>
        <w:left w:val="none" w:sz="0" w:space="0" w:color="auto"/>
        <w:bottom w:val="none" w:sz="0" w:space="0" w:color="auto"/>
        <w:right w:val="none" w:sz="0" w:space="0" w:color="auto"/>
      </w:divBdr>
    </w:div>
    <w:div w:id="1208638182">
      <w:bodyDiv w:val="1"/>
      <w:marLeft w:val="0"/>
      <w:marRight w:val="0"/>
      <w:marTop w:val="0"/>
      <w:marBottom w:val="0"/>
      <w:divBdr>
        <w:top w:val="none" w:sz="0" w:space="0" w:color="auto"/>
        <w:left w:val="none" w:sz="0" w:space="0" w:color="auto"/>
        <w:bottom w:val="none" w:sz="0" w:space="0" w:color="auto"/>
        <w:right w:val="none" w:sz="0" w:space="0" w:color="auto"/>
      </w:divBdr>
    </w:div>
    <w:div w:id="1211067384">
      <w:bodyDiv w:val="1"/>
      <w:marLeft w:val="0"/>
      <w:marRight w:val="0"/>
      <w:marTop w:val="0"/>
      <w:marBottom w:val="0"/>
      <w:divBdr>
        <w:top w:val="none" w:sz="0" w:space="0" w:color="auto"/>
        <w:left w:val="none" w:sz="0" w:space="0" w:color="auto"/>
        <w:bottom w:val="none" w:sz="0" w:space="0" w:color="auto"/>
        <w:right w:val="none" w:sz="0" w:space="0" w:color="auto"/>
      </w:divBdr>
    </w:div>
    <w:div w:id="1211309278">
      <w:bodyDiv w:val="1"/>
      <w:marLeft w:val="0"/>
      <w:marRight w:val="0"/>
      <w:marTop w:val="0"/>
      <w:marBottom w:val="0"/>
      <w:divBdr>
        <w:top w:val="none" w:sz="0" w:space="0" w:color="auto"/>
        <w:left w:val="none" w:sz="0" w:space="0" w:color="auto"/>
        <w:bottom w:val="none" w:sz="0" w:space="0" w:color="auto"/>
        <w:right w:val="none" w:sz="0" w:space="0" w:color="auto"/>
      </w:divBdr>
    </w:div>
    <w:div w:id="1211650104">
      <w:bodyDiv w:val="1"/>
      <w:marLeft w:val="0"/>
      <w:marRight w:val="0"/>
      <w:marTop w:val="0"/>
      <w:marBottom w:val="0"/>
      <w:divBdr>
        <w:top w:val="none" w:sz="0" w:space="0" w:color="auto"/>
        <w:left w:val="none" w:sz="0" w:space="0" w:color="auto"/>
        <w:bottom w:val="none" w:sz="0" w:space="0" w:color="auto"/>
        <w:right w:val="none" w:sz="0" w:space="0" w:color="auto"/>
      </w:divBdr>
    </w:div>
    <w:div w:id="1213272014">
      <w:bodyDiv w:val="1"/>
      <w:marLeft w:val="0"/>
      <w:marRight w:val="0"/>
      <w:marTop w:val="0"/>
      <w:marBottom w:val="0"/>
      <w:divBdr>
        <w:top w:val="none" w:sz="0" w:space="0" w:color="auto"/>
        <w:left w:val="none" w:sz="0" w:space="0" w:color="auto"/>
        <w:bottom w:val="none" w:sz="0" w:space="0" w:color="auto"/>
        <w:right w:val="none" w:sz="0" w:space="0" w:color="auto"/>
      </w:divBdr>
    </w:div>
    <w:div w:id="1214191842">
      <w:bodyDiv w:val="1"/>
      <w:marLeft w:val="0"/>
      <w:marRight w:val="0"/>
      <w:marTop w:val="0"/>
      <w:marBottom w:val="0"/>
      <w:divBdr>
        <w:top w:val="none" w:sz="0" w:space="0" w:color="auto"/>
        <w:left w:val="none" w:sz="0" w:space="0" w:color="auto"/>
        <w:bottom w:val="none" w:sz="0" w:space="0" w:color="auto"/>
        <w:right w:val="none" w:sz="0" w:space="0" w:color="auto"/>
      </w:divBdr>
    </w:div>
    <w:div w:id="1215775331">
      <w:bodyDiv w:val="1"/>
      <w:marLeft w:val="0"/>
      <w:marRight w:val="0"/>
      <w:marTop w:val="0"/>
      <w:marBottom w:val="0"/>
      <w:divBdr>
        <w:top w:val="none" w:sz="0" w:space="0" w:color="auto"/>
        <w:left w:val="none" w:sz="0" w:space="0" w:color="auto"/>
        <w:bottom w:val="none" w:sz="0" w:space="0" w:color="auto"/>
        <w:right w:val="none" w:sz="0" w:space="0" w:color="auto"/>
      </w:divBdr>
    </w:div>
    <w:div w:id="1217863260">
      <w:bodyDiv w:val="1"/>
      <w:marLeft w:val="0"/>
      <w:marRight w:val="0"/>
      <w:marTop w:val="0"/>
      <w:marBottom w:val="0"/>
      <w:divBdr>
        <w:top w:val="none" w:sz="0" w:space="0" w:color="auto"/>
        <w:left w:val="none" w:sz="0" w:space="0" w:color="auto"/>
        <w:bottom w:val="none" w:sz="0" w:space="0" w:color="auto"/>
        <w:right w:val="none" w:sz="0" w:space="0" w:color="auto"/>
      </w:divBdr>
    </w:div>
    <w:div w:id="1224100797">
      <w:bodyDiv w:val="1"/>
      <w:marLeft w:val="0"/>
      <w:marRight w:val="0"/>
      <w:marTop w:val="0"/>
      <w:marBottom w:val="0"/>
      <w:divBdr>
        <w:top w:val="none" w:sz="0" w:space="0" w:color="auto"/>
        <w:left w:val="none" w:sz="0" w:space="0" w:color="auto"/>
        <w:bottom w:val="none" w:sz="0" w:space="0" w:color="auto"/>
        <w:right w:val="none" w:sz="0" w:space="0" w:color="auto"/>
      </w:divBdr>
    </w:div>
    <w:div w:id="1229923068">
      <w:bodyDiv w:val="1"/>
      <w:marLeft w:val="0"/>
      <w:marRight w:val="0"/>
      <w:marTop w:val="0"/>
      <w:marBottom w:val="0"/>
      <w:divBdr>
        <w:top w:val="none" w:sz="0" w:space="0" w:color="auto"/>
        <w:left w:val="none" w:sz="0" w:space="0" w:color="auto"/>
        <w:bottom w:val="none" w:sz="0" w:space="0" w:color="auto"/>
        <w:right w:val="none" w:sz="0" w:space="0" w:color="auto"/>
      </w:divBdr>
    </w:div>
    <w:div w:id="1230270879">
      <w:bodyDiv w:val="1"/>
      <w:marLeft w:val="0"/>
      <w:marRight w:val="0"/>
      <w:marTop w:val="0"/>
      <w:marBottom w:val="0"/>
      <w:divBdr>
        <w:top w:val="none" w:sz="0" w:space="0" w:color="auto"/>
        <w:left w:val="none" w:sz="0" w:space="0" w:color="auto"/>
        <w:bottom w:val="none" w:sz="0" w:space="0" w:color="auto"/>
        <w:right w:val="none" w:sz="0" w:space="0" w:color="auto"/>
      </w:divBdr>
    </w:div>
    <w:div w:id="1236744498">
      <w:bodyDiv w:val="1"/>
      <w:marLeft w:val="0"/>
      <w:marRight w:val="0"/>
      <w:marTop w:val="0"/>
      <w:marBottom w:val="0"/>
      <w:divBdr>
        <w:top w:val="none" w:sz="0" w:space="0" w:color="auto"/>
        <w:left w:val="none" w:sz="0" w:space="0" w:color="auto"/>
        <w:bottom w:val="none" w:sz="0" w:space="0" w:color="auto"/>
        <w:right w:val="none" w:sz="0" w:space="0" w:color="auto"/>
      </w:divBdr>
    </w:div>
    <w:div w:id="1241645952">
      <w:bodyDiv w:val="1"/>
      <w:marLeft w:val="0"/>
      <w:marRight w:val="0"/>
      <w:marTop w:val="0"/>
      <w:marBottom w:val="0"/>
      <w:divBdr>
        <w:top w:val="none" w:sz="0" w:space="0" w:color="auto"/>
        <w:left w:val="none" w:sz="0" w:space="0" w:color="auto"/>
        <w:bottom w:val="none" w:sz="0" w:space="0" w:color="auto"/>
        <w:right w:val="none" w:sz="0" w:space="0" w:color="auto"/>
      </w:divBdr>
    </w:div>
    <w:div w:id="1244221715">
      <w:bodyDiv w:val="1"/>
      <w:marLeft w:val="0"/>
      <w:marRight w:val="0"/>
      <w:marTop w:val="0"/>
      <w:marBottom w:val="0"/>
      <w:divBdr>
        <w:top w:val="none" w:sz="0" w:space="0" w:color="auto"/>
        <w:left w:val="none" w:sz="0" w:space="0" w:color="auto"/>
        <w:bottom w:val="none" w:sz="0" w:space="0" w:color="auto"/>
        <w:right w:val="none" w:sz="0" w:space="0" w:color="auto"/>
      </w:divBdr>
    </w:div>
    <w:div w:id="1244728984">
      <w:bodyDiv w:val="1"/>
      <w:marLeft w:val="0"/>
      <w:marRight w:val="0"/>
      <w:marTop w:val="0"/>
      <w:marBottom w:val="0"/>
      <w:divBdr>
        <w:top w:val="none" w:sz="0" w:space="0" w:color="auto"/>
        <w:left w:val="none" w:sz="0" w:space="0" w:color="auto"/>
        <w:bottom w:val="none" w:sz="0" w:space="0" w:color="auto"/>
        <w:right w:val="none" w:sz="0" w:space="0" w:color="auto"/>
      </w:divBdr>
    </w:div>
    <w:div w:id="1246305900">
      <w:bodyDiv w:val="1"/>
      <w:marLeft w:val="0"/>
      <w:marRight w:val="0"/>
      <w:marTop w:val="0"/>
      <w:marBottom w:val="0"/>
      <w:divBdr>
        <w:top w:val="none" w:sz="0" w:space="0" w:color="auto"/>
        <w:left w:val="none" w:sz="0" w:space="0" w:color="auto"/>
        <w:bottom w:val="none" w:sz="0" w:space="0" w:color="auto"/>
        <w:right w:val="none" w:sz="0" w:space="0" w:color="auto"/>
      </w:divBdr>
    </w:div>
    <w:div w:id="1250117175">
      <w:bodyDiv w:val="1"/>
      <w:marLeft w:val="0"/>
      <w:marRight w:val="0"/>
      <w:marTop w:val="0"/>
      <w:marBottom w:val="0"/>
      <w:divBdr>
        <w:top w:val="none" w:sz="0" w:space="0" w:color="auto"/>
        <w:left w:val="none" w:sz="0" w:space="0" w:color="auto"/>
        <w:bottom w:val="none" w:sz="0" w:space="0" w:color="auto"/>
        <w:right w:val="none" w:sz="0" w:space="0" w:color="auto"/>
      </w:divBdr>
    </w:div>
    <w:div w:id="1250433658">
      <w:bodyDiv w:val="1"/>
      <w:marLeft w:val="0"/>
      <w:marRight w:val="0"/>
      <w:marTop w:val="0"/>
      <w:marBottom w:val="0"/>
      <w:divBdr>
        <w:top w:val="none" w:sz="0" w:space="0" w:color="auto"/>
        <w:left w:val="none" w:sz="0" w:space="0" w:color="auto"/>
        <w:bottom w:val="none" w:sz="0" w:space="0" w:color="auto"/>
        <w:right w:val="none" w:sz="0" w:space="0" w:color="auto"/>
      </w:divBdr>
    </w:div>
    <w:div w:id="1261260472">
      <w:bodyDiv w:val="1"/>
      <w:marLeft w:val="0"/>
      <w:marRight w:val="0"/>
      <w:marTop w:val="0"/>
      <w:marBottom w:val="0"/>
      <w:divBdr>
        <w:top w:val="none" w:sz="0" w:space="0" w:color="auto"/>
        <w:left w:val="none" w:sz="0" w:space="0" w:color="auto"/>
        <w:bottom w:val="none" w:sz="0" w:space="0" w:color="auto"/>
        <w:right w:val="none" w:sz="0" w:space="0" w:color="auto"/>
      </w:divBdr>
    </w:div>
    <w:div w:id="1265769666">
      <w:bodyDiv w:val="1"/>
      <w:marLeft w:val="0"/>
      <w:marRight w:val="0"/>
      <w:marTop w:val="0"/>
      <w:marBottom w:val="0"/>
      <w:divBdr>
        <w:top w:val="none" w:sz="0" w:space="0" w:color="auto"/>
        <w:left w:val="none" w:sz="0" w:space="0" w:color="auto"/>
        <w:bottom w:val="none" w:sz="0" w:space="0" w:color="auto"/>
        <w:right w:val="none" w:sz="0" w:space="0" w:color="auto"/>
      </w:divBdr>
    </w:div>
    <w:div w:id="1266959827">
      <w:bodyDiv w:val="1"/>
      <w:marLeft w:val="0"/>
      <w:marRight w:val="0"/>
      <w:marTop w:val="0"/>
      <w:marBottom w:val="0"/>
      <w:divBdr>
        <w:top w:val="none" w:sz="0" w:space="0" w:color="auto"/>
        <w:left w:val="none" w:sz="0" w:space="0" w:color="auto"/>
        <w:bottom w:val="none" w:sz="0" w:space="0" w:color="auto"/>
        <w:right w:val="none" w:sz="0" w:space="0" w:color="auto"/>
      </w:divBdr>
    </w:div>
    <w:div w:id="1269854829">
      <w:bodyDiv w:val="1"/>
      <w:marLeft w:val="0"/>
      <w:marRight w:val="0"/>
      <w:marTop w:val="0"/>
      <w:marBottom w:val="0"/>
      <w:divBdr>
        <w:top w:val="none" w:sz="0" w:space="0" w:color="auto"/>
        <w:left w:val="none" w:sz="0" w:space="0" w:color="auto"/>
        <w:bottom w:val="none" w:sz="0" w:space="0" w:color="auto"/>
        <w:right w:val="none" w:sz="0" w:space="0" w:color="auto"/>
      </w:divBdr>
    </w:div>
    <w:div w:id="1273786481">
      <w:bodyDiv w:val="1"/>
      <w:marLeft w:val="0"/>
      <w:marRight w:val="0"/>
      <w:marTop w:val="0"/>
      <w:marBottom w:val="0"/>
      <w:divBdr>
        <w:top w:val="none" w:sz="0" w:space="0" w:color="auto"/>
        <w:left w:val="none" w:sz="0" w:space="0" w:color="auto"/>
        <w:bottom w:val="none" w:sz="0" w:space="0" w:color="auto"/>
        <w:right w:val="none" w:sz="0" w:space="0" w:color="auto"/>
      </w:divBdr>
    </w:div>
    <w:div w:id="1275096252">
      <w:bodyDiv w:val="1"/>
      <w:marLeft w:val="0"/>
      <w:marRight w:val="0"/>
      <w:marTop w:val="0"/>
      <w:marBottom w:val="0"/>
      <w:divBdr>
        <w:top w:val="none" w:sz="0" w:space="0" w:color="auto"/>
        <w:left w:val="none" w:sz="0" w:space="0" w:color="auto"/>
        <w:bottom w:val="none" w:sz="0" w:space="0" w:color="auto"/>
        <w:right w:val="none" w:sz="0" w:space="0" w:color="auto"/>
      </w:divBdr>
    </w:div>
    <w:div w:id="1276408511">
      <w:bodyDiv w:val="1"/>
      <w:marLeft w:val="0"/>
      <w:marRight w:val="0"/>
      <w:marTop w:val="0"/>
      <w:marBottom w:val="0"/>
      <w:divBdr>
        <w:top w:val="none" w:sz="0" w:space="0" w:color="auto"/>
        <w:left w:val="none" w:sz="0" w:space="0" w:color="auto"/>
        <w:bottom w:val="none" w:sz="0" w:space="0" w:color="auto"/>
        <w:right w:val="none" w:sz="0" w:space="0" w:color="auto"/>
      </w:divBdr>
    </w:div>
    <w:div w:id="1280181955">
      <w:bodyDiv w:val="1"/>
      <w:marLeft w:val="0"/>
      <w:marRight w:val="0"/>
      <w:marTop w:val="0"/>
      <w:marBottom w:val="0"/>
      <w:divBdr>
        <w:top w:val="none" w:sz="0" w:space="0" w:color="auto"/>
        <w:left w:val="none" w:sz="0" w:space="0" w:color="auto"/>
        <w:bottom w:val="none" w:sz="0" w:space="0" w:color="auto"/>
        <w:right w:val="none" w:sz="0" w:space="0" w:color="auto"/>
      </w:divBdr>
    </w:div>
    <w:div w:id="1283420356">
      <w:bodyDiv w:val="1"/>
      <w:marLeft w:val="0"/>
      <w:marRight w:val="0"/>
      <w:marTop w:val="0"/>
      <w:marBottom w:val="0"/>
      <w:divBdr>
        <w:top w:val="none" w:sz="0" w:space="0" w:color="auto"/>
        <w:left w:val="none" w:sz="0" w:space="0" w:color="auto"/>
        <w:bottom w:val="none" w:sz="0" w:space="0" w:color="auto"/>
        <w:right w:val="none" w:sz="0" w:space="0" w:color="auto"/>
      </w:divBdr>
    </w:div>
    <w:div w:id="1290041899">
      <w:bodyDiv w:val="1"/>
      <w:marLeft w:val="0"/>
      <w:marRight w:val="0"/>
      <w:marTop w:val="0"/>
      <w:marBottom w:val="0"/>
      <w:divBdr>
        <w:top w:val="none" w:sz="0" w:space="0" w:color="auto"/>
        <w:left w:val="none" w:sz="0" w:space="0" w:color="auto"/>
        <w:bottom w:val="none" w:sz="0" w:space="0" w:color="auto"/>
        <w:right w:val="none" w:sz="0" w:space="0" w:color="auto"/>
      </w:divBdr>
    </w:div>
    <w:div w:id="1290933822">
      <w:bodyDiv w:val="1"/>
      <w:marLeft w:val="0"/>
      <w:marRight w:val="0"/>
      <w:marTop w:val="0"/>
      <w:marBottom w:val="0"/>
      <w:divBdr>
        <w:top w:val="none" w:sz="0" w:space="0" w:color="auto"/>
        <w:left w:val="none" w:sz="0" w:space="0" w:color="auto"/>
        <w:bottom w:val="none" w:sz="0" w:space="0" w:color="auto"/>
        <w:right w:val="none" w:sz="0" w:space="0" w:color="auto"/>
      </w:divBdr>
    </w:div>
    <w:div w:id="1292202705">
      <w:bodyDiv w:val="1"/>
      <w:marLeft w:val="0"/>
      <w:marRight w:val="0"/>
      <w:marTop w:val="0"/>
      <w:marBottom w:val="0"/>
      <w:divBdr>
        <w:top w:val="none" w:sz="0" w:space="0" w:color="auto"/>
        <w:left w:val="none" w:sz="0" w:space="0" w:color="auto"/>
        <w:bottom w:val="none" w:sz="0" w:space="0" w:color="auto"/>
        <w:right w:val="none" w:sz="0" w:space="0" w:color="auto"/>
      </w:divBdr>
    </w:div>
    <w:div w:id="1294218555">
      <w:bodyDiv w:val="1"/>
      <w:marLeft w:val="0"/>
      <w:marRight w:val="0"/>
      <w:marTop w:val="0"/>
      <w:marBottom w:val="0"/>
      <w:divBdr>
        <w:top w:val="none" w:sz="0" w:space="0" w:color="auto"/>
        <w:left w:val="none" w:sz="0" w:space="0" w:color="auto"/>
        <w:bottom w:val="none" w:sz="0" w:space="0" w:color="auto"/>
        <w:right w:val="none" w:sz="0" w:space="0" w:color="auto"/>
      </w:divBdr>
    </w:div>
    <w:div w:id="1295872329">
      <w:bodyDiv w:val="1"/>
      <w:marLeft w:val="0"/>
      <w:marRight w:val="0"/>
      <w:marTop w:val="0"/>
      <w:marBottom w:val="0"/>
      <w:divBdr>
        <w:top w:val="none" w:sz="0" w:space="0" w:color="auto"/>
        <w:left w:val="none" w:sz="0" w:space="0" w:color="auto"/>
        <w:bottom w:val="none" w:sz="0" w:space="0" w:color="auto"/>
        <w:right w:val="none" w:sz="0" w:space="0" w:color="auto"/>
      </w:divBdr>
    </w:div>
    <w:div w:id="1296519687">
      <w:bodyDiv w:val="1"/>
      <w:marLeft w:val="0"/>
      <w:marRight w:val="0"/>
      <w:marTop w:val="0"/>
      <w:marBottom w:val="0"/>
      <w:divBdr>
        <w:top w:val="none" w:sz="0" w:space="0" w:color="auto"/>
        <w:left w:val="none" w:sz="0" w:space="0" w:color="auto"/>
        <w:bottom w:val="none" w:sz="0" w:space="0" w:color="auto"/>
        <w:right w:val="none" w:sz="0" w:space="0" w:color="auto"/>
      </w:divBdr>
    </w:div>
    <w:div w:id="1298681189">
      <w:bodyDiv w:val="1"/>
      <w:marLeft w:val="0"/>
      <w:marRight w:val="0"/>
      <w:marTop w:val="0"/>
      <w:marBottom w:val="0"/>
      <w:divBdr>
        <w:top w:val="none" w:sz="0" w:space="0" w:color="auto"/>
        <w:left w:val="none" w:sz="0" w:space="0" w:color="auto"/>
        <w:bottom w:val="none" w:sz="0" w:space="0" w:color="auto"/>
        <w:right w:val="none" w:sz="0" w:space="0" w:color="auto"/>
      </w:divBdr>
    </w:div>
    <w:div w:id="1298947753">
      <w:bodyDiv w:val="1"/>
      <w:marLeft w:val="0"/>
      <w:marRight w:val="0"/>
      <w:marTop w:val="0"/>
      <w:marBottom w:val="0"/>
      <w:divBdr>
        <w:top w:val="none" w:sz="0" w:space="0" w:color="auto"/>
        <w:left w:val="none" w:sz="0" w:space="0" w:color="auto"/>
        <w:bottom w:val="none" w:sz="0" w:space="0" w:color="auto"/>
        <w:right w:val="none" w:sz="0" w:space="0" w:color="auto"/>
      </w:divBdr>
    </w:div>
    <w:div w:id="1308784121">
      <w:bodyDiv w:val="1"/>
      <w:marLeft w:val="0"/>
      <w:marRight w:val="0"/>
      <w:marTop w:val="0"/>
      <w:marBottom w:val="0"/>
      <w:divBdr>
        <w:top w:val="none" w:sz="0" w:space="0" w:color="auto"/>
        <w:left w:val="none" w:sz="0" w:space="0" w:color="auto"/>
        <w:bottom w:val="none" w:sz="0" w:space="0" w:color="auto"/>
        <w:right w:val="none" w:sz="0" w:space="0" w:color="auto"/>
      </w:divBdr>
    </w:div>
    <w:div w:id="1309355774">
      <w:bodyDiv w:val="1"/>
      <w:marLeft w:val="0"/>
      <w:marRight w:val="0"/>
      <w:marTop w:val="0"/>
      <w:marBottom w:val="0"/>
      <w:divBdr>
        <w:top w:val="none" w:sz="0" w:space="0" w:color="auto"/>
        <w:left w:val="none" w:sz="0" w:space="0" w:color="auto"/>
        <w:bottom w:val="none" w:sz="0" w:space="0" w:color="auto"/>
        <w:right w:val="none" w:sz="0" w:space="0" w:color="auto"/>
      </w:divBdr>
    </w:div>
    <w:div w:id="1311667527">
      <w:bodyDiv w:val="1"/>
      <w:marLeft w:val="0"/>
      <w:marRight w:val="0"/>
      <w:marTop w:val="0"/>
      <w:marBottom w:val="0"/>
      <w:divBdr>
        <w:top w:val="none" w:sz="0" w:space="0" w:color="auto"/>
        <w:left w:val="none" w:sz="0" w:space="0" w:color="auto"/>
        <w:bottom w:val="none" w:sz="0" w:space="0" w:color="auto"/>
        <w:right w:val="none" w:sz="0" w:space="0" w:color="auto"/>
      </w:divBdr>
    </w:div>
    <w:div w:id="1313370034">
      <w:bodyDiv w:val="1"/>
      <w:marLeft w:val="0"/>
      <w:marRight w:val="0"/>
      <w:marTop w:val="0"/>
      <w:marBottom w:val="0"/>
      <w:divBdr>
        <w:top w:val="none" w:sz="0" w:space="0" w:color="auto"/>
        <w:left w:val="none" w:sz="0" w:space="0" w:color="auto"/>
        <w:bottom w:val="none" w:sz="0" w:space="0" w:color="auto"/>
        <w:right w:val="none" w:sz="0" w:space="0" w:color="auto"/>
      </w:divBdr>
    </w:div>
    <w:div w:id="1316226180">
      <w:bodyDiv w:val="1"/>
      <w:marLeft w:val="0"/>
      <w:marRight w:val="0"/>
      <w:marTop w:val="0"/>
      <w:marBottom w:val="0"/>
      <w:divBdr>
        <w:top w:val="none" w:sz="0" w:space="0" w:color="auto"/>
        <w:left w:val="none" w:sz="0" w:space="0" w:color="auto"/>
        <w:bottom w:val="none" w:sz="0" w:space="0" w:color="auto"/>
        <w:right w:val="none" w:sz="0" w:space="0" w:color="auto"/>
      </w:divBdr>
    </w:div>
    <w:div w:id="1316297659">
      <w:bodyDiv w:val="1"/>
      <w:marLeft w:val="0"/>
      <w:marRight w:val="0"/>
      <w:marTop w:val="0"/>
      <w:marBottom w:val="0"/>
      <w:divBdr>
        <w:top w:val="none" w:sz="0" w:space="0" w:color="auto"/>
        <w:left w:val="none" w:sz="0" w:space="0" w:color="auto"/>
        <w:bottom w:val="none" w:sz="0" w:space="0" w:color="auto"/>
        <w:right w:val="none" w:sz="0" w:space="0" w:color="auto"/>
      </w:divBdr>
    </w:div>
    <w:div w:id="1324511338">
      <w:bodyDiv w:val="1"/>
      <w:marLeft w:val="0"/>
      <w:marRight w:val="0"/>
      <w:marTop w:val="0"/>
      <w:marBottom w:val="0"/>
      <w:divBdr>
        <w:top w:val="none" w:sz="0" w:space="0" w:color="auto"/>
        <w:left w:val="none" w:sz="0" w:space="0" w:color="auto"/>
        <w:bottom w:val="none" w:sz="0" w:space="0" w:color="auto"/>
        <w:right w:val="none" w:sz="0" w:space="0" w:color="auto"/>
      </w:divBdr>
    </w:div>
    <w:div w:id="1339965868">
      <w:bodyDiv w:val="1"/>
      <w:marLeft w:val="0"/>
      <w:marRight w:val="0"/>
      <w:marTop w:val="0"/>
      <w:marBottom w:val="0"/>
      <w:divBdr>
        <w:top w:val="none" w:sz="0" w:space="0" w:color="auto"/>
        <w:left w:val="none" w:sz="0" w:space="0" w:color="auto"/>
        <w:bottom w:val="none" w:sz="0" w:space="0" w:color="auto"/>
        <w:right w:val="none" w:sz="0" w:space="0" w:color="auto"/>
      </w:divBdr>
    </w:div>
    <w:div w:id="1345129084">
      <w:bodyDiv w:val="1"/>
      <w:marLeft w:val="0"/>
      <w:marRight w:val="0"/>
      <w:marTop w:val="0"/>
      <w:marBottom w:val="0"/>
      <w:divBdr>
        <w:top w:val="none" w:sz="0" w:space="0" w:color="auto"/>
        <w:left w:val="none" w:sz="0" w:space="0" w:color="auto"/>
        <w:bottom w:val="none" w:sz="0" w:space="0" w:color="auto"/>
        <w:right w:val="none" w:sz="0" w:space="0" w:color="auto"/>
      </w:divBdr>
    </w:div>
    <w:div w:id="1347557944">
      <w:bodyDiv w:val="1"/>
      <w:marLeft w:val="0"/>
      <w:marRight w:val="0"/>
      <w:marTop w:val="0"/>
      <w:marBottom w:val="0"/>
      <w:divBdr>
        <w:top w:val="none" w:sz="0" w:space="0" w:color="auto"/>
        <w:left w:val="none" w:sz="0" w:space="0" w:color="auto"/>
        <w:bottom w:val="none" w:sz="0" w:space="0" w:color="auto"/>
        <w:right w:val="none" w:sz="0" w:space="0" w:color="auto"/>
      </w:divBdr>
    </w:div>
    <w:div w:id="1347753649">
      <w:bodyDiv w:val="1"/>
      <w:marLeft w:val="0"/>
      <w:marRight w:val="0"/>
      <w:marTop w:val="0"/>
      <w:marBottom w:val="0"/>
      <w:divBdr>
        <w:top w:val="none" w:sz="0" w:space="0" w:color="auto"/>
        <w:left w:val="none" w:sz="0" w:space="0" w:color="auto"/>
        <w:bottom w:val="none" w:sz="0" w:space="0" w:color="auto"/>
        <w:right w:val="none" w:sz="0" w:space="0" w:color="auto"/>
      </w:divBdr>
    </w:div>
    <w:div w:id="1348940626">
      <w:bodyDiv w:val="1"/>
      <w:marLeft w:val="0"/>
      <w:marRight w:val="0"/>
      <w:marTop w:val="0"/>
      <w:marBottom w:val="0"/>
      <w:divBdr>
        <w:top w:val="none" w:sz="0" w:space="0" w:color="auto"/>
        <w:left w:val="none" w:sz="0" w:space="0" w:color="auto"/>
        <w:bottom w:val="none" w:sz="0" w:space="0" w:color="auto"/>
        <w:right w:val="none" w:sz="0" w:space="0" w:color="auto"/>
      </w:divBdr>
    </w:div>
    <w:div w:id="1349330449">
      <w:bodyDiv w:val="1"/>
      <w:marLeft w:val="0"/>
      <w:marRight w:val="0"/>
      <w:marTop w:val="0"/>
      <w:marBottom w:val="0"/>
      <w:divBdr>
        <w:top w:val="none" w:sz="0" w:space="0" w:color="auto"/>
        <w:left w:val="none" w:sz="0" w:space="0" w:color="auto"/>
        <w:bottom w:val="none" w:sz="0" w:space="0" w:color="auto"/>
        <w:right w:val="none" w:sz="0" w:space="0" w:color="auto"/>
      </w:divBdr>
    </w:div>
    <w:div w:id="1353799524">
      <w:bodyDiv w:val="1"/>
      <w:marLeft w:val="0"/>
      <w:marRight w:val="0"/>
      <w:marTop w:val="0"/>
      <w:marBottom w:val="0"/>
      <w:divBdr>
        <w:top w:val="none" w:sz="0" w:space="0" w:color="auto"/>
        <w:left w:val="none" w:sz="0" w:space="0" w:color="auto"/>
        <w:bottom w:val="none" w:sz="0" w:space="0" w:color="auto"/>
        <w:right w:val="none" w:sz="0" w:space="0" w:color="auto"/>
      </w:divBdr>
    </w:div>
    <w:div w:id="1355767633">
      <w:bodyDiv w:val="1"/>
      <w:marLeft w:val="0"/>
      <w:marRight w:val="0"/>
      <w:marTop w:val="0"/>
      <w:marBottom w:val="0"/>
      <w:divBdr>
        <w:top w:val="none" w:sz="0" w:space="0" w:color="auto"/>
        <w:left w:val="none" w:sz="0" w:space="0" w:color="auto"/>
        <w:bottom w:val="none" w:sz="0" w:space="0" w:color="auto"/>
        <w:right w:val="none" w:sz="0" w:space="0" w:color="auto"/>
      </w:divBdr>
    </w:div>
    <w:div w:id="1357543624">
      <w:bodyDiv w:val="1"/>
      <w:marLeft w:val="0"/>
      <w:marRight w:val="0"/>
      <w:marTop w:val="0"/>
      <w:marBottom w:val="0"/>
      <w:divBdr>
        <w:top w:val="none" w:sz="0" w:space="0" w:color="auto"/>
        <w:left w:val="none" w:sz="0" w:space="0" w:color="auto"/>
        <w:bottom w:val="none" w:sz="0" w:space="0" w:color="auto"/>
        <w:right w:val="none" w:sz="0" w:space="0" w:color="auto"/>
      </w:divBdr>
    </w:div>
    <w:div w:id="1361084137">
      <w:bodyDiv w:val="1"/>
      <w:marLeft w:val="0"/>
      <w:marRight w:val="0"/>
      <w:marTop w:val="0"/>
      <w:marBottom w:val="0"/>
      <w:divBdr>
        <w:top w:val="none" w:sz="0" w:space="0" w:color="auto"/>
        <w:left w:val="none" w:sz="0" w:space="0" w:color="auto"/>
        <w:bottom w:val="none" w:sz="0" w:space="0" w:color="auto"/>
        <w:right w:val="none" w:sz="0" w:space="0" w:color="auto"/>
      </w:divBdr>
    </w:div>
    <w:div w:id="1361854439">
      <w:bodyDiv w:val="1"/>
      <w:marLeft w:val="0"/>
      <w:marRight w:val="0"/>
      <w:marTop w:val="0"/>
      <w:marBottom w:val="0"/>
      <w:divBdr>
        <w:top w:val="none" w:sz="0" w:space="0" w:color="auto"/>
        <w:left w:val="none" w:sz="0" w:space="0" w:color="auto"/>
        <w:bottom w:val="none" w:sz="0" w:space="0" w:color="auto"/>
        <w:right w:val="none" w:sz="0" w:space="0" w:color="auto"/>
      </w:divBdr>
    </w:div>
    <w:div w:id="1364749597">
      <w:bodyDiv w:val="1"/>
      <w:marLeft w:val="0"/>
      <w:marRight w:val="0"/>
      <w:marTop w:val="0"/>
      <w:marBottom w:val="0"/>
      <w:divBdr>
        <w:top w:val="none" w:sz="0" w:space="0" w:color="auto"/>
        <w:left w:val="none" w:sz="0" w:space="0" w:color="auto"/>
        <w:bottom w:val="none" w:sz="0" w:space="0" w:color="auto"/>
        <w:right w:val="none" w:sz="0" w:space="0" w:color="auto"/>
      </w:divBdr>
    </w:div>
    <w:div w:id="1384016262">
      <w:bodyDiv w:val="1"/>
      <w:marLeft w:val="0"/>
      <w:marRight w:val="0"/>
      <w:marTop w:val="0"/>
      <w:marBottom w:val="0"/>
      <w:divBdr>
        <w:top w:val="none" w:sz="0" w:space="0" w:color="auto"/>
        <w:left w:val="none" w:sz="0" w:space="0" w:color="auto"/>
        <w:bottom w:val="none" w:sz="0" w:space="0" w:color="auto"/>
        <w:right w:val="none" w:sz="0" w:space="0" w:color="auto"/>
      </w:divBdr>
    </w:div>
    <w:div w:id="1391270788">
      <w:bodyDiv w:val="1"/>
      <w:marLeft w:val="0"/>
      <w:marRight w:val="0"/>
      <w:marTop w:val="0"/>
      <w:marBottom w:val="0"/>
      <w:divBdr>
        <w:top w:val="none" w:sz="0" w:space="0" w:color="auto"/>
        <w:left w:val="none" w:sz="0" w:space="0" w:color="auto"/>
        <w:bottom w:val="none" w:sz="0" w:space="0" w:color="auto"/>
        <w:right w:val="none" w:sz="0" w:space="0" w:color="auto"/>
      </w:divBdr>
    </w:div>
    <w:div w:id="1393306378">
      <w:bodyDiv w:val="1"/>
      <w:marLeft w:val="0"/>
      <w:marRight w:val="0"/>
      <w:marTop w:val="0"/>
      <w:marBottom w:val="0"/>
      <w:divBdr>
        <w:top w:val="none" w:sz="0" w:space="0" w:color="auto"/>
        <w:left w:val="none" w:sz="0" w:space="0" w:color="auto"/>
        <w:bottom w:val="none" w:sz="0" w:space="0" w:color="auto"/>
        <w:right w:val="none" w:sz="0" w:space="0" w:color="auto"/>
      </w:divBdr>
    </w:div>
    <w:div w:id="1401292521">
      <w:bodyDiv w:val="1"/>
      <w:marLeft w:val="0"/>
      <w:marRight w:val="0"/>
      <w:marTop w:val="0"/>
      <w:marBottom w:val="0"/>
      <w:divBdr>
        <w:top w:val="none" w:sz="0" w:space="0" w:color="auto"/>
        <w:left w:val="none" w:sz="0" w:space="0" w:color="auto"/>
        <w:bottom w:val="none" w:sz="0" w:space="0" w:color="auto"/>
        <w:right w:val="none" w:sz="0" w:space="0" w:color="auto"/>
      </w:divBdr>
    </w:div>
    <w:div w:id="1403289184">
      <w:bodyDiv w:val="1"/>
      <w:marLeft w:val="0"/>
      <w:marRight w:val="0"/>
      <w:marTop w:val="0"/>
      <w:marBottom w:val="0"/>
      <w:divBdr>
        <w:top w:val="none" w:sz="0" w:space="0" w:color="auto"/>
        <w:left w:val="none" w:sz="0" w:space="0" w:color="auto"/>
        <w:bottom w:val="none" w:sz="0" w:space="0" w:color="auto"/>
        <w:right w:val="none" w:sz="0" w:space="0" w:color="auto"/>
      </w:divBdr>
    </w:div>
    <w:div w:id="1404837412">
      <w:bodyDiv w:val="1"/>
      <w:marLeft w:val="0"/>
      <w:marRight w:val="0"/>
      <w:marTop w:val="0"/>
      <w:marBottom w:val="0"/>
      <w:divBdr>
        <w:top w:val="none" w:sz="0" w:space="0" w:color="auto"/>
        <w:left w:val="none" w:sz="0" w:space="0" w:color="auto"/>
        <w:bottom w:val="none" w:sz="0" w:space="0" w:color="auto"/>
        <w:right w:val="none" w:sz="0" w:space="0" w:color="auto"/>
      </w:divBdr>
    </w:div>
    <w:div w:id="1409575180">
      <w:bodyDiv w:val="1"/>
      <w:marLeft w:val="0"/>
      <w:marRight w:val="0"/>
      <w:marTop w:val="0"/>
      <w:marBottom w:val="0"/>
      <w:divBdr>
        <w:top w:val="none" w:sz="0" w:space="0" w:color="auto"/>
        <w:left w:val="none" w:sz="0" w:space="0" w:color="auto"/>
        <w:bottom w:val="none" w:sz="0" w:space="0" w:color="auto"/>
        <w:right w:val="none" w:sz="0" w:space="0" w:color="auto"/>
      </w:divBdr>
    </w:div>
    <w:div w:id="1420130963">
      <w:bodyDiv w:val="1"/>
      <w:marLeft w:val="0"/>
      <w:marRight w:val="0"/>
      <w:marTop w:val="0"/>
      <w:marBottom w:val="0"/>
      <w:divBdr>
        <w:top w:val="none" w:sz="0" w:space="0" w:color="auto"/>
        <w:left w:val="none" w:sz="0" w:space="0" w:color="auto"/>
        <w:bottom w:val="none" w:sz="0" w:space="0" w:color="auto"/>
        <w:right w:val="none" w:sz="0" w:space="0" w:color="auto"/>
      </w:divBdr>
    </w:div>
    <w:div w:id="1422412606">
      <w:bodyDiv w:val="1"/>
      <w:marLeft w:val="0"/>
      <w:marRight w:val="0"/>
      <w:marTop w:val="0"/>
      <w:marBottom w:val="0"/>
      <w:divBdr>
        <w:top w:val="none" w:sz="0" w:space="0" w:color="auto"/>
        <w:left w:val="none" w:sz="0" w:space="0" w:color="auto"/>
        <w:bottom w:val="none" w:sz="0" w:space="0" w:color="auto"/>
        <w:right w:val="none" w:sz="0" w:space="0" w:color="auto"/>
      </w:divBdr>
    </w:div>
    <w:div w:id="1425491970">
      <w:bodyDiv w:val="1"/>
      <w:marLeft w:val="0"/>
      <w:marRight w:val="0"/>
      <w:marTop w:val="0"/>
      <w:marBottom w:val="0"/>
      <w:divBdr>
        <w:top w:val="none" w:sz="0" w:space="0" w:color="auto"/>
        <w:left w:val="none" w:sz="0" w:space="0" w:color="auto"/>
        <w:bottom w:val="none" w:sz="0" w:space="0" w:color="auto"/>
        <w:right w:val="none" w:sz="0" w:space="0" w:color="auto"/>
      </w:divBdr>
    </w:div>
    <w:div w:id="1429081647">
      <w:bodyDiv w:val="1"/>
      <w:marLeft w:val="0"/>
      <w:marRight w:val="0"/>
      <w:marTop w:val="0"/>
      <w:marBottom w:val="0"/>
      <w:divBdr>
        <w:top w:val="none" w:sz="0" w:space="0" w:color="auto"/>
        <w:left w:val="none" w:sz="0" w:space="0" w:color="auto"/>
        <w:bottom w:val="none" w:sz="0" w:space="0" w:color="auto"/>
        <w:right w:val="none" w:sz="0" w:space="0" w:color="auto"/>
      </w:divBdr>
    </w:div>
    <w:div w:id="1430663370">
      <w:bodyDiv w:val="1"/>
      <w:marLeft w:val="0"/>
      <w:marRight w:val="0"/>
      <w:marTop w:val="0"/>
      <w:marBottom w:val="0"/>
      <w:divBdr>
        <w:top w:val="none" w:sz="0" w:space="0" w:color="auto"/>
        <w:left w:val="none" w:sz="0" w:space="0" w:color="auto"/>
        <w:bottom w:val="none" w:sz="0" w:space="0" w:color="auto"/>
        <w:right w:val="none" w:sz="0" w:space="0" w:color="auto"/>
      </w:divBdr>
    </w:div>
    <w:div w:id="1434133204">
      <w:bodyDiv w:val="1"/>
      <w:marLeft w:val="0"/>
      <w:marRight w:val="0"/>
      <w:marTop w:val="0"/>
      <w:marBottom w:val="0"/>
      <w:divBdr>
        <w:top w:val="none" w:sz="0" w:space="0" w:color="auto"/>
        <w:left w:val="none" w:sz="0" w:space="0" w:color="auto"/>
        <w:bottom w:val="none" w:sz="0" w:space="0" w:color="auto"/>
        <w:right w:val="none" w:sz="0" w:space="0" w:color="auto"/>
      </w:divBdr>
    </w:div>
    <w:div w:id="1441340756">
      <w:bodyDiv w:val="1"/>
      <w:marLeft w:val="0"/>
      <w:marRight w:val="0"/>
      <w:marTop w:val="0"/>
      <w:marBottom w:val="0"/>
      <w:divBdr>
        <w:top w:val="none" w:sz="0" w:space="0" w:color="auto"/>
        <w:left w:val="none" w:sz="0" w:space="0" w:color="auto"/>
        <w:bottom w:val="none" w:sz="0" w:space="0" w:color="auto"/>
        <w:right w:val="none" w:sz="0" w:space="0" w:color="auto"/>
      </w:divBdr>
    </w:div>
    <w:div w:id="1442266136">
      <w:bodyDiv w:val="1"/>
      <w:marLeft w:val="0"/>
      <w:marRight w:val="0"/>
      <w:marTop w:val="0"/>
      <w:marBottom w:val="0"/>
      <w:divBdr>
        <w:top w:val="none" w:sz="0" w:space="0" w:color="auto"/>
        <w:left w:val="none" w:sz="0" w:space="0" w:color="auto"/>
        <w:bottom w:val="none" w:sz="0" w:space="0" w:color="auto"/>
        <w:right w:val="none" w:sz="0" w:space="0" w:color="auto"/>
      </w:divBdr>
    </w:div>
    <w:div w:id="1447306722">
      <w:bodyDiv w:val="1"/>
      <w:marLeft w:val="0"/>
      <w:marRight w:val="0"/>
      <w:marTop w:val="0"/>
      <w:marBottom w:val="0"/>
      <w:divBdr>
        <w:top w:val="none" w:sz="0" w:space="0" w:color="auto"/>
        <w:left w:val="none" w:sz="0" w:space="0" w:color="auto"/>
        <w:bottom w:val="none" w:sz="0" w:space="0" w:color="auto"/>
        <w:right w:val="none" w:sz="0" w:space="0" w:color="auto"/>
      </w:divBdr>
    </w:div>
    <w:div w:id="1450777929">
      <w:bodyDiv w:val="1"/>
      <w:marLeft w:val="0"/>
      <w:marRight w:val="0"/>
      <w:marTop w:val="0"/>
      <w:marBottom w:val="0"/>
      <w:divBdr>
        <w:top w:val="none" w:sz="0" w:space="0" w:color="auto"/>
        <w:left w:val="none" w:sz="0" w:space="0" w:color="auto"/>
        <w:bottom w:val="none" w:sz="0" w:space="0" w:color="auto"/>
        <w:right w:val="none" w:sz="0" w:space="0" w:color="auto"/>
      </w:divBdr>
    </w:div>
    <w:div w:id="1451629668">
      <w:bodyDiv w:val="1"/>
      <w:marLeft w:val="0"/>
      <w:marRight w:val="0"/>
      <w:marTop w:val="0"/>
      <w:marBottom w:val="0"/>
      <w:divBdr>
        <w:top w:val="none" w:sz="0" w:space="0" w:color="auto"/>
        <w:left w:val="none" w:sz="0" w:space="0" w:color="auto"/>
        <w:bottom w:val="none" w:sz="0" w:space="0" w:color="auto"/>
        <w:right w:val="none" w:sz="0" w:space="0" w:color="auto"/>
      </w:divBdr>
    </w:div>
    <w:div w:id="1453934289">
      <w:bodyDiv w:val="1"/>
      <w:marLeft w:val="0"/>
      <w:marRight w:val="0"/>
      <w:marTop w:val="0"/>
      <w:marBottom w:val="0"/>
      <w:divBdr>
        <w:top w:val="none" w:sz="0" w:space="0" w:color="auto"/>
        <w:left w:val="none" w:sz="0" w:space="0" w:color="auto"/>
        <w:bottom w:val="none" w:sz="0" w:space="0" w:color="auto"/>
        <w:right w:val="none" w:sz="0" w:space="0" w:color="auto"/>
      </w:divBdr>
    </w:div>
    <w:div w:id="1456096277">
      <w:bodyDiv w:val="1"/>
      <w:marLeft w:val="0"/>
      <w:marRight w:val="0"/>
      <w:marTop w:val="0"/>
      <w:marBottom w:val="0"/>
      <w:divBdr>
        <w:top w:val="none" w:sz="0" w:space="0" w:color="auto"/>
        <w:left w:val="none" w:sz="0" w:space="0" w:color="auto"/>
        <w:bottom w:val="none" w:sz="0" w:space="0" w:color="auto"/>
        <w:right w:val="none" w:sz="0" w:space="0" w:color="auto"/>
      </w:divBdr>
    </w:div>
    <w:div w:id="1457140138">
      <w:bodyDiv w:val="1"/>
      <w:marLeft w:val="0"/>
      <w:marRight w:val="0"/>
      <w:marTop w:val="0"/>
      <w:marBottom w:val="0"/>
      <w:divBdr>
        <w:top w:val="none" w:sz="0" w:space="0" w:color="auto"/>
        <w:left w:val="none" w:sz="0" w:space="0" w:color="auto"/>
        <w:bottom w:val="none" w:sz="0" w:space="0" w:color="auto"/>
        <w:right w:val="none" w:sz="0" w:space="0" w:color="auto"/>
      </w:divBdr>
    </w:div>
    <w:div w:id="1458987373">
      <w:bodyDiv w:val="1"/>
      <w:marLeft w:val="0"/>
      <w:marRight w:val="0"/>
      <w:marTop w:val="0"/>
      <w:marBottom w:val="0"/>
      <w:divBdr>
        <w:top w:val="none" w:sz="0" w:space="0" w:color="auto"/>
        <w:left w:val="none" w:sz="0" w:space="0" w:color="auto"/>
        <w:bottom w:val="none" w:sz="0" w:space="0" w:color="auto"/>
        <w:right w:val="none" w:sz="0" w:space="0" w:color="auto"/>
      </w:divBdr>
    </w:div>
    <w:div w:id="1460144310">
      <w:bodyDiv w:val="1"/>
      <w:marLeft w:val="0"/>
      <w:marRight w:val="0"/>
      <w:marTop w:val="0"/>
      <w:marBottom w:val="0"/>
      <w:divBdr>
        <w:top w:val="none" w:sz="0" w:space="0" w:color="auto"/>
        <w:left w:val="none" w:sz="0" w:space="0" w:color="auto"/>
        <w:bottom w:val="none" w:sz="0" w:space="0" w:color="auto"/>
        <w:right w:val="none" w:sz="0" w:space="0" w:color="auto"/>
      </w:divBdr>
    </w:div>
    <w:div w:id="1461343318">
      <w:bodyDiv w:val="1"/>
      <w:marLeft w:val="0"/>
      <w:marRight w:val="0"/>
      <w:marTop w:val="0"/>
      <w:marBottom w:val="0"/>
      <w:divBdr>
        <w:top w:val="none" w:sz="0" w:space="0" w:color="auto"/>
        <w:left w:val="none" w:sz="0" w:space="0" w:color="auto"/>
        <w:bottom w:val="none" w:sz="0" w:space="0" w:color="auto"/>
        <w:right w:val="none" w:sz="0" w:space="0" w:color="auto"/>
      </w:divBdr>
    </w:div>
    <w:div w:id="1463883233">
      <w:bodyDiv w:val="1"/>
      <w:marLeft w:val="0"/>
      <w:marRight w:val="0"/>
      <w:marTop w:val="0"/>
      <w:marBottom w:val="0"/>
      <w:divBdr>
        <w:top w:val="none" w:sz="0" w:space="0" w:color="auto"/>
        <w:left w:val="none" w:sz="0" w:space="0" w:color="auto"/>
        <w:bottom w:val="none" w:sz="0" w:space="0" w:color="auto"/>
        <w:right w:val="none" w:sz="0" w:space="0" w:color="auto"/>
      </w:divBdr>
    </w:div>
    <w:div w:id="1463888752">
      <w:bodyDiv w:val="1"/>
      <w:marLeft w:val="0"/>
      <w:marRight w:val="0"/>
      <w:marTop w:val="0"/>
      <w:marBottom w:val="0"/>
      <w:divBdr>
        <w:top w:val="none" w:sz="0" w:space="0" w:color="auto"/>
        <w:left w:val="none" w:sz="0" w:space="0" w:color="auto"/>
        <w:bottom w:val="none" w:sz="0" w:space="0" w:color="auto"/>
        <w:right w:val="none" w:sz="0" w:space="0" w:color="auto"/>
      </w:divBdr>
    </w:div>
    <w:div w:id="1466921826">
      <w:bodyDiv w:val="1"/>
      <w:marLeft w:val="0"/>
      <w:marRight w:val="0"/>
      <w:marTop w:val="0"/>
      <w:marBottom w:val="0"/>
      <w:divBdr>
        <w:top w:val="none" w:sz="0" w:space="0" w:color="auto"/>
        <w:left w:val="none" w:sz="0" w:space="0" w:color="auto"/>
        <w:bottom w:val="none" w:sz="0" w:space="0" w:color="auto"/>
        <w:right w:val="none" w:sz="0" w:space="0" w:color="auto"/>
      </w:divBdr>
    </w:div>
    <w:div w:id="1468281269">
      <w:bodyDiv w:val="1"/>
      <w:marLeft w:val="0"/>
      <w:marRight w:val="0"/>
      <w:marTop w:val="0"/>
      <w:marBottom w:val="0"/>
      <w:divBdr>
        <w:top w:val="none" w:sz="0" w:space="0" w:color="auto"/>
        <w:left w:val="none" w:sz="0" w:space="0" w:color="auto"/>
        <w:bottom w:val="none" w:sz="0" w:space="0" w:color="auto"/>
        <w:right w:val="none" w:sz="0" w:space="0" w:color="auto"/>
      </w:divBdr>
    </w:div>
    <w:div w:id="1468350735">
      <w:bodyDiv w:val="1"/>
      <w:marLeft w:val="0"/>
      <w:marRight w:val="0"/>
      <w:marTop w:val="0"/>
      <w:marBottom w:val="0"/>
      <w:divBdr>
        <w:top w:val="none" w:sz="0" w:space="0" w:color="auto"/>
        <w:left w:val="none" w:sz="0" w:space="0" w:color="auto"/>
        <w:bottom w:val="none" w:sz="0" w:space="0" w:color="auto"/>
        <w:right w:val="none" w:sz="0" w:space="0" w:color="auto"/>
      </w:divBdr>
    </w:div>
    <w:div w:id="1481577723">
      <w:bodyDiv w:val="1"/>
      <w:marLeft w:val="0"/>
      <w:marRight w:val="0"/>
      <w:marTop w:val="0"/>
      <w:marBottom w:val="0"/>
      <w:divBdr>
        <w:top w:val="none" w:sz="0" w:space="0" w:color="auto"/>
        <w:left w:val="none" w:sz="0" w:space="0" w:color="auto"/>
        <w:bottom w:val="none" w:sz="0" w:space="0" w:color="auto"/>
        <w:right w:val="none" w:sz="0" w:space="0" w:color="auto"/>
      </w:divBdr>
      <w:divsChild>
        <w:div w:id="482745586">
          <w:marLeft w:val="0"/>
          <w:marRight w:val="0"/>
          <w:marTop w:val="0"/>
          <w:marBottom w:val="0"/>
          <w:divBdr>
            <w:top w:val="none" w:sz="0" w:space="0" w:color="auto"/>
            <w:left w:val="none" w:sz="0" w:space="0" w:color="auto"/>
            <w:bottom w:val="none" w:sz="0" w:space="0" w:color="auto"/>
            <w:right w:val="none" w:sz="0" w:space="0" w:color="auto"/>
          </w:divBdr>
        </w:div>
        <w:div w:id="1343433139">
          <w:marLeft w:val="0"/>
          <w:marRight w:val="0"/>
          <w:marTop w:val="0"/>
          <w:marBottom w:val="0"/>
          <w:divBdr>
            <w:top w:val="none" w:sz="0" w:space="0" w:color="auto"/>
            <w:left w:val="none" w:sz="0" w:space="0" w:color="auto"/>
            <w:bottom w:val="none" w:sz="0" w:space="0" w:color="auto"/>
            <w:right w:val="none" w:sz="0" w:space="0" w:color="auto"/>
          </w:divBdr>
        </w:div>
        <w:div w:id="2078746659">
          <w:marLeft w:val="0"/>
          <w:marRight w:val="0"/>
          <w:marTop w:val="0"/>
          <w:marBottom w:val="0"/>
          <w:divBdr>
            <w:top w:val="none" w:sz="0" w:space="0" w:color="auto"/>
            <w:left w:val="none" w:sz="0" w:space="0" w:color="auto"/>
            <w:bottom w:val="none" w:sz="0" w:space="0" w:color="auto"/>
            <w:right w:val="none" w:sz="0" w:space="0" w:color="auto"/>
          </w:divBdr>
        </w:div>
      </w:divsChild>
    </w:div>
    <w:div w:id="1484854771">
      <w:bodyDiv w:val="1"/>
      <w:marLeft w:val="0"/>
      <w:marRight w:val="0"/>
      <w:marTop w:val="0"/>
      <w:marBottom w:val="0"/>
      <w:divBdr>
        <w:top w:val="none" w:sz="0" w:space="0" w:color="auto"/>
        <w:left w:val="none" w:sz="0" w:space="0" w:color="auto"/>
        <w:bottom w:val="none" w:sz="0" w:space="0" w:color="auto"/>
        <w:right w:val="none" w:sz="0" w:space="0" w:color="auto"/>
      </w:divBdr>
    </w:div>
    <w:div w:id="1484932338">
      <w:bodyDiv w:val="1"/>
      <w:marLeft w:val="0"/>
      <w:marRight w:val="0"/>
      <w:marTop w:val="0"/>
      <w:marBottom w:val="0"/>
      <w:divBdr>
        <w:top w:val="none" w:sz="0" w:space="0" w:color="auto"/>
        <w:left w:val="none" w:sz="0" w:space="0" w:color="auto"/>
        <w:bottom w:val="none" w:sz="0" w:space="0" w:color="auto"/>
        <w:right w:val="none" w:sz="0" w:space="0" w:color="auto"/>
      </w:divBdr>
    </w:div>
    <w:div w:id="1491873182">
      <w:bodyDiv w:val="1"/>
      <w:marLeft w:val="0"/>
      <w:marRight w:val="0"/>
      <w:marTop w:val="0"/>
      <w:marBottom w:val="0"/>
      <w:divBdr>
        <w:top w:val="none" w:sz="0" w:space="0" w:color="auto"/>
        <w:left w:val="none" w:sz="0" w:space="0" w:color="auto"/>
        <w:bottom w:val="none" w:sz="0" w:space="0" w:color="auto"/>
        <w:right w:val="none" w:sz="0" w:space="0" w:color="auto"/>
      </w:divBdr>
    </w:div>
    <w:div w:id="1502504072">
      <w:bodyDiv w:val="1"/>
      <w:marLeft w:val="0"/>
      <w:marRight w:val="0"/>
      <w:marTop w:val="0"/>
      <w:marBottom w:val="0"/>
      <w:divBdr>
        <w:top w:val="none" w:sz="0" w:space="0" w:color="auto"/>
        <w:left w:val="none" w:sz="0" w:space="0" w:color="auto"/>
        <w:bottom w:val="none" w:sz="0" w:space="0" w:color="auto"/>
        <w:right w:val="none" w:sz="0" w:space="0" w:color="auto"/>
      </w:divBdr>
    </w:div>
    <w:div w:id="1506704715">
      <w:bodyDiv w:val="1"/>
      <w:marLeft w:val="0"/>
      <w:marRight w:val="0"/>
      <w:marTop w:val="0"/>
      <w:marBottom w:val="0"/>
      <w:divBdr>
        <w:top w:val="none" w:sz="0" w:space="0" w:color="auto"/>
        <w:left w:val="none" w:sz="0" w:space="0" w:color="auto"/>
        <w:bottom w:val="none" w:sz="0" w:space="0" w:color="auto"/>
        <w:right w:val="none" w:sz="0" w:space="0" w:color="auto"/>
      </w:divBdr>
    </w:div>
    <w:div w:id="1509442216">
      <w:bodyDiv w:val="1"/>
      <w:marLeft w:val="0"/>
      <w:marRight w:val="0"/>
      <w:marTop w:val="0"/>
      <w:marBottom w:val="0"/>
      <w:divBdr>
        <w:top w:val="none" w:sz="0" w:space="0" w:color="auto"/>
        <w:left w:val="none" w:sz="0" w:space="0" w:color="auto"/>
        <w:bottom w:val="none" w:sz="0" w:space="0" w:color="auto"/>
        <w:right w:val="none" w:sz="0" w:space="0" w:color="auto"/>
      </w:divBdr>
    </w:div>
    <w:div w:id="1510679798">
      <w:bodyDiv w:val="1"/>
      <w:marLeft w:val="0"/>
      <w:marRight w:val="0"/>
      <w:marTop w:val="0"/>
      <w:marBottom w:val="0"/>
      <w:divBdr>
        <w:top w:val="none" w:sz="0" w:space="0" w:color="auto"/>
        <w:left w:val="none" w:sz="0" w:space="0" w:color="auto"/>
        <w:bottom w:val="none" w:sz="0" w:space="0" w:color="auto"/>
        <w:right w:val="none" w:sz="0" w:space="0" w:color="auto"/>
      </w:divBdr>
    </w:div>
    <w:div w:id="1511489039">
      <w:bodyDiv w:val="1"/>
      <w:marLeft w:val="0"/>
      <w:marRight w:val="0"/>
      <w:marTop w:val="0"/>
      <w:marBottom w:val="0"/>
      <w:divBdr>
        <w:top w:val="none" w:sz="0" w:space="0" w:color="auto"/>
        <w:left w:val="none" w:sz="0" w:space="0" w:color="auto"/>
        <w:bottom w:val="none" w:sz="0" w:space="0" w:color="auto"/>
        <w:right w:val="none" w:sz="0" w:space="0" w:color="auto"/>
      </w:divBdr>
    </w:div>
    <w:div w:id="1512597742">
      <w:bodyDiv w:val="1"/>
      <w:marLeft w:val="0"/>
      <w:marRight w:val="0"/>
      <w:marTop w:val="0"/>
      <w:marBottom w:val="0"/>
      <w:divBdr>
        <w:top w:val="none" w:sz="0" w:space="0" w:color="auto"/>
        <w:left w:val="none" w:sz="0" w:space="0" w:color="auto"/>
        <w:bottom w:val="none" w:sz="0" w:space="0" w:color="auto"/>
        <w:right w:val="none" w:sz="0" w:space="0" w:color="auto"/>
      </w:divBdr>
    </w:div>
    <w:div w:id="1513956586">
      <w:bodyDiv w:val="1"/>
      <w:marLeft w:val="0"/>
      <w:marRight w:val="0"/>
      <w:marTop w:val="0"/>
      <w:marBottom w:val="0"/>
      <w:divBdr>
        <w:top w:val="none" w:sz="0" w:space="0" w:color="auto"/>
        <w:left w:val="none" w:sz="0" w:space="0" w:color="auto"/>
        <w:bottom w:val="none" w:sz="0" w:space="0" w:color="auto"/>
        <w:right w:val="none" w:sz="0" w:space="0" w:color="auto"/>
      </w:divBdr>
    </w:div>
    <w:div w:id="1518615791">
      <w:bodyDiv w:val="1"/>
      <w:marLeft w:val="0"/>
      <w:marRight w:val="0"/>
      <w:marTop w:val="0"/>
      <w:marBottom w:val="0"/>
      <w:divBdr>
        <w:top w:val="none" w:sz="0" w:space="0" w:color="auto"/>
        <w:left w:val="none" w:sz="0" w:space="0" w:color="auto"/>
        <w:bottom w:val="none" w:sz="0" w:space="0" w:color="auto"/>
        <w:right w:val="none" w:sz="0" w:space="0" w:color="auto"/>
      </w:divBdr>
    </w:div>
    <w:div w:id="1518888401">
      <w:bodyDiv w:val="1"/>
      <w:marLeft w:val="0"/>
      <w:marRight w:val="0"/>
      <w:marTop w:val="0"/>
      <w:marBottom w:val="0"/>
      <w:divBdr>
        <w:top w:val="none" w:sz="0" w:space="0" w:color="auto"/>
        <w:left w:val="none" w:sz="0" w:space="0" w:color="auto"/>
        <w:bottom w:val="none" w:sz="0" w:space="0" w:color="auto"/>
        <w:right w:val="none" w:sz="0" w:space="0" w:color="auto"/>
      </w:divBdr>
    </w:div>
    <w:div w:id="1521816322">
      <w:bodyDiv w:val="1"/>
      <w:marLeft w:val="0"/>
      <w:marRight w:val="0"/>
      <w:marTop w:val="0"/>
      <w:marBottom w:val="0"/>
      <w:divBdr>
        <w:top w:val="none" w:sz="0" w:space="0" w:color="auto"/>
        <w:left w:val="none" w:sz="0" w:space="0" w:color="auto"/>
        <w:bottom w:val="none" w:sz="0" w:space="0" w:color="auto"/>
        <w:right w:val="none" w:sz="0" w:space="0" w:color="auto"/>
      </w:divBdr>
    </w:div>
    <w:div w:id="1533416910">
      <w:bodyDiv w:val="1"/>
      <w:marLeft w:val="0"/>
      <w:marRight w:val="0"/>
      <w:marTop w:val="0"/>
      <w:marBottom w:val="0"/>
      <w:divBdr>
        <w:top w:val="none" w:sz="0" w:space="0" w:color="auto"/>
        <w:left w:val="none" w:sz="0" w:space="0" w:color="auto"/>
        <w:bottom w:val="none" w:sz="0" w:space="0" w:color="auto"/>
        <w:right w:val="none" w:sz="0" w:space="0" w:color="auto"/>
      </w:divBdr>
    </w:div>
    <w:div w:id="1535656489">
      <w:bodyDiv w:val="1"/>
      <w:marLeft w:val="0"/>
      <w:marRight w:val="0"/>
      <w:marTop w:val="0"/>
      <w:marBottom w:val="0"/>
      <w:divBdr>
        <w:top w:val="none" w:sz="0" w:space="0" w:color="auto"/>
        <w:left w:val="none" w:sz="0" w:space="0" w:color="auto"/>
        <w:bottom w:val="none" w:sz="0" w:space="0" w:color="auto"/>
        <w:right w:val="none" w:sz="0" w:space="0" w:color="auto"/>
      </w:divBdr>
    </w:div>
    <w:div w:id="1536655120">
      <w:bodyDiv w:val="1"/>
      <w:marLeft w:val="0"/>
      <w:marRight w:val="0"/>
      <w:marTop w:val="0"/>
      <w:marBottom w:val="0"/>
      <w:divBdr>
        <w:top w:val="none" w:sz="0" w:space="0" w:color="auto"/>
        <w:left w:val="none" w:sz="0" w:space="0" w:color="auto"/>
        <w:bottom w:val="none" w:sz="0" w:space="0" w:color="auto"/>
        <w:right w:val="none" w:sz="0" w:space="0" w:color="auto"/>
      </w:divBdr>
    </w:div>
    <w:div w:id="1538541046">
      <w:bodyDiv w:val="1"/>
      <w:marLeft w:val="0"/>
      <w:marRight w:val="0"/>
      <w:marTop w:val="0"/>
      <w:marBottom w:val="0"/>
      <w:divBdr>
        <w:top w:val="none" w:sz="0" w:space="0" w:color="auto"/>
        <w:left w:val="none" w:sz="0" w:space="0" w:color="auto"/>
        <w:bottom w:val="none" w:sz="0" w:space="0" w:color="auto"/>
        <w:right w:val="none" w:sz="0" w:space="0" w:color="auto"/>
      </w:divBdr>
    </w:div>
    <w:div w:id="1540821229">
      <w:bodyDiv w:val="1"/>
      <w:marLeft w:val="0"/>
      <w:marRight w:val="0"/>
      <w:marTop w:val="0"/>
      <w:marBottom w:val="0"/>
      <w:divBdr>
        <w:top w:val="none" w:sz="0" w:space="0" w:color="auto"/>
        <w:left w:val="none" w:sz="0" w:space="0" w:color="auto"/>
        <w:bottom w:val="none" w:sz="0" w:space="0" w:color="auto"/>
        <w:right w:val="none" w:sz="0" w:space="0" w:color="auto"/>
      </w:divBdr>
    </w:div>
    <w:div w:id="1541698589">
      <w:bodyDiv w:val="1"/>
      <w:marLeft w:val="0"/>
      <w:marRight w:val="0"/>
      <w:marTop w:val="0"/>
      <w:marBottom w:val="0"/>
      <w:divBdr>
        <w:top w:val="none" w:sz="0" w:space="0" w:color="auto"/>
        <w:left w:val="none" w:sz="0" w:space="0" w:color="auto"/>
        <w:bottom w:val="none" w:sz="0" w:space="0" w:color="auto"/>
        <w:right w:val="none" w:sz="0" w:space="0" w:color="auto"/>
      </w:divBdr>
    </w:div>
    <w:div w:id="1552425132">
      <w:bodyDiv w:val="1"/>
      <w:marLeft w:val="0"/>
      <w:marRight w:val="0"/>
      <w:marTop w:val="0"/>
      <w:marBottom w:val="0"/>
      <w:divBdr>
        <w:top w:val="none" w:sz="0" w:space="0" w:color="auto"/>
        <w:left w:val="none" w:sz="0" w:space="0" w:color="auto"/>
        <w:bottom w:val="none" w:sz="0" w:space="0" w:color="auto"/>
        <w:right w:val="none" w:sz="0" w:space="0" w:color="auto"/>
      </w:divBdr>
    </w:div>
    <w:div w:id="1558782278">
      <w:bodyDiv w:val="1"/>
      <w:marLeft w:val="0"/>
      <w:marRight w:val="0"/>
      <w:marTop w:val="0"/>
      <w:marBottom w:val="0"/>
      <w:divBdr>
        <w:top w:val="none" w:sz="0" w:space="0" w:color="auto"/>
        <w:left w:val="none" w:sz="0" w:space="0" w:color="auto"/>
        <w:bottom w:val="none" w:sz="0" w:space="0" w:color="auto"/>
        <w:right w:val="none" w:sz="0" w:space="0" w:color="auto"/>
      </w:divBdr>
    </w:div>
    <w:div w:id="1561669967">
      <w:bodyDiv w:val="1"/>
      <w:marLeft w:val="0"/>
      <w:marRight w:val="0"/>
      <w:marTop w:val="0"/>
      <w:marBottom w:val="0"/>
      <w:divBdr>
        <w:top w:val="none" w:sz="0" w:space="0" w:color="auto"/>
        <w:left w:val="none" w:sz="0" w:space="0" w:color="auto"/>
        <w:bottom w:val="none" w:sz="0" w:space="0" w:color="auto"/>
        <w:right w:val="none" w:sz="0" w:space="0" w:color="auto"/>
      </w:divBdr>
    </w:div>
    <w:div w:id="1562910341">
      <w:bodyDiv w:val="1"/>
      <w:marLeft w:val="0"/>
      <w:marRight w:val="0"/>
      <w:marTop w:val="0"/>
      <w:marBottom w:val="0"/>
      <w:divBdr>
        <w:top w:val="none" w:sz="0" w:space="0" w:color="auto"/>
        <w:left w:val="none" w:sz="0" w:space="0" w:color="auto"/>
        <w:bottom w:val="none" w:sz="0" w:space="0" w:color="auto"/>
        <w:right w:val="none" w:sz="0" w:space="0" w:color="auto"/>
      </w:divBdr>
    </w:div>
    <w:div w:id="1563246423">
      <w:bodyDiv w:val="1"/>
      <w:marLeft w:val="0"/>
      <w:marRight w:val="0"/>
      <w:marTop w:val="0"/>
      <w:marBottom w:val="0"/>
      <w:divBdr>
        <w:top w:val="none" w:sz="0" w:space="0" w:color="auto"/>
        <w:left w:val="none" w:sz="0" w:space="0" w:color="auto"/>
        <w:bottom w:val="none" w:sz="0" w:space="0" w:color="auto"/>
        <w:right w:val="none" w:sz="0" w:space="0" w:color="auto"/>
      </w:divBdr>
    </w:div>
    <w:div w:id="1566525334">
      <w:bodyDiv w:val="1"/>
      <w:marLeft w:val="0"/>
      <w:marRight w:val="0"/>
      <w:marTop w:val="0"/>
      <w:marBottom w:val="0"/>
      <w:divBdr>
        <w:top w:val="none" w:sz="0" w:space="0" w:color="auto"/>
        <w:left w:val="none" w:sz="0" w:space="0" w:color="auto"/>
        <w:bottom w:val="none" w:sz="0" w:space="0" w:color="auto"/>
        <w:right w:val="none" w:sz="0" w:space="0" w:color="auto"/>
      </w:divBdr>
    </w:div>
    <w:div w:id="1569997452">
      <w:bodyDiv w:val="1"/>
      <w:marLeft w:val="0"/>
      <w:marRight w:val="0"/>
      <w:marTop w:val="0"/>
      <w:marBottom w:val="0"/>
      <w:divBdr>
        <w:top w:val="none" w:sz="0" w:space="0" w:color="auto"/>
        <w:left w:val="none" w:sz="0" w:space="0" w:color="auto"/>
        <w:bottom w:val="none" w:sz="0" w:space="0" w:color="auto"/>
        <w:right w:val="none" w:sz="0" w:space="0" w:color="auto"/>
      </w:divBdr>
    </w:div>
    <w:div w:id="1570994701">
      <w:bodyDiv w:val="1"/>
      <w:marLeft w:val="0"/>
      <w:marRight w:val="0"/>
      <w:marTop w:val="0"/>
      <w:marBottom w:val="0"/>
      <w:divBdr>
        <w:top w:val="none" w:sz="0" w:space="0" w:color="auto"/>
        <w:left w:val="none" w:sz="0" w:space="0" w:color="auto"/>
        <w:bottom w:val="none" w:sz="0" w:space="0" w:color="auto"/>
        <w:right w:val="none" w:sz="0" w:space="0" w:color="auto"/>
      </w:divBdr>
    </w:div>
    <w:div w:id="1572348711">
      <w:bodyDiv w:val="1"/>
      <w:marLeft w:val="0"/>
      <w:marRight w:val="0"/>
      <w:marTop w:val="0"/>
      <w:marBottom w:val="0"/>
      <w:divBdr>
        <w:top w:val="none" w:sz="0" w:space="0" w:color="auto"/>
        <w:left w:val="none" w:sz="0" w:space="0" w:color="auto"/>
        <w:bottom w:val="none" w:sz="0" w:space="0" w:color="auto"/>
        <w:right w:val="none" w:sz="0" w:space="0" w:color="auto"/>
      </w:divBdr>
    </w:div>
    <w:div w:id="1576864606">
      <w:bodyDiv w:val="1"/>
      <w:marLeft w:val="0"/>
      <w:marRight w:val="0"/>
      <w:marTop w:val="0"/>
      <w:marBottom w:val="0"/>
      <w:divBdr>
        <w:top w:val="none" w:sz="0" w:space="0" w:color="auto"/>
        <w:left w:val="none" w:sz="0" w:space="0" w:color="auto"/>
        <w:bottom w:val="none" w:sz="0" w:space="0" w:color="auto"/>
        <w:right w:val="none" w:sz="0" w:space="0" w:color="auto"/>
      </w:divBdr>
    </w:div>
    <w:div w:id="1577278906">
      <w:bodyDiv w:val="1"/>
      <w:marLeft w:val="0"/>
      <w:marRight w:val="0"/>
      <w:marTop w:val="0"/>
      <w:marBottom w:val="0"/>
      <w:divBdr>
        <w:top w:val="none" w:sz="0" w:space="0" w:color="auto"/>
        <w:left w:val="none" w:sz="0" w:space="0" w:color="auto"/>
        <w:bottom w:val="none" w:sz="0" w:space="0" w:color="auto"/>
        <w:right w:val="none" w:sz="0" w:space="0" w:color="auto"/>
      </w:divBdr>
    </w:div>
    <w:div w:id="1578244142">
      <w:bodyDiv w:val="1"/>
      <w:marLeft w:val="0"/>
      <w:marRight w:val="0"/>
      <w:marTop w:val="0"/>
      <w:marBottom w:val="0"/>
      <w:divBdr>
        <w:top w:val="none" w:sz="0" w:space="0" w:color="auto"/>
        <w:left w:val="none" w:sz="0" w:space="0" w:color="auto"/>
        <w:bottom w:val="none" w:sz="0" w:space="0" w:color="auto"/>
        <w:right w:val="none" w:sz="0" w:space="0" w:color="auto"/>
      </w:divBdr>
    </w:div>
    <w:div w:id="1578982127">
      <w:bodyDiv w:val="1"/>
      <w:marLeft w:val="0"/>
      <w:marRight w:val="0"/>
      <w:marTop w:val="0"/>
      <w:marBottom w:val="0"/>
      <w:divBdr>
        <w:top w:val="none" w:sz="0" w:space="0" w:color="auto"/>
        <w:left w:val="none" w:sz="0" w:space="0" w:color="auto"/>
        <w:bottom w:val="none" w:sz="0" w:space="0" w:color="auto"/>
        <w:right w:val="none" w:sz="0" w:space="0" w:color="auto"/>
      </w:divBdr>
    </w:div>
    <w:div w:id="1580358848">
      <w:bodyDiv w:val="1"/>
      <w:marLeft w:val="0"/>
      <w:marRight w:val="0"/>
      <w:marTop w:val="0"/>
      <w:marBottom w:val="0"/>
      <w:divBdr>
        <w:top w:val="none" w:sz="0" w:space="0" w:color="auto"/>
        <w:left w:val="none" w:sz="0" w:space="0" w:color="auto"/>
        <w:bottom w:val="none" w:sz="0" w:space="0" w:color="auto"/>
        <w:right w:val="none" w:sz="0" w:space="0" w:color="auto"/>
      </w:divBdr>
    </w:div>
    <w:div w:id="1583028050">
      <w:bodyDiv w:val="1"/>
      <w:marLeft w:val="0"/>
      <w:marRight w:val="0"/>
      <w:marTop w:val="0"/>
      <w:marBottom w:val="0"/>
      <w:divBdr>
        <w:top w:val="none" w:sz="0" w:space="0" w:color="auto"/>
        <w:left w:val="none" w:sz="0" w:space="0" w:color="auto"/>
        <w:bottom w:val="none" w:sz="0" w:space="0" w:color="auto"/>
        <w:right w:val="none" w:sz="0" w:space="0" w:color="auto"/>
      </w:divBdr>
    </w:div>
    <w:div w:id="1586455690">
      <w:bodyDiv w:val="1"/>
      <w:marLeft w:val="0"/>
      <w:marRight w:val="0"/>
      <w:marTop w:val="0"/>
      <w:marBottom w:val="0"/>
      <w:divBdr>
        <w:top w:val="none" w:sz="0" w:space="0" w:color="auto"/>
        <w:left w:val="none" w:sz="0" w:space="0" w:color="auto"/>
        <w:bottom w:val="none" w:sz="0" w:space="0" w:color="auto"/>
        <w:right w:val="none" w:sz="0" w:space="0" w:color="auto"/>
      </w:divBdr>
    </w:div>
    <w:div w:id="1586649876">
      <w:bodyDiv w:val="1"/>
      <w:marLeft w:val="0"/>
      <w:marRight w:val="0"/>
      <w:marTop w:val="0"/>
      <w:marBottom w:val="0"/>
      <w:divBdr>
        <w:top w:val="none" w:sz="0" w:space="0" w:color="auto"/>
        <w:left w:val="none" w:sz="0" w:space="0" w:color="auto"/>
        <w:bottom w:val="none" w:sz="0" w:space="0" w:color="auto"/>
        <w:right w:val="none" w:sz="0" w:space="0" w:color="auto"/>
      </w:divBdr>
    </w:div>
    <w:div w:id="1589465181">
      <w:bodyDiv w:val="1"/>
      <w:marLeft w:val="0"/>
      <w:marRight w:val="0"/>
      <w:marTop w:val="0"/>
      <w:marBottom w:val="0"/>
      <w:divBdr>
        <w:top w:val="none" w:sz="0" w:space="0" w:color="auto"/>
        <w:left w:val="none" w:sz="0" w:space="0" w:color="auto"/>
        <w:bottom w:val="none" w:sz="0" w:space="0" w:color="auto"/>
        <w:right w:val="none" w:sz="0" w:space="0" w:color="auto"/>
      </w:divBdr>
    </w:div>
    <w:div w:id="1591042413">
      <w:bodyDiv w:val="1"/>
      <w:marLeft w:val="0"/>
      <w:marRight w:val="0"/>
      <w:marTop w:val="0"/>
      <w:marBottom w:val="0"/>
      <w:divBdr>
        <w:top w:val="none" w:sz="0" w:space="0" w:color="auto"/>
        <w:left w:val="none" w:sz="0" w:space="0" w:color="auto"/>
        <w:bottom w:val="none" w:sz="0" w:space="0" w:color="auto"/>
        <w:right w:val="none" w:sz="0" w:space="0" w:color="auto"/>
      </w:divBdr>
    </w:div>
    <w:div w:id="1593247178">
      <w:bodyDiv w:val="1"/>
      <w:marLeft w:val="0"/>
      <w:marRight w:val="0"/>
      <w:marTop w:val="0"/>
      <w:marBottom w:val="0"/>
      <w:divBdr>
        <w:top w:val="none" w:sz="0" w:space="0" w:color="auto"/>
        <w:left w:val="none" w:sz="0" w:space="0" w:color="auto"/>
        <w:bottom w:val="none" w:sz="0" w:space="0" w:color="auto"/>
        <w:right w:val="none" w:sz="0" w:space="0" w:color="auto"/>
      </w:divBdr>
    </w:div>
    <w:div w:id="1597322814">
      <w:bodyDiv w:val="1"/>
      <w:marLeft w:val="0"/>
      <w:marRight w:val="0"/>
      <w:marTop w:val="0"/>
      <w:marBottom w:val="0"/>
      <w:divBdr>
        <w:top w:val="none" w:sz="0" w:space="0" w:color="auto"/>
        <w:left w:val="none" w:sz="0" w:space="0" w:color="auto"/>
        <w:bottom w:val="none" w:sz="0" w:space="0" w:color="auto"/>
        <w:right w:val="none" w:sz="0" w:space="0" w:color="auto"/>
      </w:divBdr>
    </w:div>
    <w:div w:id="1598171439">
      <w:bodyDiv w:val="1"/>
      <w:marLeft w:val="0"/>
      <w:marRight w:val="0"/>
      <w:marTop w:val="0"/>
      <w:marBottom w:val="0"/>
      <w:divBdr>
        <w:top w:val="none" w:sz="0" w:space="0" w:color="auto"/>
        <w:left w:val="none" w:sz="0" w:space="0" w:color="auto"/>
        <w:bottom w:val="none" w:sz="0" w:space="0" w:color="auto"/>
        <w:right w:val="none" w:sz="0" w:space="0" w:color="auto"/>
      </w:divBdr>
    </w:div>
    <w:div w:id="1599370716">
      <w:bodyDiv w:val="1"/>
      <w:marLeft w:val="0"/>
      <w:marRight w:val="0"/>
      <w:marTop w:val="0"/>
      <w:marBottom w:val="0"/>
      <w:divBdr>
        <w:top w:val="none" w:sz="0" w:space="0" w:color="auto"/>
        <w:left w:val="none" w:sz="0" w:space="0" w:color="auto"/>
        <w:bottom w:val="none" w:sz="0" w:space="0" w:color="auto"/>
        <w:right w:val="none" w:sz="0" w:space="0" w:color="auto"/>
      </w:divBdr>
    </w:div>
    <w:div w:id="1600135384">
      <w:bodyDiv w:val="1"/>
      <w:marLeft w:val="0"/>
      <w:marRight w:val="0"/>
      <w:marTop w:val="0"/>
      <w:marBottom w:val="0"/>
      <w:divBdr>
        <w:top w:val="none" w:sz="0" w:space="0" w:color="auto"/>
        <w:left w:val="none" w:sz="0" w:space="0" w:color="auto"/>
        <w:bottom w:val="none" w:sz="0" w:space="0" w:color="auto"/>
        <w:right w:val="none" w:sz="0" w:space="0" w:color="auto"/>
      </w:divBdr>
    </w:div>
    <w:div w:id="1602059594">
      <w:bodyDiv w:val="1"/>
      <w:marLeft w:val="0"/>
      <w:marRight w:val="0"/>
      <w:marTop w:val="0"/>
      <w:marBottom w:val="0"/>
      <w:divBdr>
        <w:top w:val="none" w:sz="0" w:space="0" w:color="auto"/>
        <w:left w:val="none" w:sz="0" w:space="0" w:color="auto"/>
        <w:bottom w:val="none" w:sz="0" w:space="0" w:color="auto"/>
        <w:right w:val="none" w:sz="0" w:space="0" w:color="auto"/>
      </w:divBdr>
    </w:div>
    <w:div w:id="1605069488">
      <w:bodyDiv w:val="1"/>
      <w:marLeft w:val="0"/>
      <w:marRight w:val="0"/>
      <w:marTop w:val="0"/>
      <w:marBottom w:val="0"/>
      <w:divBdr>
        <w:top w:val="none" w:sz="0" w:space="0" w:color="auto"/>
        <w:left w:val="none" w:sz="0" w:space="0" w:color="auto"/>
        <w:bottom w:val="none" w:sz="0" w:space="0" w:color="auto"/>
        <w:right w:val="none" w:sz="0" w:space="0" w:color="auto"/>
      </w:divBdr>
    </w:div>
    <w:div w:id="1608930213">
      <w:bodyDiv w:val="1"/>
      <w:marLeft w:val="0"/>
      <w:marRight w:val="0"/>
      <w:marTop w:val="0"/>
      <w:marBottom w:val="0"/>
      <w:divBdr>
        <w:top w:val="none" w:sz="0" w:space="0" w:color="auto"/>
        <w:left w:val="none" w:sz="0" w:space="0" w:color="auto"/>
        <w:bottom w:val="none" w:sz="0" w:space="0" w:color="auto"/>
        <w:right w:val="none" w:sz="0" w:space="0" w:color="auto"/>
      </w:divBdr>
    </w:div>
    <w:div w:id="1612739666">
      <w:bodyDiv w:val="1"/>
      <w:marLeft w:val="0"/>
      <w:marRight w:val="0"/>
      <w:marTop w:val="0"/>
      <w:marBottom w:val="0"/>
      <w:divBdr>
        <w:top w:val="none" w:sz="0" w:space="0" w:color="auto"/>
        <w:left w:val="none" w:sz="0" w:space="0" w:color="auto"/>
        <w:bottom w:val="none" w:sz="0" w:space="0" w:color="auto"/>
        <w:right w:val="none" w:sz="0" w:space="0" w:color="auto"/>
      </w:divBdr>
    </w:div>
    <w:div w:id="1616446802">
      <w:bodyDiv w:val="1"/>
      <w:marLeft w:val="0"/>
      <w:marRight w:val="0"/>
      <w:marTop w:val="0"/>
      <w:marBottom w:val="0"/>
      <w:divBdr>
        <w:top w:val="none" w:sz="0" w:space="0" w:color="auto"/>
        <w:left w:val="none" w:sz="0" w:space="0" w:color="auto"/>
        <w:bottom w:val="none" w:sz="0" w:space="0" w:color="auto"/>
        <w:right w:val="none" w:sz="0" w:space="0" w:color="auto"/>
      </w:divBdr>
    </w:div>
    <w:div w:id="1621063693">
      <w:bodyDiv w:val="1"/>
      <w:marLeft w:val="0"/>
      <w:marRight w:val="0"/>
      <w:marTop w:val="0"/>
      <w:marBottom w:val="0"/>
      <w:divBdr>
        <w:top w:val="none" w:sz="0" w:space="0" w:color="auto"/>
        <w:left w:val="none" w:sz="0" w:space="0" w:color="auto"/>
        <w:bottom w:val="none" w:sz="0" w:space="0" w:color="auto"/>
        <w:right w:val="none" w:sz="0" w:space="0" w:color="auto"/>
      </w:divBdr>
    </w:div>
    <w:div w:id="1627390426">
      <w:bodyDiv w:val="1"/>
      <w:marLeft w:val="0"/>
      <w:marRight w:val="0"/>
      <w:marTop w:val="0"/>
      <w:marBottom w:val="0"/>
      <w:divBdr>
        <w:top w:val="none" w:sz="0" w:space="0" w:color="auto"/>
        <w:left w:val="none" w:sz="0" w:space="0" w:color="auto"/>
        <w:bottom w:val="none" w:sz="0" w:space="0" w:color="auto"/>
        <w:right w:val="none" w:sz="0" w:space="0" w:color="auto"/>
      </w:divBdr>
    </w:div>
    <w:div w:id="1627618140">
      <w:bodyDiv w:val="1"/>
      <w:marLeft w:val="0"/>
      <w:marRight w:val="0"/>
      <w:marTop w:val="0"/>
      <w:marBottom w:val="0"/>
      <w:divBdr>
        <w:top w:val="none" w:sz="0" w:space="0" w:color="auto"/>
        <w:left w:val="none" w:sz="0" w:space="0" w:color="auto"/>
        <w:bottom w:val="none" w:sz="0" w:space="0" w:color="auto"/>
        <w:right w:val="none" w:sz="0" w:space="0" w:color="auto"/>
      </w:divBdr>
    </w:div>
    <w:div w:id="1630163492">
      <w:bodyDiv w:val="1"/>
      <w:marLeft w:val="0"/>
      <w:marRight w:val="0"/>
      <w:marTop w:val="0"/>
      <w:marBottom w:val="0"/>
      <w:divBdr>
        <w:top w:val="none" w:sz="0" w:space="0" w:color="auto"/>
        <w:left w:val="none" w:sz="0" w:space="0" w:color="auto"/>
        <w:bottom w:val="none" w:sz="0" w:space="0" w:color="auto"/>
        <w:right w:val="none" w:sz="0" w:space="0" w:color="auto"/>
      </w:divBdr>
    </w:div>
    <w:div w:id="1633828769">
      <w:bodyDiv w:val="1"/>
      <w:marLeft w:val="0"/>
      <w:marRight w:val="0"/>
      <w:marTop w:val="0"/>
      <w:marBottom w:val="0"/>
      <w:divBdr>
        <w:top w:val="none" w:sz="0" w:space="0" w:color="auto"/>
        <w:left w:val="none" w:sz="0" w:space="0" w:color="auto"/>
        <w:bottom w:val="none" w:sz="0" w:space="0" w:color="auto"/>
        <w:right w:val="none" w:sz="0" w:space="0" w:color="auto"/>
      </w:divBdr>
    </w:div>
    <w:div w:id="1636331051">
      <w:bodyDiv w:val="1"/>
      <w:marLeft w:val="0"/>
      <w:marRight w:val="0"/>
      <w:marTop w:val="0"/>
      <w:marBottom w:val="0"/>
      <w:divBdr>
        <w:top w:val="none" w:sz="0" w:space="0" w:color="auto"/>
        <w:left w:val="none" w:sz="0" w:space="0" w:color="auto"/>
        <w:bottom w:val="none" w:sz="0" w:space="0" w:color="auto"/>
        <w:right w:val="none" w:sz="0" w:space="0" w:color="auto"/>
      </w:divBdr>
    </w:div>
    <w:div w:id="1638488541">
      <w:bodyDiv w:val="1"/>
      <w:marLeft w:val="0"/>
      <w:marRight w:val="0"/>
      <w:marTop w:val="0"/>
      <w:marBottom w:val="0"/>
      <w:divBdr>
        <w:top w:val="none" w:sz="0" w:space="0" w:color="auto"/>
        <w:left w:val="none" w:sz="0" w:space="0" w:color="auto"/>
        <w:bottom w:val="none" w:sz="0" w:space="0" w:color="auto"/>
        <w:right w:val="none" w:sz="0" w:space="0" w:color="auto"/>
      </w:divBdr>
    </w:div>
    <w:div w:id="1639797752">
      <w:bodyDiv w:val="1"/>
      <w:marLeft w:val="0"/>
      <w:marRight w:val="0"/>
      <w:marTop w:val="0"/>
      <w:marBottom w:val="0"/>
      <w:divBdr>
        <w:top w:val="none" w:sz="0" w:space="0" w:color="auto"/>
        <w:left w:val="none" w:sz="0" w:space="0" w:color="auto"/>
        <w:bottom w:val="none" w:sz="0" w:space="0" w:color="auto"/>
        <w:right w:val="none" w:sz="0" w:space="0" w:color="auto"/>
      </w:divBdr>
    </w:div>
    <w:div w:id="1642924599">
      <w:bodyDiv w:val="1"/>
      <w:marLeft w:val="0"/>
      <w:marRight w:val="0"/>
      <w:marTop w:val="0"/>
      <w:marBottom w:val="0"/>
      <w:divBdr>
        <w:top w:val="none" w:sz="0" w:space="0" w:color="auto"/>
        <w:left w:val="none" w:sz="0" w:space="0" w:color="auto"/>
        <w:bottom w:val="none" w:sz="0" w:space="0" w:color="auto"/>
        <w:right w:val="none" w:sz="0" w:space="0" w:color="auto"/>
      </w:divBdr>
    </w:div>
    <w:div w:id="1651253602">
      <w:bodyDiv w:val="1"/>
      <w:marLeft w:val="0"/>
      <w:marRight w:val="0"/>
      <w:marTop w:val="0"/>
      <w:marBottom w:val="0"/>
      <w:divBdr>
        <w:top w:val="none" w:sz="0" w:space="0" w:color="auto"/>
        <w:left w:val="none" w:sz="0" w:space="0" w:color="auto"/>
        <w:bottom w:val="none" w:sz="0" w:space="0" w:color="auto"/>
        <w:right w:val="none" w:sz="0" w:space="0" w:color="auto"/>
      </w:divBdr>
    </w:div>
    <w:div w:id="1652707097">
      <w:bodyDiv w:val="1"/>
      <w:marLeft w:val="0"/>
      <w:marRight w:val="0"/>
      <w:marTop w:val="0"/>
      <w:marBottom w:val="0"/>
      <w:divBdr>
        <w:top w:val="none" w:sz="0" w:space="0" w:color="auto"/>
        <w:left w:val="none" w:sz="0" w:space="0" w:color="auto"/>
        <w:bottom w:val="none" w:sz="0" w:space="0" w:color="auto"/>
        <w:right w:val="none" w:sz="0" w:space="0" w:color="auto"/>
      </w:divBdr>
    </w:div>
    <w:div w:id="1657107048">
      <w:bodyDiv w:val="1"/>
      <w:marLeft w:val="0"/>
      <w:marRight w:val="0"/>
      <w:marTop w:val="0"/>
      <w:marBottom w:val="0"/>
      <w:divBdr>
        <w:top w:val="none" w:sz="0" w:space="0" w:color="auto"/>
        <w:left w:val="none" w:sz="0" w:space="0" w:color="auto"/>
        <w:bottom w:val="none" w:sz="0" w:space="0" w:color="auto"/>
        <w:right w:val="none" w:sz="0" w:space="0" w:color="auto"/>
      </w:divBdr>
    </w:div>
    <w:div w:id="1657995530">
      <w:bodyDiv w:val="1"/>
      <w:marLeft w:val="0"/>
      <w:marRight w:val="0"/>
      <w:marTop w:val="0"/>
      <w:marBottom w:val="0"/>
      <w:divBdr>
        <w:top w:val="none" w:sz="0" w:space="0" w:color="auto"/>
        <w:left w:val="none" w:sz="0" w:space="0" w:color="auto"/>
        <w:bottom w:val="none" w:sz="0" w:space="0" w:color="auto"/>
        <w:right w:val="none" w:sz="0" w:space="0" w:color="auto"/>
      </w:divBdr>
    </w:div>
    <w:div w:id="1658454515">
      <w:bodyDiv w:val="1"/>
      <w:marLeft w:val="0"/>
      <w:marRight w:val="0"/>
      <w:marTop w:val="0"/>
      <w:marBottom w:val="0"/>
      <w:divBdr>
        <w:top w:val="none" w:sz="0" w:space="0" w:color="auto"/>
        <w:left w:val="none" w:sz="0" w:space="0" w:color="auto"/>
        <w:bottom w:val="none" w:sz="0" w:space="0" w:color="auto"/>
        <w:right w:val="none" w:sz="0" w:space="0" w:color="auto"/>
      </w:divBdr>
    </w:div>
    <w:div w:id="1660422402">
      <w:bodyDiv w:val="1"/>
      <w:marLeft w:val="0"/>
      <w:marRight w:val="0"/>
      <w:marTop w:val="0"/>
      <w:marBottom w:val="0"/>
      <w:divBdr>
        <w:top w:val="none" w:sz="0" w:space="0" w:color="auto"/>
        <w:left w:val="none" w:sz="0" w:space="0" w:color="auto"/>
        <w:bottom w:val="none" w:sz="0" w:space="0" w:color="auto"/>
        <w:right w:val="none" w:sz="0" w:space="0" w:color="auto"/>
      </w:divBdr>
    </w:div>
    <w:div w:id="1661077351">
      <w:bodyDiv w:val="1"/>
      <w:marLeft w:val="0"/>
      <w:marRight w:val="0"/>
      <w:marTop w:val="0"/>
      <w:marBottom w:val="0"/>
      <w:divBdr>
        <w:top w:val="none" w:sz="0" w:space="0" w:color="auto"/>
        <w:left w:val="none" w:sz="0" w:space="0" w:color="auto"/>
        <w:bottom w:val="none" w:sz="0" w:space="0" w:color="auto"/>
        <w:right w:val="none" w:sz="0" w:space="0" w:color="auto"/>
      </w:divBdr>
    </w:div>
    <w:div w:id="1663582649">
      <w:bodyDiv w:val="1"/>
      <w:marLeft w:val="0"/>
      <w:marRight w:val="0"/>
      <w:marTop w:val="0"/>
      <w:marBottom w:val="0"/>
      <w:divBdr>
        <w:top w:val="none" w:sz="0" w:space="0" w:color="auto"/>
        <w:left w:val="none" w:sz="0" w:space="0" w:color="auto"/>
        <w:bottom w:val="none" w:sz="0" w:space="0" w:color="auto"/>
        <w:right w:val="none" w:sz="0" w:space="0" w:color="auto"/>
      </w:divBdr>
    </w:div>
    <w:div w:id="1670601029">
      <w:bodyDiv w:val="1"/>
      <w:marLeft w:val="0"/>
      <w:marRight w:val="0"/>
      <w:marTop w:val="0"/>
      <w:marBottom w:val="0"/>
      <w:divBdr>
        <w:top w:val="none" w:sz="0" w:space="0" w:color="auto"/>
        <w:left w:val="none" w:sz="0" w:space="0" w:color="auto"/>
        <w:bottom w:val="none" w:sz="0" w:space="0" w:color="auto"/>
        <w:right w:val="none" w:sz="0" w:space="0" w:color="auto"/>
      </w:divBdr>
    </w:div>
    <w:div w:id="1671444514">
      <w:bodyDiv w:val="1"/>
      <w:marLeft w:val="0"/>
      <w:marRight w:val="0"/>
      <w:marTop w:val="0"/>
      <w:marBottom w:val="0"/>
      <w:divBdr>
        <w:top w:val="none" w:sz="0" w:space="0" w:color="auto"/>
        <w:left w:val="none" w:sz="0" w:space="0" w:color="auto"/>
        <w:bottom w:val="none" w:sz="0" w:space="0" w:color="auto"/>
        <w:right w:val="none" w:sz="0" w:space="0" w:color="auto"/>
      </w:divBdr>
    </w:div>
    <w:div w:id="1672223785">
      <w:bodyDiv w:val="1"/>
      <w:marLeft w:val="0"/>
      <w:marRight w:val="0"/>
      <w:marTop w:val="0"/>
      <w:marBottom w:val="0"/>
      <w:divBdr>
        <w:top w:val="none" w:sz="0" w:space="0" w:color="auto"/>
        <w:left w:val="none" w:sz="0" w:space="0" w:color="auto"/>
        <w:bottom w:val="none" w:sz="0" w:space="0" w:color="auto"/>
        <w:right w:val="none" w:sz="0" w:space="0" w:color="auto"/>
      </w:divBdr>
    </w:div>
    <w:div w:id="1672374423">
      <w:bodyDiv w:val="1"/>
      <w:marLeft w:val="0"/>
      <w:marRight w:val="0"/>
      <w:marTop w:val="0"/>
      <w:marBottom w:val="0"/>
      <w:divBdr>
        <w:top w:val="none" w:sz="0" w:space="0" w:color="auto"/>
        <w:left w:val="none" w:sz="0" w:space="0" w:color="auto"/>
        <w:bottom w:val="none" w:sz="0" w:space="0" w:color="auto"/>
        <w:right w:val="none" w:sz="0" w:space="0" w:color="auto"/>
      </w:divBdr>
    </w:div>
    <w:div w:id="1673989860">
      <w:bodyDiv w:val="1"/>
      <w:marLeft w:val="0"/>
      <w:marRight w:val="0"/>
      <w:marTop w:val="0"/>
      <w:marBottom w:val="0"/>
      <w:divBdr>
        <w:top w:val="none" w:sz="0" w:space="0" w:color="auto"/>
        <w:left w:val="none" w:sz="0" w:space="0" w:color="auto"/>
        <w:bottom w:val="none" w:sz="0" w:space="0" w:color="auto"/>
        <w:right w:val="none" w:sz="0" w:space="0" w:color="auto"/>
      </w:divBdr>
    </w:div>
    <w:div w:id="1674183148">
      <w:bodyDiv w:val="1"/>
      <w:marLeft w:val="0"/>
      <w:marRight w:val="0"/>
      <w:marTop w:val="0"/>
      <w:marBottom w:val="0"/>
      <w:divBdr>
        <w:top w:val="none" w:sz="0" w:space="0" w:color="auto"/>
        <w:left w:val="none" w:sz="0" w:space="0" w:color="auto"/>
        <w:bottom w:val="none" w:sz="0" w:space="0" w:color="auto"/>
        <w:right w:val="none" w:sz="0" w:space="0" w:color="auto"/>
      </w:divBdr>
    </w:div>
    <w:div w:id="1678730349">
      <w:bodyDiv w:val="1"/>
      <w:marLeft w:val="0"/>
      <w:marRight w:val="0"/>
      <w:marTop w:val="0"/>
      <w:marBottom w:val="0"/>
      <w:divBdr>
        <w:top w:val="none" w:sz="0" w:space="0" w:color="auto"/>
        <w:left w:val="none" w:sz="0" w:space="0" w:color="auto"/>
        <w:bottom w:val="none" w:sz="0" w:space="0" w:color="auto"/>
        <w:right w:val="none" w:sz="0" w:space="0" w:color="auto"/>
      </w:divBdr>
    </w:div>
    <w:div w:id="1698851912">
      <w:bodyDiv w:val="1"/>
      <w:marLeft w:val="0"/>
      <w:marRight w:val="0"/>
      <w:marTop w:val="0"/>
      <w:marBottom w:val="0"/>
      <w:divBdr>
        <w:top w:val="none" w:sz="0" w:space="0" w:color="auto"/>
        <w:left w:val="none" w:sz="0" w:space="0" w:color="auto"/>
        <w:bottom w:val="none" w:sz="0" w:space="0" w:color="auto"/>
        <w:right w:val="none" w:sz="0" w:space="0" w:color="auto"/>
      </w:divBdr>
    </w:div>
    <w:div w:id="1699044394">
      <w:bodyDiv w:val="1"/>
      <w:marLeft w:val="0"/>
      <w:marRight w:val="0"/>
      <w:marTop w:val="0"/>
      <w:marBottom w:val="0"/>
      <w:divBdr>
        <w:top w:val="none" w:sz="0" w:space="0" w:color="auto"/>
        <w:left w:val="none" w:sz="0" w:space="0" w:color="auto"/>
        <w:bottom w:val="none" w:sz="0" w:space="0" w:color="auto"/>
        <w:right w:val="none" w:sz="0" w:space="0" w:color="auto"/>
      </w:divBdr>
    </w:div>
    <w:div w:id="1709525305">
      <w:bodyDiv w:val="1"/>
      <w:marLeft w:val="0"/>
      <w:marRight w:val="0"/>
      <w:marTop w:val="0"/>
      <w:marBottom w:val="0"/>
      <w:divBdr>
        <w:top w:val="none" w:sz="0" w:space="0" w:color="auto"/>
        <w:left w:val="none" w:sz="0" w:space="0" w:color="auto"/>
        <w:bottom w:val="none" w:sz="0" w:space="0" w:color="auto"/>
        <w:right w:val="none" w:sz="0" w:space="0" w:color="auto"/>
      </w:divBdr>
    </w:div>
    <w:div w:id="1713379241">
      <w:bodyDiv w:val="1"/>
      <w:marLeft w:val="0"/>
      <w:marRight w:val="0"/>
      <w:marTop w:val="0"/>
      <w:marBottom w:val="0"/>
      <w:divBdr>
        <w:top w:val="none" w:sz="0" w:space="0" w:color="auto"/>
        <w:left w:val="none" w:sz="0" w:space="0" w:color="auto"/>
        <w:bottom w:val="none" w:sz="0" w:space="0" w:color="auto"/>
        <w:right w:val="none" w:sz="0" w:space="0" w:color="auto"/>
      </w:divBdr>
    </w:div>
    <w:div w:id="1723216010">
      <w:bodyDiv w:val="1"/>
      <w:marLeft w:val="0"/>
      <w:marRight w:val="0"/>
      <w:marTop w:val="0"/>
      <w:marBottom w:val="0"/>
      <w:divBdr>
        <w:top w:val="none" w:sz="0" w:space="0" w:color="auto"/>
        <w:left w:val="none" w:sz="0" w:space="0" w:color="auto"/>
        <w:bottom w:val="none" w:sz="0" w:space="0" w:color="auto"/>
        <w:right w:val="none" w:sz="0" w:space="0" w:color="auto"/>
      </w:divBdr>
    </w:div>
    <w:div w:id="1725834701">
      <w:bodyDiv w:val="1"/>
      <w:marLeft w:val="0"/>
      <w:marRight w:val="0"/>
      <w:marTop w:val="0"/>
      <w:marBottom w:val="0"/>
      <w:divBdr>
        <w:top w:val="none" w:sz="0" w:space="0" w:color="auto"/>
        <w:left w:val="none" w:sz="0" w:space="0" w:color="auto"/>
        <w:bottom w:val="none" w:sz="0" w:space="0" w:color="auto"/>
        <w:right w:val="none" w:sz="0" w:space="0" w:color="auto"/>
      </w:divBdr>
    </w:div>
    <w:div w:id="1726218716">
      <w:bodyDiv w:val="1"/>
      <w:marLeft w:val="0"/>
      <w:marRight w:val="0"/>
      <w:marTop w:val="0"/>
      <w:marBottom w:val="0"/>
      <w:divBdr>
        <w:top w:val="none" w:sz="0" w:space="0" w:color="auto"/>
        <w:left w:val="none" w:sz="0" w:space="0" w:color="auto"/>
        <w:bottom w:val="none" w:sz="0" w:space="0" w:color="auto"/>
        <w:right w:val="none" w:sz="0" w:space="0" w:color="auto"/>
      </w:divBdr>
    </w:div>
    <w:div w:id="1726680771">
      <w:bodyDiv w:val="1"/>
      <w:marLeft w:val="0"/>
      <w:marRight w:val="0"/>
      <w:marTop w:val="0"/>
      <w:marBottom w:val="0"/>
      <w:divBdr>
        <w:top w:val="none" w:sz="0" w:space="0" w:color="auto"/>
        <w:left w:val="none" w:sz="0" w:space="0" w:color="auto"/>
        <w:bottom w:val="none" w:sz="0" w:space="0" w:color="auto"/>
        <w:right w:val="none" w:sz="0" w:space="0" w:color="auto"/>
      </w:divBdr>
    </w:div>
    <w:div w:id="1726759003">
      <w:bodyDiv w:val="1"/>
      <w:marLeft w:val="0"/>
      <w:marRight w:val="0"/>
      <w:marTop w:val="0"/>
      <w:marBottom w:val="0"/>
      <w:divBdr>
        <w:top w:val="none" w:sz="0" w:space="0" w:color="auto"/>
        <w:left w:val="none" w:sz="0" w:space="0" w:color="auto"/>
        <w:bottom w:val="none" w:sz="0" w:space="0" w:color="auto"/>
        <w:right w:val="none" w:sz="0" w:space="0" w:color="auto"/>
      </w:divBdr>
    </w:div>
    <w:div w:id="1727410865">
      <w:bodyDiv w:val="1"/>
      <w:marLeft w:val="0"/>
      <w:marRight w:val="0"/>
      <w:marTop w:val="0"/>
      <w:marBottom w:val="0"/>
      <w:divBdr>
        <w:top w:val="none" w:sz="0" w:space="0" w:color="auto"/>
        <w:left w:val="none" w:sz="0" w:space="0" w:color="auto"/>
        <w:bottom w:val="none" w:sz="0" w:space="0" w:color="auto"/>
        <w:right w:val="none" w:sz="0" w:space="0" w:color="auto"/>
      </w:divBdr>
    </w:div>
    <w:div w:id="1729382453">
      <w:bodyDiv w:val="1"/>
      <w:marLeft w:val="0"/>
      <w:marRight w:val="0"/>
      <w:marTop w:val="0"/>
      <w:marBottom w:val="0"/>
      <w:divBdr>
        <w:top w:val="none" w:sz="0" w:space="0" w:color="auto"/>
        <w:left w:val="none" w:sz="0" w:space="0" w:color="auto"/>
        <w:bottom w:val="none" w:sz="0" w:space="0" w:color="auto"/>
        <w:right w:val="none" w:sz="0" w:space="0" w:color="auto"/>
      </w:divBdr>
    </w:div>
    <w:div w:id="1730610754">
      <w:bodyDiv w:val="1"/>
      <w:marLeft w:val="0"/>
      <w:marRight w:val="0"/>
      <w:marTop w:val="0"/>
      <w:marBottom w:val="0"/>
      <w:divBdr>
        <w:top w:val="none" w:sz="0" w:space="0" w:color="auto"/>
        <w:left w:val="none" w:sz="0" w:space="0" w:color="auto"/>
        <w:bottom w:val="none" w:sz="0" w:space="0" w:color="auto"/>
        <w:right w:val="none" w:sz="0" w:space="0" w:color="auto"/>
      </w:divBdr>
    </w:div>
    <w:div w:id="1731033445">
      <w:bodyDiv w:val="1"/>
      <w:marLeft w:val="0"/>
      <w:marRight w:val="0"/>
      <w:marTop w:val="0"/>
      <w:marBottom w:val="0"/>
      <w:divBdr>
        <w:top w:val="none" w:sz="0" w:space="0" w:color="auto"/>
        <w:left w:val="none" w:sz="0" w:space="0" w:color="auto"/>
        <w:bottom w:val="none" w:sz="0" w:space="0" w:color="auto"/>
        <w:right w:val="none" w:sz="0" w:space="0" w:color="auto"/>
      </w:divBdr>
    </w:div>
    <w:div w:id="1740129669">
      <w:bodyDiv w:val="1"/>
      <w:marLeft w:val="0"/>
      <w:marRight w:val="0"/>
      <w:marTop w:val="0"/>
      <w:marBottom w:val="0"/>
      <w:divBdr>
        <w:top w:val="none" w:sz="0" w:space="0" w:color="auto"/>
        <w:left w:val="none" w:sz="0" w:space="0" w:color="auto"/>
        <w:bottom w:val="none" w:sz="0" w:space="0" w:color="auto"/>
        <w:right w:val="none" w:sz="0" w:space="0" w:color="auto"/>
      </w:divBdr>
    </w:div>
    <w:div w:id="1742868581">
      <w:bodyDiv w:val="1"/>
      <w:marLeft w:val="0"/>
      <w:marRight w:val="0"/>
      <w:marTop w:val="0"/>
      <w:marBottom w:val="0"/>
      <w:divBdr>
        <w:top w:val="none" w:sz="0" w:space="0" w:color="auto"/>
        <w:left w:val="none" w:sz="0" w:space="0" w:color="auto"/>
        <w:bottom w:val="none" w:sz="0" w:space="0" w:color="auto"/>
        <w:right w:val="none" w:sz="0" w:space="0" w:color="auto"/>
      </w:divBdr>
    </w:div>
    <w:div w:id="1745643845">
      <w:bodyDiv w:val="1"/>
      <w:marLeft w:val="0"/>
      <w:marRight w:val="0"/>
      <w:marTop w:val="0"/>
      <w:marBottom w:val="0"/>
      <w:divBdr>
        <w:top w:val="none" w:sz="0" w:space="0" w:color="auto"/>
        <w:left w:val="none" w:sz="0" w:space="0" w:color="auto"/>
        <w:bottom w:val="none" w:sz="0" w:space="0" w:color="auto"/>
        <w:right w:val="none" w:sz="0" w:space="0" w:color="auto"/>
      </w:divBdr>
    </w:div>
    <w:div w:id="1746030879">
      <w:bodyDiv w:val="1"/>
      <w:marLeft w:val="0"/>
      <w:marRight w:val="0"/>
      <w:marTop w:val="0"/>
      <w:marBottom w:val="0"/>
      <w:divBdr>
        <w:top w:val="none" w:sz="0" w:space="0" w:color="auto"/>
        <w:left w:val="none" w:sz="0" w:space="0" w:color="auto"/>
        <w:bottom w:val="none" w:sz="0" w:space="0" w:color="auto"/>
        <w:right w:val="none" w:sz="0" w:space="0" w:color="auto"/>
      </w:divBdr>
    </w:div>
    <w:div w:id="1755541919">
      <w:bodyDiv w:val="1"/>
      <w:marLeft w:val="0"/>
      <w:marRight w:val="0"/>
      <w:marTop w:val="0"/>
      <w:marBottom w:val="0"/>
      <w:divBdr>
        <w:top w:val="none" w:sz="0" w:space="0" w:color="auto"/>
        <w:left w:val="none" w:sz="0" w:space="0" w:color="auto"/>
        <w:bottom w:val="none" w:sz="0" w:space="0" w:color="auto"/>
        <w:right w:val="none" w:sz="0" w:space="0" w:color="auto"/>
      </w:divBdr>
    </w:div>
    <w:div w:id="1756052508">
      <w:bodyDiv w:val="1"/>
      <w:marLeft w:val="0"/>
      <w:marRight w:val="0"/>
      <w:marTop w:val="0"/>
      <w:marBottom w:val="0"/>
      <w:divBdr>
        <w:top w:val="none" w:sz="0" w:space="0" w:color="auto"/>
        <w:left w:val="none" w:sz="0" w:space="0" w:color="auto"/>
        <w:bottom w:val="none" w:sz="0" w:space="0" w:color="auto"/>
        <w:right w:val="none" w:sz="0" w:space="0" w:color="auto"/>
      </w:divBdr>
    </w:div>
    <w:div w:id="1759476122">
      <w:bodyDiv w:val="1"/>
      <w:marLeft w:val="0"/>
      <w:marRight w:val="0"/>
      <w:marTop w:val="0"/>
      <w:marBottom w:val="0"/>
      <w:divBdr>
        <w:top w:val="none" w:sz="0" w:space="0" w:color="auto"/>
        <w:left w:val="none" w:sz="0" w:space="0" w:color="auto"/>
        <w:bottom w:val="none" w:sz="0" w:space="0" w:color="auto"/>
        <w:right w:val="none" w:sz="0" w:space="0" w:color="auto"/>
      </w:divBdr>
    </w:div>
    <w:div w:id="1760835227">
      <w:bodyDiv w:val="1"/>
      <w:marLeft w:val="0"/>
      <w:marRight w:val="0"/>
      <w:marTop w:val="0"/>
      <w:marBottom w:val="0"/>
      <w:divBdr>
        <w:top w:val="none" w:sz="0" w:space="0" w:color="auto"/>
        <w:left w:val="none" w:sz="0" w:space="0" w:color="auto"/>
        <w:bottom w:val="none" w:sz="0" w:space="0" w:color="auto"/>
        <w:right w:val="none" w:sz="0" w:space="0" w:color="auto"/>
      </w:divBdr>
    </w:div>
    <w:div w:id="1762263894">
      <w:bodyDiv w:val="1"/>
      <w:marLeft w:val="0"/>
      <w:marRight w:val="0"/>
      <w:marTop w:val="0"/>
      <w:marBottom w:val="0"/>
      <w:divBdr>
        <w:top w:val="none" w:sz="0" w:space="0" w:color="auto"/>
        <w:left w:val="none" w:sz="0" w:space="0" w:color="auto"/>
        <w:bottom w:val="none" w:sz="0" w:space="0" w:color="auto"/>
        <w:right w:val="none" w:sz="0" w:space="0" w:color="auto"/>
      </w:divBdr>
    </w:div>
    <w:div w:id="1764911605">
      <w:bodyDiv w:val="1"/>
      <w:marLeft w:val="0"/>
      <w:marRight w:val="0"/>
      <w:marTop w:val="0"/>
      <w:marBottom w:val="0"/>
      <w:divBdr>
        <w:top w:val="none" w:sz="0" w:space="0" w:color="auto"/>
        <w:left w:val="none" w:sz="0" w:space="0" w:color="auto"/>
        <w:bottom w:val="none" w:sz="0" w:space="0" w:color="auto"/>
        <w:right w:val="none" w:sz="0" w:space="0" w:color="auto"/>
      </w:divBdr>
    </w:div>
    <w:div w:id="1769504682">
      <w:bodyDiv w:val="1"/>
      <w:marLeft w:val="0"/>
      <w:marRight w:val="0"/>
      <w:marTop w:val="0"/>
      <w:marBottom w:val="0"/>
      <w:divBdr>
        <w:top w:val="none" w:sz="0" w:space="0" w:color="auto"/>
        <w:left w:val="none" w:sz="0" w:space="0" w:color="auto"/>
        <w:bottom w:val="none" w:sz="0" w:space="0" w:color="auto"/>
        <w:right w:val="none" w:sz="0" w:space="0" w:color="auto"/>
      </w:divBdr>
    </w:div>
    <w:div w:id="1784304521">
      <w:bodyDiv w:val="1"/>
      <w:marLeft w:val="0"/>
      <w:marRight w:val="0"/>
      <w:marTop w:val="0"/>
      <w:marBottom w:val="0"/>
      <w:divBdr>
        <w:top w:val="none" w:sz="0" w:space="0" w:color="auto"/>
        <w:left w:val="none" w:sz="0" w:space="0" w:color="auto"/>
        <w:bottom w:val="none" w:sz="0" w:space="0" w:color="auto"/>
        <w:right w:val="none" w:sz="0" w:space="0" w:color="auto"/>
      </w:divBdr>
    </w:div>
    <w:div w:id="1785154088">
      <w:bodyDiv w:val="1"/>
      <w:marLeft w:val="0"/>
      <w:marRight w:val="0"/>
      <w:marTop w:val="0"/>
      <w:marBottom w:val="0"/>
      <w:divBdr>
        <w:top w:val="none" w:sz="0" w:space="0" w:color="auto"/>
        <w:left w:val="none" w:sz="0" w:space="0" w:color="auto"/>
        <w:bottom w:val="none" w:sz="0" w:space="0" w:color="auto"/>
        <w:right w:val="none" w:sz="0" w:space="0" w:color="auto"/>
      </w:divBdr>
    </w:div>
    <w:div w:id="1792477155">
      <w:bodyDiv w:val="1"/>
      <w:marLeft w:val="0"/>
      <w:marRight w:val="0"/>
      <w:marTop w:val="0"/>
      <w:marBottom w:val="0"/>
      <w:divBdr>
        <w:top w:val="none" w:sz="0" w:space="0" w:color="auto"/>
        <w:left w:val="none" w:sz="0" w:space="0" w:color="auto"/>
        <w:bottom w:val="none" w:sz="0" w:space="0" w:color="auto"/>
        <w:right w:val="none" w:sz="0" w:space="0" w:color="auto"/>
      </w:divBdr>
    </w:div>
    <w:div w:id="1793549160">
      <w:bodyDiv w:val="1"/>
      <w:marLeft w:val="0"/>
      <w:marRight w:val="0"/>
      <w:marTop w:val="0"/>
      <w:marBottom w:val="0"/>
      <w:divBdr>
        <w:top w:val="none" w:sz="0" w:space="0" w:color="auto"/>
        <w:left w:val="none" w:sz="0" w:space="0" w:color="auto"/>
        <w:bottom w:val="none" w:sz="0" w:space="0" w:color="auto"/>
        <w:right w:val="none" w:sz="0" w:space="0" w:color="auto"/>
      </w:divBdr>
    </w:div>
    <w:div w:id="1798797999">
      <w:bodyDiv w:val="1"/>
      <w:marLeft w:val="0"/>
      <w:marRight w:val="0"/>
      <w:marTop w:val="0"/>
      <w:marBottom w:val="0"/>
      <w:divBdr>
        <w:top w:val="none" w:sz="0" w:space="0" w:color="auto"/>
        <w:left w:val="none" w:sz="0" w:space="0" w:color="auto"/>
        <w:bottom w:val="none" w:sz="0" w:space="0" w:color="auto"/>
        <w:right w:val="none" w:sz="0" w:space="0" w:color="auto"/>
      </w:divBdr>
    </w:div>
    <w:div w:id="1798911298">
      <w:bodyDiv w:val="1"/>
      <w:marLeft w:val="0"/>
      <w:marRight w:val="0"/>
      <w:marTop w:val="0"/>
      <w:marBottom w:val="0"/>
      <w:divBdr>
        <w:top w:val="none" w:sz="0" w:space="0" w:color="auto"/>
        <w:left w:val="none" w:sz="0" w:space="0" w:color="auto"/>
        <w:bottom w:val="none" w:sz="0" w:space="0" w:color="auto"/>
        <w:right w:val="none" w:sz="0" w:space="0" w:color="auto"/>
      </w:divBdr>
    </w:div>
    <w:div w:id="1800957912">
      <w:bodyDiv w:val="1"/>
      <w:marLeft w:val="0"/>
      <w:marRight w:val="0"/>
      <w:marTop w:val="0"/>
      <w:marBottom w:val="0"/>
      <w:divBdr>
        <w:top w:val="none" w:sz="0" w:space="0" w:color="auto"/>
        <w:left w:val="none" w:sz="0" w:space="0" w:color="auto"/>
        <w:bottom w:val="none" w:sz="0" w:space="0" w:color="auto"/>
        <w:right w:val="none" w:sz="0" w:space="0" w:color="auto"/>
      </w:divBdr>
    </w:div>
    <w:div w:id="1807576523">
      <w:bodyDiv w:val="1"/>
      <w:marLeft w:val="0"/>
      <w:marRight w:val="0"/>
      <w:marTop w:val="0"/>
      <w:marBottom w:val="0"/>
      <w:divBdr>
        <w:top w:val="none" w:sz="0" w:space="0" w:color="auto"/>
        <w:left w:val="none" w:sz="0" w:space="0" w:color="auto"/>
        <w:bottom w:val="none" w:sz="0" w:space="0" w:color="auto"/>
        <w:right w:val="none" w:sz="0" w:space="0" w:color="auto"/>
      </w:divBdr>
    </w:div>
    <w:div w:id="1812215400">
      <w:bodyDiv w:val="1"/>
      <w:marLeft w:val="0"/>
      <w:marRight w:val="0"/>
      <w:marTop w:val="0"/>
      <w:marBottom w:val="0"/>
      <w:divBdr>
        <w:top w:val="none" w:sz="0" w:space="0" w:color="auto"/>
        <w:left w:val="none" w:sz="0" w:space="0" w:color="auto"/>
        <w:bottom w:val="none" w:sz="0" w:space="0" w:color="auto"/>
        <w:right w:val="none" w:sz="0" w:space="0" w:color="auto"/>
      </w:divBdr>
    </w:div>
    <w:div w:id="1824154494">
      <w:bodyDiv w:val="1"/>
      <w:marLeft w:val="0"/>
      <w:marRight w:val="0"/>
      <w:marTop w:val="0"/>
      <w:marBottom w:val="0"/>
      <w:divBdr>
        <w:top w:val="none" w:sz="0" w:space="0" w:color="auto"/>
        <w:left w:val="none" w:sz="0" w:space="0" w:color="auto"/>
        <w:bottom w:val="none" w:sz="0" w:space="0" w:color="auto"/>
        <w:right w:val="none" w:sz="0" w:space="0" w:color="auto"/>
      </w:divBdr>
    </w:div>
    <w:div w:id="1829202905">
      <w:bodyDiv w:val="1"/>
      <w:marLeft w:val="0"/>
      <w:marRight w:val="0"/>
      <w:marTop w:val="0"/>
      <w:marBottom w:val="0"/>
      <w:divBdr>
        <w:top w:val="none" w:sz="0" w:space="0" w:color="auto"/>
        <w:left w:val="none" w:sz="0" w:space="0" w:color="auto"/>
        <w:bottom w:val="none" w:sz="0" w:space="0" w:color="auto"/>
        <w:right w:val="none" w:sz="0" w:space="0" w:color="auto"/>
      </w:divBdr>
    </w:div>
    <w:div w:id="1832520408">
      <w:bodyDiv w:val="1"/>
      <w:marLeft w:val="0"/>
      <w:marRight w:val="0"/>
      <w:marTop w:val="0"/>
      <w:marBottom w:val="0"/>
      <w:divBdr>
        <w:top w:val="none" w:sz="0" w:space="0" w:color="auto"/>
        <w:left w:val="none" w:sz="0" w:space="0" w:color="auto"/>
        <w:bottom w:val="none" w:sz="0" w:space="0" w:color="auto"/>
        <w:right w:val="none" w:sz="0" w:space="0" w:color="auto"/>
      </w:divBdr>
    </w:div>
    <w:div w:id="1835564816">
      <w:bodyDiv w:val="1"/>
      <w:marLeft w:val="0"/>
      <w:marRight w:val="0"/>
      <w:marTop w:val="0"/>
      <w:marBottom w:val="0"/>
      <w:divBdr>
        <w:top w:val="none" w:sz="0" w:space="0" w:color="auto"/>
        <w:left w:val="none" w:sz="0" w:space="0" w:color="auto"/>
        <w:bottom w:val="none" w:sz="0" w:space="0" w:color="auto"/>
        <w:right w:val="none" w:sz="0" w:space="0" w:color="auto"/>
      </w:divBdr>
    </w:div>
    <w:div w:id="1836535196">
      <w:bodyDiv w:val="1"/>
      <w:marLeft w:val="0"/>
      <w:marRight w:val="0"/>
      <w:marTop w:val="0"/>
      <w:marBottom w:val="0"/>
      <w:divBdr>
        <w:top w:val="none" w:sz="0" w:space="0" w:color="auto"/>
        <w:left w:val="none" w:sz="0" w:space="0" w:color="auto"/>
        <w:bottom w:val="none" w:sz="0" w:space="0" w:color="auto"/>
        <w:right w:val="none" w:sz="0" w:space="0" w:color="auto"/>
      </w:divBdr>
    </w:div>
    <w:div w:id="1836797606">
      <w:bodyDiv w:val="1"/>
      <w:marLeft w:val="0"/>
      <w:marRight w:val="0"/>
      <w:marTop w:val="0"/>
      <w:marBottom w:val="0"/>
      <w:divBdr>
        <w:top w:val="none" w:sz="0" w:space="0" w:color="auto"/>
        <w:left w:val="none" w:sz="0" w:space="0" w:color="auto"/>
        <w:bottom w:val="none" w:sz="0" w:space="0" w:color="auto"/>
        <w:right w:val="none" w:sz="0" w:space="0" w:color="auto"/>
      </w:divBdr>
    </w:div>
    <w:div w:id="1837844915">
      <w:bodyDiv w:val="1"/>
      <w:marLeft w:val="0"/>
      <w:marRight w:val="0"/>
      <w:marTop w:val="0"/>
      <w:marBottom w:val="0"/>
      <w:divBdr>
        <w:top w:val="none" w:sz="0" w:space="0" w:color="auto"/>
        <w:left w:val="none" w:sz="0" w:space="0" w:color="auto"/>
        <w:bottom w:val="none" w:sz="0" w:space="0" w:color="auto"/>
        <w:right w:val="none" w:sz="0" w:space="0" w:color="auto"/>
      </w:divBdr>
    </w:div>
    <w:div w:id="1838182056">
      <w:bodyDiv w:val="1"/>
      <w:marLeft w:val="0"/>
      <w:marRight w:val="0"/>
      <w:marTop w:val="0"/>
      <w:marBottom w:val="0"/>
      <w:divBdr>
        <w:top w:val="none" w:sz="0" w:space="0" w:color="auto"/>
        <w:left w:val="none" w:sz="0" w:space="0" w:color="auto"/>
        <w:bottom w:val="none" w:sz="0" w:space="0" w:color="auto"/>
        <w:right w:val="none" w:sz="0" w:space="0" w:color="auto"/>
      </w:divBdr>
    </w:div>
    <w:div w:id="1838417450">
      <w:bodyDiv w:val="1"/>
      <w:marLeft w:val="0"/>
      <w:marRight w:val="0"/>
      <w:marTop w:val="0"/>
      <w:marBottom w:val="0"/>
      <w:divBdr>
        <w:top w:val="none" w:sz="0" w:space="0" w:color="auto"/>
        <w:left w:val="none" w:sz="0" w:space="0" w:color="auto"/>
        <w:bottom w:val="none" w:sz="0" w:space="0" w:color="auto"/>
        <w:right w:val="none" w:sz="0" w:space="0" w:color="auto"/>
      </w:divBdr>
    </w:div>
    <w:div w:id="1840072592">
      <w:bodyDiv w:val="1"/>
      <w:marLeft w:val="0"/>
      <w:marRight w:val="0"/>
      <w:marTop w:val="0"/>
      <w:marBottom w:val="0"/>
      <w:divBdr>
        <w:top w:val="none" w:sz="0" w:space="0" w:color="auto"/>
        <w:left w:val="none" w:sz="0" w:space="0" w:color="auto"/>
        <w:bottom w:val="none" w:sz="0" w:space="0" w:color="auto"/>
        <w:right w:val="none" w:sz="0" w:space="0" w:color="auto"/>
      </w:divBdr>
    </w:div>
    <w:div w:id="1843817857">
      <w:bodyDiv w:val="1"/>
      <w:marLeft w:val="0"/>
      <w:marRight w:val="0"/>
      <w:marTop w:val="0"/>
      <w:marBottom w:val="0"/>
      <w:divBdr>
        <w:top w:val="none" w:sz="0" w:space="0" w:color="auto"/>
        <w:left w:val="none" w:sz="0" w:space="0" w:color="auto"/>
        <w:bottom w:val="none" w:sz="0" w:space="0" w:color="auto"/>
        <w:right w:val="none" w:sz="0" w:space="0" w:color="auto"/>
      </w:divBdr>
    </w:div>
    <w:div w:id="1845893765">
      <w:bodyDiv w:val="1"/>
      <w:marLeft w:val="0"/>
      <w:marRight w:val="0"/>
      <w:marTop w:val="0"/>
      <w:marBottom w:val="0"/>
      <w:divBdr>
        <w:top w:val="none" w:sz="0" w:space="0" w:color="auto"/>
        <w:left w:val="none" w:sz="0" w:space="0" w:color="auto"/>
        <w:bottom w:val="none" w:sz="0" w:space="0" w:color="auto"/>
        <w:right w:val="none" w:sz="0" w:space="0" w:color="auto"/>
      </w:divBdr>
    </w:div>
    <w:div w:id="1846556716">
      <w:bodyDiv w:val="1"/>
      <w:marLeft w:val="0"/>
      <w:marRight w:val="0"/>
      <w:marTop w:val="0"/>
      <w:marBottom w:val="0"/>
      <w:divBdr>
        <w:top w:val="none" w:sz="0" w:space="0" w:color="auto"/>
        <w:left w:val="none" w:sz="0" w:space="0" w:color="auto"/>
        <w:bottom w:val="none" w:sz="0" w:space="0" w:color="auto"/>
        <w:right w:val="none" w:sz="0" w:space="0" w:color="auto"/>
      </w:divBdr>
    </w:div>
    <w:div w:id="1854688937">
      <w:bodyDiv w:val="1"/>
      <w:marLeft w:val="0"/>
      <w:marRight w:val="0"/>
      <w:marTop w:val="0"/>
      <w:marBottom w:val="0"/>
      <w:divBdr>
        <w:top w:val="none" w:sz="0" w:space="0" w:color="auto"/>
        <w:left w:val="none" w:sz="0" w:space="0" w:color="auto"/>
        <w:bottom w:val="none" w:sz="0" w:space="0" w:color="auto"/>
        <w:right w:val="none" w:sz="0" w:space="0" w:color="auto"/>
      </w:divBdr>
    </w:div>
    <w:div w:id="1856265640">
      <w:bodyDiv w:val="1"/>
      <w:marLeft w:val="0"/>
      <w:marRight w:val="0"/>
      <w:marTop w:val="0"/>
      <w:marBottom w:val="0"/>
      <w:divBdr>
        <w:top w:val="none" w:sz="0" w:space="0" w:color="auto"/>
        <w:left w:val="none" w:sz="0" w:space="0" w:color="auto"/>
        <w:bottom w:val="none" w:sz="0" w:space="0" w:color="auto"/>
        <w:right w:val="none" w:sz="0" w:space="0" w:color="auto"/>
      </w:divBdr>
    </w:div>
    <w:div w:id="1864587306">
      <w:bodyDiv w:val="1"/>
      <w:marLeft w:val="0"/>
      <w:marRight w:val="0"/>
      <w:marTop w:val="0"/>
      <w:marBottom w:val="0"/>
      <w:divBdr>
        <w:top w:val="none" w:sz="0" w:space="0" w:color="auto"/>
        <w:left w:val="none" w:sz="0" w:space="0" w:color="auto"/>
        <w:bottom w:val="none" w:sz="0" w:space="0" w:color="auto"/>
        <w:right w:val="none" w:sz="0" w:space="0" w:color="auto"/>
      </w:divBdr>
    </w:div>
    <w:div w:id="1867869948">
      <w:bodyDiv w:val="1"/>
      <w:marLeft w:val="0"/>
      <w:marRight w:val="0"/>
      <w:marTop w:val="0"/>
      <w:marBottom w:val="0"/>
      <w:divBdr>
        <w:top w:val="none" w:sz="0" w:space="0" w:color="auto"/>
        <w:left w:val="none" w:sz="0" w:space="0" w:color="auto"/>
        <w:bottom w:val="none" w:sz="0" w:space="0" w:color="auto"/>
        <w:right w:val="none" w:sz="0" w:space="0" w:color="auto"/>
      </w:divBdr>
    </w:div>
    <w:div w:id="1868324284">
      <w:bodyDiv w:val="1"/>
      <w:marLeft w:val="0"/>
      <w:marRight w:val="0"/>
      <w:marTop w:val="0"/>
      <w:marBottom w:val="0"/>
      <w:divBdr>
        <w:top w:val="none" w:sz="0" w:space="0" w:color="auto"/>
        <w:left w:val="none" w:sz="0" w:space="0" w:color="auto"/>
        <w:bottom w:val="none" w:sz="0" w:space="0" w:color="auto"/>
        <w:right w:val="none" w:sz="0" w:space="0" w:color="auto"/>
      </w:divBdr>
    </w:div>
    <w:div w:id="1870029081">
      <w:bodyDiv w:val="1"/>
      <w:marLeft w:val="0"/>
      <w:marRight w:val="0"/>
      <w:marTop w:val="0"/>
      <w:marBottom w:val="0"/>
      <w:divBdr>
        <w:top w:val="none" w:sz="0" w:space="0" w:color="auto"/>
        <w:left w:val="none" w:sz="0" w:space="0" w:color="auto"/>
        <w:bottom w:val="none" w:sz="0" w:space="0" w:color="auto"/>
        <w:right w:val="none" w:sz="0" w:space="0" w:color="auto"/>
      </w:divBdr>
    </w:div>
    <w:div w:id="1879781156">
      <w:bodyDiv w:val="1"/>
      <w:marLeft w:val="0"/>
      <w:marRight w:val="0"/>
      <w:marTop w:val="0"/>
      <w:marBottom w:val="0"/>
      <w:divBdr>
        <w:top w:val="none" w:sz="0" w:space="0" w:color="auto"/>
        <w:left w:val="none" w:sz="0" w:space="0" w:color="auto"/>
        <w:bottom w:val="none" w:sz="0" w:space="0" w:color="auto"/>
        <w:right w:val="none" w:sz="0" w:space="0" w:color="auto"/>
      </w:divBdr>
    </w:div>
    <w:div w:id="1881898558">
      <w:bodyDiv w:val="1"/>
      <w:marLeft w:val="0"/>
      <w:marRight w:val="0"/>
      <w:marTop w:val="0"/>
      <w:marBottom w:val="0"/>
      <w:divBdr>
        <w:top w:val="none" w:sz="0" w:space="0" w:color="auto"/>
        <w:left w:val="none" w:sz="0" w:space="0" w:color="auto"/>
        <w:bottom w:val="none" w:sz="0" w:space="0" w:color="auto"/>
        <w:right w:val="none" w:sz="0" w:space="0" w:color="auto"/>
      </w:divBdr>
    </w:div>
    <w:div w:id="1882011696">
      <w:bodyDiv w:val="1"/>
      <w:marLeft w:val="0"/>
      <w:marRight w:val="0"/>
      <w:marTop w:val="0"/>
      <w:marBottom w:val="0"/>
      <w:divBdr>
        <w:top w:val="none" w:sz="0" w:space="0" w:color="auto"/>
        <w:left w:val="none" w:sz="0" w:space="0" w:color="auto"/>
        <w:bottom w:val="none" w:sz="0" w:space="0" w:color="auto"/>
        <w:right w:val="none" w:sz="0" w:space="0" w:color="auto"/>
      </w:divBdr>
    </w:div>
    <w:div w:id="1887915022">
      <w:bodyDiv w:val="1"/>
      <w:marLeft w:val="0"/>
      <w:marRight w:val="0"/>
      <w:marTop w:val="0"/>
      <w:marBottom w:val="0"/>
      <w:divBdr>
        <w:top w:val="none" w:sz="0" w:space="0" w:color="auto"/>
        <w:left w:val="none" w:sz="0" w:space="0" w:color="auto"/>
        <w:bottom w:val="none" w:sz="0" w:space="0" w:color="auto"/>
        <w:right w:val="none" w:sz="0" w:space="0" w:color="auto"/>
      </w:divBdr>
    </w:div>
    <w:div w:id="1893270966">
      <w:bodyDiv w:val="1"/>
      <w:marLeft w:val="0"/>
      <w:marRight w:val="0"/>
      <w:marTop w:val="0"/>
      <w:marBottom w:val="0"/>
      <w:divBdr>
        <w:top w:val="none" w:sz="0" w:space="0" w:color="auto"/>
        <w:left w:val="none" w:sz="0" w:space="0" w:color="auto"/>
        <w:bottom w:val="none" w:sz="0" w:space="0" w:color="auto"/>
        <w:right w:val="none" w:sz="0" w:space="0" w:color="auto"/>
      </w:divBdr>
    </w:div>
    <w:div w:id="1898474084">
      <w:bodyDiv w:val="1"/>
      <w:marLeft w:val="0"/>
      <w:marRight w:val="0"/>
      <w:marTop w:val="0"/>
      <w:marBottom w:val="0"/>
      <w:divBdr>
        <w:top w:val="none" w:sz="0" w:space="0" w:color="auto"/>
        <w:left w:val="none" w:sz="0" w:space="0" w:color="auto"/>
        <w:bottom w:val="none" w:sz="0" w:space="0" w:color="auto"/>
        <w:right w:val="none" w:sz="0" w:space="0" w:color="auto"/>
      </w:divBdr>
    </w:div>
    <w:div w:id="1899318267">
      <w:bodyDiv w:val="1"/>
      <w:marLeft w:val="0"/>
      <w:marRight w:val="0"/>
      <w:marTop w:val="0"/>
      <w:marBottom w:val="0"/>
      <w:divBdr>
        <w:top w:val="none" w:sz="0" w:space="0" w:color="auto"/>
        <w:left w:val="none" w:sz="0" w:space="0" w:color="auto"/>
        <w:bottom w:val="none" w:sz="0" w:space="0" w:color="auto"/>
        <w:right w:val="none" w:sz="0" w:space="0" w:color="auto"/>
      </w:divBdr>
    </w:div>
    <w:div w:id="1902402967">
      <w:bodyDiv w:val="1"/>
      <w:marLeft w:val="0"/>
      <w:marRight w:val="0"/>
      <w:marTop w:val="0"/>
      <w:marBottom w:val="0"/>
      <w:divBdr>
        <w:top w:val="none" w:sz="0" w:space="0" w:color="auto"/>
        <w:left w:val="none" w:sz="0" w:space="0" w:color="auto"/>
        <w:bottom w:val="none" w:sz="0" w:space="0" w:color="auto"/>
        <w:right w:val="none" w:sz="0" w:space="0" w:color="auto"/>
      </w:divBdr>
    </w:div>
    <w:div w:id="1913736410">
      <w:bodyDiv w:val="1"/>
      <w:marLeft w:val="0"/>
      <w:marRight w:val="0"/>
      <w:marTop w:val="0"/>
      <w:marBottom w:val="0"/>
      <w:divBdr>
        <w:top w:val="none" w:sz="0" w:space="0" w:color="auto"/>
        <w:left w:val="none" w:sz="0" w:space="0" w:color="auto"/>
        <w:bottom w:val="none" w:sz="0" w:space="0" w:color="auto"/>
        <w:right w:val="none" w:sz="0" w:space="0" w:color="auto"/>
      </w:divBdr>
    </w:div>
    <w:div w:id="1921593194">
      <w:bodyDiv w:val="1"/>
      <w:marLeft w:val="0"/>
      <w:marRight w:val="0"/>
      <w:marTop w:val="0"/>
      <w:marBottom w:val="0"/>
      <w:divBdr>
        <w:top w:val="none" w:sz="0" w:space="0" w:color="auto"/>
        <w:left w:val="none" w:sz="0" w:space="0" w:color="auto"/>
        <w:bottom w:val="none" w:sz="0" w:space="0" w:color="auto"/>
        <w:right w:val="none" w:sz="0" w:space="0" w:color="auto"/>
      </w:divBdr>
    </w:div>
    <w:div w:id="1921867801">
      <w:bodyDiv w:val="1"/>
      <w:marLeft w:val="0"/>
      <w:marRight w:val="0"/>
      <w:marTop w:val="0"/>
      <w:marBottom w:val="0"/>
      <w:divBdr>
        <w:top w:val="none" w:sz="0" w:space="0" w:color="auto"/>
        <w:left w:val="none" w:sz="0" w:space="0" w:color="auto"/>
        <w:bottom w:val="none" w:sz="0" w:space="0" w:color="auto"/>
        <w:right w:val="none" w:sz="0" w:space="0" w:color="auto"/>
      </w:divBdr>
    </w:div>
    <w:div w:id="1928994807">
      <w:bodyDiv w:val="1"/>
      <w:marLeft w:val="0"/>
      <w:marRight w:val="0"/>
      <w:marTop w:val="0"/>
      <w:marBottom w:val="0"/>
      <w:divBdr>
        <w:top w:val="none" w:sz="0" w:space="0" w:color="auto"/>
        <w:left w:val="none" w:sz="0" w:space="0" w:color="auto"/>
        <w:bottom w:val="none" w:sz="0" w:space="0" w:color="auto"/>
        <w:right w:val="none" w:sz="0" w:space="0" w:color="auto"/>
      </w:divBdr>
    </w:div>
    <w:div w:id="1930037421">
      <w:bodyDiv w:val="1"/>
      <w:marLeft w:val="0"/>
      <w:marRight w:val="0"/>
      <w:marTop w:val="0"/>
      <w:marBottom w:val="0"/>
      <w:divBdr>
        <w:top w:val="none" w:sz="0" w:space="0" w:color="auto"/>
        <w:left w:val="none" w:sz="0" w:space="0" w:color="auto"/>
        <w:bottom w:val="none" w:sz="0" w:space="0" w:color="auto"/>
        <w:right w:val="none" w:sz="0" w:space="0" w:color="auto"/>
      </w:divBdr>
    </w:div>
    <w:div w:id="1935287831">
      <w:bodyDiv w:val="1"/>
      <w:marLeft w:val="0"/>
      <w:marRight w:val="0"/>
      <w:marTop w:val="0"/>
      <w:marBottom w:val="0"/>
      <w:divBdr>
        <w:top w:val="none" w:sz="0" w:space="0" w:color="auto"/>
        <w:left w:val="none" w:sz="0" w:space="0" w:color="auto"/>
        <w:bottom w:val="none" w:sz="0" w:space="0" w:color="auto"/>
        <w:right w:val="none" w:sz="0" w:space="0" w:color="auto"/>
      </w:divBdr>
    </w:div>
    <w:div w:id="1935553845">
      <w:bodyDiv w:val="1"/>
      <w:marLeft w:val="0"/>
      <w:marRight w:val="0"/>
      <w:marTop w:val="0"/>
      <w:marBottom w:val="0"/>
      <w:divBdr>
        <w:top w:val="none" w:sz="0" w:space="0" w:color="auto"/>
        <w:left w:val="none" w:sz="0" w:space="0" w:color="auto"/>
        <w:bottom w:val="none" w:sz="0" w:space="0" w:color="auto"/>
        <w:right w:val="none" w:sz="0" w:space="0" w:color="auto"/>
      </w:divBdr>
    </w:div>
    <w:div w:id="1937248445">
      <w:bodyDiv w:val="1"/>
      <w:marLeft w:val="0"/>
      <w:marRight w:val="0"/>
      <w:marTop w:val="0"/>
      <w:marBottom w:val="0"/>
      <w:divBdr>
        <w:top w:val="none" w:sz="0" w:space="0" w:color="auto"/>
        <w:left w:val="none" w:sz="0" w:space="0" w:color="auto"/>
        <w:bottom w:val="none" w:sz="0" w:space="0" w:color="auto"/>
        <w:right w:val="none" w:sz="0" w:space="0" w:color="auto"/>
      </w:divBdr>
    </w:div>
    <w:div w:id="1939170554">
      <w:bodyDiv w:val="1"/>
      <w:marLeft w:val="0"/>
      <w:marRight w:val="0"/>
      <w:marTop w:val="0"/>
      <w:marBottom w:val="0"/>
      <w:divBdr>
        <w:top w:val="none" w:sz="0" w:space="0" w:color="auto"/>
        <w:left w:val="none" w:sz="0" w:space="0" w:color="auto"/>
        <w:bottom w:val="none" w:sz="0" w:space="0" w:color="auto"/>
        <w:right w:val="none" w:sz="0" w:space="0" w:color="auto"/>
      </w:divBdr>
    </w:div>
    <w:div w:id="1948728200">
      <w:bodyDiv w:val="1"/>
      <w:marLeft w:val="0"/>
      <w:marRight w:val="0"/>
      <w:marTop w:val="0"/>
      <w:marBottom w:val="0"/>
      <w:divBdr>
        <w:top w:val="none" w:sz="0" w:space="0" w:color="auto"/>
        <w:left w:val="none" w:sz="0" w:space="0" w:color="auto"/>
        <w:bottom w:val="none" w:sz="0" w:space="0" w:color="auto"/>
        <w:right w:val="none" w:sz="0" w:space="0" w:color="auto"/>
      </w:divBdr>
    </w:div>
    <w:div w:id="1949773858">
      <w:bodyDiv w:val="1"/>
      <w:marLeft w:val="0"/>
      <w:marRight w:val="0"/>
      <w:marTop w:val="0"/>
      <w:marBottom w:val="0"/>
      <w:divBdr>
        <w:top w:val="none" w:sz="0" w:space="0" w:color="auto"/>
        <w:left w:val="none" w:sz="0" w:space="0" w:color="auto"/>
        <w:bottom w:val="none" w:sz="0" w:space="0" w:color="auto"/>
        <w:right w:val="none" w:sz="0" w:space="0" w:color="auto"/>
      </w:divBdr>
    </w:div>
    <w:div w:id="1952274137">
      <w:bodyDiv w:val="1"/>
      <w:marLeft w:val="0"/>
      <w:marRight w:val="0"/>
      <w:marTop w:val="0"/>
      <w:marBottom w:val="0"/>
      <w:divBdr>
        <w:top w:val="none" w:sz="0" w:space="0" w:color="auto"/>
        <w:left w:val="none" w:sz="0" w:space="0" w:color="auto"/>
        <w:bottom w:val="none" w:sz="0" w:space="0" w:color="auto"/>
        <w:right w:val="none" w:sz="0" w:space="0" w:color="auto"/>
      </w:divBdr>
    </w:div>
    <w:div w:id="1953321633">
      <w:bodyDiv w:val="1"/>
      <w:marLeft w:val="0"/>
      <w:marRight w:val="0"/>
      <w:marTop w:val="0"/>
      <w:marBottom w:val="0"/>
      <w:divBdr>
        <w:top w:val="none" w:sz="0" w:space="0" w:color="auto"/>
        <w:left w:val="none" w:sz="0" w:space="0" w:color="auto"/>
        <w:bottom w:val="none" w:sz="0" w:space="0" w:color="auto"/>
        <w:right w:val="none" w:sz="0" w:space="0" w:color="auto"/>
      </w:divBdr>
    </w:div>
    <w:div w:id="1954314665">
      <w:bodyDiv w:val="1"/>
      <w:marLeft w:val="0"/>
      <w:marRight w:val="0"/>
      <w:marTop w:val="0"/>
      <w:marBottom w:val="0"/>
      <w:divBdr>
        <w:top w:val="none" w:sz="0" w:space="0" w:color="auto"/>
        <w:left w:val="none" w:sz="0" w:space="0" w:color="auto"/>
        <w:bottom w:val="none" w:sz="0" w:space="0" w:color="auto"/>
        <w:right w:val="none" w:sz="0" w:space="0" w:color="auto"/>
      </w:divBdr>
    </w:div>
    <w:div w:id="1956135356">
      <w:bodyDiv w:val="1"/>
      <w:marLeft w:val="0"/>
      <w:marRight w:val="0"/>
      <w:marTop w:val="0"/>
      <w:marBottom w:val="0"/>
      <w:divBdr>
        <w:top w:val="none" w:sz="0" w:space="0" w:color="auto"/>
        <w:left w:val="none" w:sz="0" w:space="0" w:color="auto"/>
        <w:bottom w:val="none" w:sz="0" w:space="0" w:color="auto"/>
        <w:right w:val="none" w:sz="0" w:space="0" w:color="auto"/>
      </w:divBdr>
    </w:div>
    <w:div w:id="1956523144">
      <w:bodyDiv w:val="1"/>
      <w:marLeft w:val="0"/>
      <w:marRight w:val="0"/>
      <w:marTop w:val="0"/>
      <w:marBottom w:val="0"/>
      <w:divBdr>
        <w:top w:val="none" w:sz="0" w:space="0" w:color="auto"/>
        <w:left w:val="none" w:sz="0" w:space="0" w:color="auto"/>
        <w:bottom w:val="none" w:sz="0" w:space="0" w:color="auto"/>
        <w:right w:val="none" w:sz="0" w:space="0" w:color="auto"/>
      </w:divBdr>
    </w:div>
    <w:div w:id="1958828477">
      <w:bodyDiv w:val="1"/>
      <w:marLeft w:val="0"/>
      <w:marRight w:val="0"/>
      <w:marTop w:val="0"/>
      <w:marBottom w:val="0"/>
      <w:divBdr>
        <w:top w:val="none" w:sz="0" w:space="0" w:color="auto"/>
        <w:left w:val="none" w:sz="0" w:space="0" w:color="auto"/>
        <w:bottom w:val="none" w:sz="0" w:space="0" w:color="auto"/>
        <w:right w:val="none" w:sz="0" w:space="0" w:color="auto"/>
      </w:divBdr>
    </w:div>
    <w:div w:id="1959602495">
      <w:bodyDiv w:val="1"/>
      <w:marLeft w:val="0"/>
      <w:marRight w:val="0"/>
      <w:marTop w:val="0"/>
      <w:marBottom w:val="0"/>
      <w:divBdr>
        <w:top w:val="none" w:sz="0" w:space="0" w:color="auto"/>
        <w:left w:val="none" w:sz="0" w:space="0" w:color="auto"/>
        <w:bottom w:val="none" w:sz="0" w:space="0" w:color="auto"/>
        <w:right w:val="none" w:sz="0" w:space="0" w:color="auto"/>
      </w:divBdr>
    </w:div>
    <w:div w:id="1960334223">
      <w:bodyDiv w:val="1"/>
      <w:marLeft w:val="0"/>
      <w:marRight w:val="0"/>
      <w:marTop w:val="0"/>
      <w:marBottom w:val="0"/>
      <w:divBdr>
        <w:top w:val="none" w:sz="0" w:space="0" w:color="auto"/>
        <w:left w:val="none" w:sz="0" w:space="0" w:color="auto"/>
        <w:bottom w:val="none" w:sz="0" w:space="0" w:color="auto"/>
        <w:right w:val="none" w:sz="0" w:space="0" w:color="auto"/>
      </w:divBdr>
    </w:div>
    <w:div w:id="1969122938">
      <w:bodyDiv w:val="1"/>
      <w:marLeft w:val="0"/>
      <w:marRight w:val="0"/>
      <w:marTop w:val="0"/>
      <w:marBottom w:val="0"/>
      <w:divBdr>
        <w:top w:val="none" w:sz="0" w:space="0" w:color="auto"/>
        <w:left w:val="none" w:sz="0" w:space="0" w:color="auto"/>
        <w:bottom w:val="none" w:sz="0" w:space="0" w:color="auto"/>
        <w:right w:val="none" w:sz="0" w:space="0" w:color="auto"/>
      </w:divBdr>
    </w:div>
    <w:div w:id="1970241206">
      <w:bodyDiv w:val="1"/>
      <w:marLeft w:val="0"/>
      <w:marRight w:val="0"/>
      <w:marTop w:val="0"/>
      <w:marBottom w:val="0"/>
      <w:divBdr>
        <w:top w:val="none" w:sz="0" w:space="0" w:color="auto"/>
        <w:left w:val="none" w:sz="0" w:space="0" w:color="auto"/>
        <w:bottom w:val="none" w:sz="0" w:space="0" w:color="auto"/>
        <w:right w:val="none" w:sz="0" w:space="0" w:color="auto"/>
      </w:divBdr>
    </w:div>
    <w:div w:id="1973319738">
      <w:bodyDiv w:val="1"/>
      <w:marLeft w:val="0"/>
      <w:marRight w:val="0"/>
      <w:marTop w:val="0"/>
      <w:marBottom w:val="0"/>
      <w:divBdr>
        <w:top w:val="none" w:sz="0" w:space="0" w:color="auto"/>
        <w:left w:val="none" w:sz="0" w:space="0" w:color="auto"/>
        <w:bottom w:val="none" w:sz="0" w:space="0" w:color="auto"/>
        <w:right w:val="none" w:sz="0" w:space="0" w:color="auto"/>
      </w:divBdr>
    </w:div>
    <w:div w:id="1979191125">
      <w:bodyDiv w:val="1"/>
      <w:marLeft w:val="0"/>
      <w:marRight w:val="0"/>
      <w:marTop w:val="0"/>
      <w:marBottom w:val="0"/>
      <w:divBdr>
        <w:top w:val="none" w:sz="0" w:space="0" w:color="auto"/>
        <w:left w:val="none" w:sz="0" w:space="0" w:color="auto"/>
        <w:bottom w:val="none" w:sz="0" w:space="0" w:color="auto"/>
        <w:right w:val="none" w:sz="0" w:space="0" w:color="auto"/>
      </w:divBdr>
    </w:div>
    <w:div w:id="1982423209">
      <w:bodyDiv w:val="1"/>
      <w:marLeft w:val="0"/>
      <w:marRight w:val="0"/>
      <w:marTop w:val="0"/>
      <w:marBottom w:val="0"/>
      <w:divBdr>
        <w:top w:val="none" w:sz="0" w:space="0" w:color="auto"/>
        <w:left w:val="none" w:sz="0" w:space="0" w:color="auto"/>
        <w:bottom w:val="none" w:sz="0" w:space="0" w:color="auto"/>
        <w:right w:val="none" w:sz="0" w:space="0" w:color="auto"/>
      </w:divBdr>
    </w:div>
    <w:div w:id="1983581544">
      <w:bodyDiv w:val="1"/>
      <w:marLeft w:val="0"/>
      <w:marRight w:val="0"/>
      <w:marTop w:val="0"/>
      <w:marBottom w:val="0"/>
      <w:divBdr>
        <w:top w:val="none" w:sz="0" w:space="0" w:color="auto"/>
        <w:left w:val="none" w:sz="0" w:space="0" w:color="auto"/>
        <w:bottom w:val="none" w:sz="0" w:space="0" w:color="auto"/>
        <w:right w:val="none" w:sz="0" w:space="0" w:color="auto"/>
      </w:divBdr>
    </w:div>
    <w:div w:id="1985573667">
      <w:bodyDiv w:val="1"/>
      <w:marLeft w:val="0"/>
      <w:marRight w:val="0"/>
      <w:marTop w:val="0"/>
      <w:marBottom w:val="0"/>
      <w:divBdr>
        <w:top w:val="none" w:sz="0" w:space="0" w:color="auto"/>
        <w:left w:val="none" w:sz="0" w:space="0" w:color="auto"/>
        <w:bottom w:val="none" w:sz="0" w:space="0" w:color="auto"/>
        <w:right w:val="none" w:sz="0" w:space="0" w:color="auto"/>
      </w:divBdr>
    </w:div>
    <w:div w:id="1991208723">
      <w:bodyDiv w:val="1"/>
      <w:marLeft w:val="0"/>
      <w:marRight w:val="0"/>
      <w:marTop w:val="0"/>
      <w:marBottom w:val="0"/>
      <w:divBdr>
        <w:top w:val="none" w:sz="0" w:space="0" w:color="auto"/>
        <w:left w:val="none" w:sz="0" w:space="0" w:color="auto"/>
        <w:bottom w:val="none" w:sz="0" w:space="0" w:color="auto"/>
        <w:right w:val="none" w:sz="0" w:space="0" w:color="auto"/>
      </w:divBdr>
    </w:div>
    <w:div w:id="1996105903">
      <w:bodyDiv w:val="1"/>
      <w:marLeft w:val="0"/>
      <w:marRight w:val="0"/>
      <w:marTop w:val="0"/>
      <w:marBottom w:val="0"/>
      <w:divBdr>
        <w:top w:val="none" w:sz="0" w:space="0" w:color="auto"/>
        <w:left w:val="none" w:sz="0" w:space="0" w:color="auto"/>
        <w:bottom w:val="none" w:sz="0" w:space="0" w:color="auto"/>
        <w:right w:val="none" w:sz="0" w:space="0" w:color="auto"/>
      </w:divBdr>
    </w:div>
    <w:div w:id="2002005386">
      <w:bodyDiv w:val="1"/>
      <w:marLeft w:val="0"/>
      <w:marRight w:val="0"/>
      <w:marTop w:val="0"/>
      <w:marBottom w:val="0"/>
      <w:divBdr>
        <w:top w:val="none" w:sz="0" w:space="0" w:color="auto"/>
        <w:left w:val="none" w:sz="0" w:space="0" w:color="auto"/>
        <w:bottom w:val="none" w:sz="0" w:space="0" w:color="auto"/>
        <w:right w:val="none" w:sz="0" w:space="0" w:color="auto"/>
      </w:divBdr>
    </w:div>
    <w:div w:id="2007396729">
      <w:bodyDiv w:val="1"/>
      <w:marLeft w:val="0"/>
      <w:marRight w:val="0"/>
      <w:marTop w:val="0"/>
      <w:marBottom w:val="0"/>
      <w:divBdr>
        <w:top w:val="none" w:sz="0" w:space="0" w:color="auto"/>
        <w:left w:val="none" w:sz="0" w:space="0" w:color="auto"/>
        <w:bottom w:val="none" w:sz="0" w:space="0" w:color="auto"/>
        <w:right w:val="none" w:sz="0" w:space="0" w:color="auto"/>
      </w:divBdr>
    </w:div>
    <w:div w:id="2008634558">
      <w:bodyDiv w:val="1"/>
      <w:marLeft w:val="0"/>
      <w:marRight w:val="0"/>
      <w:marTop w:val="0"/>
      <w:marBottom w:val="0"/>
      <w:divBdr>
        <w:top w:val="none" w:sz="0" w:space="0" w:color="auto"/>
        <w:left w:val="none" w:sz="0" w:space="0" w:color="auto"/>
        <w:bottom w:val="none" w:sz="0" w:space="0" w:color="auto"/>
        <w:right w:val="none" w:sz="0" w:space="0" w:color="auto"/>
      </w:divBdr>
    </w:div>
    <w:div w:id="2010907617">
      <w:bodyDiv w:val="1"/>
      <w:marLeft w:val="0"/>
      <w:marRight w:val="0"/>
      <w:marTop w:val="0"/>
      <w:marBottom w:val="0"/>
      <w:divBdr>
        <w:top w:val="none" w:sz="0" w:space="0" w:color="auto"/>
        <w:left w:val="none" w:sz="0" w:space="0" w:color="auto"/>
        <w:bottom w:val="none" w:sz="0" w:space="0" w:color="auto"/>
        <w:right w:val="none" w:sz="0" w:space="0" w:color="auto"/>
      </w:divBdr>
    </w:div>
    <w:div w:id="2011516242">
      <w:bodyDiv w:val="1"/>
      <w:marLeft w:val="0"/>
      <w:marRight w:val="0"/>
      <w:marTop w:val="0"/>
      <w:marBottom w:val="0"/>
      <w:divBdr>
        <w:top w:val="none" w:sz="0" w:space="0" w:color="auto"/>
        <w:left w:val="none" w:sz="0" w:space="0" w:color="auto"/>
        <w:bottom w:val="none" w:sz="0" w:space="0" w:color="auto"/>
        <w:right w:val="none" w:sz="0" w:space="0" w:color="auto"/>
      </w:divBdr>
    </w:div>
    <w:div w:id="2018193954">
      <w:bodyDiv w:val="1"/>
      <w:marLeft w:val="0"/>
      <w:marRight w:val="0"/>
      <w:marTop w:val="0"/>
      <w:marBottom w:val="0"/>
      <w:divBdr>
        <w:top w:val="none" w:sz="0" w:space="0" w:color="auto"/>
        <w:left w:val="none" w:sz="0" w:space="0" w:color="auto"/>
        <w:bottom w:val="none" w:sz="0" w:space="0" w:color="auto"/>
        <w:right w:val="none" w:sz="0" w:space="0" w:color="auto"/>
      </w:divBdr>
    </w:div>
    <w:div w:id="2019195351">
      <w:bodyDiv w:val="1"/>
      <w:marLeft w:val="0"/>
      <w:marRight w:val="0"/>
      <w:marTop w:val="0"/>
      <w:marBottom w:val="0"/>
      <w:divBdr>
        <w:top w:val="none" w:sz="0" w:space="0" w:color="auto"/>
        <w:left w:val="none" w:sz="0" w:space="0" w:color="auto"/>
        <w:bottom w:val="none" w:sz="0" w:space="0" w:color="auto"/>
        <w:right w:val="none" w:sz="0" w:space="0" w:color="auto"/>
      </w:divBdr>
    </w:div>
    <w:div w:id="2026134250">
      <w:bodyDiv w:val="1"/>
      <w:marLeft w:val="0"/>
      <w:marRight w:val="0"/>
      <w:marTop w:val="0"/>
      <w:marBottom w:val="0"/>
      <w:divBdr>
        <w:top w:val="none" w:sz="0" w:space="0" w:color="auto"/>
        <w:left w:val="none" w:sz="0" w:space="0" w:color="auto"/>
        <w:bottom w:val="none" w:sz="0" w:space="0" w:color="auto"/>
        <w:right w:val="none" w:sz="0" w:space="0" w:color="auto"/>
      </w:divBdr>
    </w:div>
    <w:div w:id="2027368454">
      <w:bodyDiv w:val="1"/>
      <w:marLeft w:val="0"/>
      <w:marRight w:val="0"/>
      <w:marTop w:val="0"/>
      <w:marBottom w:val="0"/>
      <w:divBdr>
        <w:top w:val="none" w:sz="0" w:space="0" w:color="auto"/>
        <w:left w:val="none" w:sz="0" w:space="0" w:color="auto"/>
        <w:bottom w:val="none" w:sz="0" w:space="0" w:color="auto"/>
        <w:right w:val="none" w:sz="0" w:space="0" w:color="auto"/>
      </w:divBdr>
    </w:div>
    <w:div w:id="2029407898">
      <w:bodyDiv w:val="1"/>
      <w:marLeft w:val="0"/>
      <w:marRight w:val="0"/>
      <w:marTop w:val="0"/>
      <w:marBottom w:val="0"/>
      <w:divBdr>
        <w:top w:val="none" w:sz="0" w:space="0" w:color="auto"/>
        <w:left w:val="none" w:sz="0" w:space="0" w:color="auto"/>
        <w:bottom w:val="none" w:sz="0" w:space="0" w:color="auto"/>
        <w:right w:val="none" w:sz="0" w:space="0" w:color="auto"/>
      </w:divBdr>
    </w:div>
    <w:div w:id="2033215225">
      <w:bodyDiv w:val="1"/>
      <w:marLeft w:val="0"/>
      <w:marRight w:val="0"/>
      <w:marTop w:val="0"/>
      <w:marBottom w:val="0"/>
      <w:divBdr>
        <w:top w:val="none" w:sz="0" w:space="0" w:color="auto"/>
        <w:left w:val="none" w:sz="0" w:space="0" w:color="auto"/>
        <w:bottom w:val="none" w:sz="0" w:space="0" w:color="auto"/>
        <w:right w:val="none" w:sz="0" w:space="0" w:color="auto"/>
      </w:divBdr>
    </w:div>
    <w:div w:id="2033604512">
      <w:bodyDiv w:val="1"/>
      <w:marLeft w:val="0"/>
      <w:marRight w:val="0"/>
      <w:marTop w:val="0"/>
      <w:marBottom w:val="0"/>
      <w:divBdr>
        <w:top w:val="none" w:sz="0" w:space="0" w:color="auto"/>
        <w:left w:val="none" w:sz="0" w:space="0" w:color="auto"/>
        <w:bottom w:val="none" w:sz="0" w:space="0" w:color="auto"/>
        <w:right w:val="none" w:sz="0" w:space="0" w:color="auto"/>
      </w:divBdr>
    </w:div>
    <w:div w:id="2036736016">
      <w:bodyDiv w:val="1"/>
      <w:marLeft w:val="0"/>
      <w:marRight w:val="0"/>
      <w:marTop w:val="0"/>
      <w:marBottom w:val="0"/>
      <w:divBdr>
        <w:top w:val="none" w:sz="0" w:space="0" w:color="auto"/>
        <w:left w:val="none" w:sz="0" w:space="0" w:color="auto"/>
        <w:bottom w:val="none" w:sz="0" w:space="0" w:color="auto"/>
        <w:right w:val="none" w:sz="0" w:space="0" w:color="auto"/>
      </w:divBdr>
    </w:div>
    <w:div w:id="2045592906">
      <w:bodyDiv w:val="1"/>
      <w:marLeft w:val="0"/>
      <w:marRight w:val="0"/>
      <w:marTop w:val="0"/>
      <w:marBottom w:val="0"/>
      <w:divBdr>
        <w:top w:val="none" w:sz="0" w:space="0" w:color="auto"/>
        <w:left w:val="none" w:sz="0" w:space="0" w:color="auto"/>
        <w:bottom w:val="none" w:sz="0" w:space="0" w:color="auto"/>
        <w:right w:val="none" w:sz="0" w:space="0" w:color="auto"/>
      </w:divBdr>
    </w:div>
    <w:div w:id="2046368965">
      <w:bodyDiv w:val="1"/>
      <w:marLeft w:val="0"/>
      <w:marRight w:val="0"/>
      <w:marTop w:val="0"/>
      <w:marBottom w:val="0"/>
      <w:divBdr>
        <w:top w:val="none" w:sz="0" w:space="0" w:color="auto"/>
        <w:left w:val="none" w:sz="0" w:space="0" w:color="auto"/>
        <w:bottom w:val="none" w:sz="0" w:space="0" w:color="auto"/>
        <w:right w:val="none" w:sz="0" w:space="0" w:color="auto"/>
      </w:divBdr>
    </w:div>
    <w:div w:id="2052000603">
      <w:bodyDiv w:val="1"/>
      <w:marLeft w:val="0"/>
      <w:marRight w:val="0"/>
      <w:marTop w:val="0"/>
      <w:marBottom w:val="0"/>
      <w:divBdr>
        <w:top w:val="none" w:sz="0" w:space="0" w:color="auto"/>
        <w:left w:val="none" w:sz="0" w:space="0" w:color="auto"/>
        <w:bottom w:val="none" w:sz="0" w:space="0" w:color="auto"/>
        <w:right w:val="none" w:sz="0" w:space="0" w:color="auto"/>
      </w:divBdr>
    </w:div>
    <w:div w:id="2054112651">
      <w:bodyDiv w:val="1"/>
      <w:marLeft w:val="0"/>
      <w:marRight w:val="0"/>
      <w:marTop w:val="0"/>
      <w:marBottom w:val="0"/>
      <w:divBdr>
        <w:top w:val="none" w:sz="0" w:space="0" w:color="auto"/>
        <w:left w:val="none" w:sz="0" w:space="0" w:color="auto"/>
        <w:bottom w:val="none" w:sz="0" w:space="0" w:color="auto"/>
        <w:right w:val="none" w:sz="0" w:space="0" w:color="auto"/>
      </w:divBdr>
    </w:div>
    <w:div w:id="2055620576">
      <w:bodyDiv w:val="1"/>
      <w:marLeft w:val="0"/>
      <w:marRight w:val="0"/>
      <w:marTop w:val="0"/>
      <w:marBottom w:val="0"/>
      <w:divBdr>
        <w:top w:val="none" w:sz="0" w:space="0" w:color="auto"/>
        <w:left w:val="none" w:sz="0" w:space="0" w:color="auto"/>
        <w:bottom w:val="none" w:sz="0" w:space="0" w:color="auto"/>
        <w:right w:val="none" w:sz="0" w:space="0" w:color="auto"/>
      </w:divBdr>
    </w:div>
    <w:div w:id="2059695611">
      <w:bodyDiv w:val="1"/>
      <w:marLeft w:val="0"/>
      <w:marRight w:val="0"/>
      <w:marTop w:val="0"/>
      <w:marBottom w:val="0"/>
      <w:divBdr>
        <w:top w:val="none" w:sz="0" w:space="0" w:color="auto"/>
        <w:left w:val="none" w:sz="0" w:space="0" w:color="auto"/>
        <w:bottom w:val="none" w:sz="0" w:space="0" w:color="auto"/>
        <w:right w:val="none" w:sz="0" w:space="0" w:color="auto"/>
      </w:divBdr>
    </w:div>
    <w:div w:id="2060661192">
      <w:bodyDiv w:val="1"/>
      <w:marLeft w:val="0"/>
      <w:marRight w:val="0"/>
      <w:marTop w:val="0"/>
      <w:marBottom w:val="0"/>
      <w:divBdr>
        <w:top w:val="none" w:sz="0" w:space="0" w:color="auto"/>
        <w:left w:val="none" w:sz="0" w:space="0" w:color="auto"/>
        <w:bottom w:val="none" w:sz="0" w:space="0" w:color="auto"/>
        <w:right w:val="none" w:sz="0" w:space="0" w:color="auto"/>
      </w:divBdr>
    </w:div>
    <w:div w:id="2062946879">
      <w:bodyDiv w:val="1"/>
      <w:marLeft w:val="0"/>
      <w:marRight w:val="0"/>
      <w:marTop w:val="0"/>
      <w:marBottom w:val="0"/>
      <w:divBdr>
        <w:top w:val="none" w:sz="0" w:space="0" w:color="auto"/>
        <w:left w:val="none" w:sz="0" w:space="0" w:color="auto"/>
        <w:bottom w:val="none" w:sz="0" w:space="0" w:color="auto"/>
        <w:right w:val="none" w:sz="0" w:space="0" w:color="auto"/>
      </w:divBdr>
    </w:div>
    <w:div w:id="2068066110">
      <w:bodyDiv w:val="1"/>
      <w:marLeft w:val="0"/>
      <w:marRight w:val="0"/>
      <w:marTop w:val="0"/>
      <w:marBottom w:val="0"/>
      <w:divBdr>
        <w:top w:val="none" w:sz="0" w:space="0" w:color="auto"/>
        <w:left w:val="none" w:sz="0" w:space="0" w:color="auto"/>
        <w:bottom w:val="none" w:sz="0" w:space="0" w:color="auto"/>
        <w:right w:val="none" w:sz="0" w:space="0" w:color="auto"/>
      </w:divBdr>
    </w:div>
    <w:div w:id="2068138080">
      <w:bodyDiv w:val="1"/>
      <w:marLeft w:val="0"/>
      <w:marRight w:val="0"/>
      <w:marTop w:val="0"/>
      <w:marBottom w:val="0"/>
      <w:divBdr>
        <w:top w:val="none" w:sz="0" w:space="0" w:color="auto"/>
        <w:left w:val="none" w:sz="0" w:space="0" w:color="auto"/>
        <w:bottom w:val="none" w:sz="0" w:space="0" w:color="auto"/>
        <w:right w:val="none" w:sz="0" w:space="0" w:color="auto"/>
      </w:divBdr>
    </w:div>
    <w:div w:id="2072342407">
      <w:bodyDiv w:val="1"/>
      <w:marLeft w:val="0"/>
      <w:marRight w:val="0"/>
      <w:marTop w:val="0"/>
      <w:marBottom w:val="0"/>
      <w:divBdr>
        <w:top w:val="none" w:sz="0" w:space="0" w:color="auto"/>
        <w:left w:val="none" w:sz="0" w:space="0" w:color="auto"/>
        <w:bottom w:val="none" w:sz="0" w:space="0" w:color="auto"/>
        <w:right w:val="none" w:sz="0" w:space="0" w:color="auto"/>
      </w:divBdr>
    </w:div>
    <w:div w:id="2074808311">
      <w:bodyDiv w:val="1"/>
      <w:marLeft w:val="0"/>
      <w:marRight w:val="0"/>
      <w:marTop w:val="0"/>
      <w:marBottom w:val="0"/>
      <w:divBdr>
        <w:top w:val="none" w:sz="0" w:space="0" w:color="auto"/>
        <w:left w:val="none" w:sz="0" w:space="0" w:color="auto"/>
        <w:bottom w:val="none" w:sz="0" w:space="0" w:color="auto"/>
        <w:right w:val="none" w:sz="0" w:space="0" w:color="auto"/>
      </w:divBdr>
    </w:div>
    <w:div w:id="2078016698">
      <w:bodyDiv w:val="1"/>
      <w:marLeft w:val="0"/>
      <w:marRight w:val="0"/>
      <w:marTop w:val="0"/>
      <w:marBottom w:val="0"/>
      <w:divBdr>
        <w:top w:val="none" w:sz="0" w:space="0" w:color="auto"/>
        <w:left w:val="none" w:sz="0" w:space="0" w:color="auto"/>
        <w:bottom w:val="none" w:sz="0" w:space="0" w:color="auto"/>
        <w:right w:val="none" w:sz="0" w:space="0" w:color="auto"/>
      </w:divBdr>
    </w:div>
    <w:div w:id="2079937229">
      <w:bodyDiv w:val="1"/>
      <w:marLeft w:val="0"/>
      <w:marRight w:val="0"/>
      <w:marTop w:val="0"/>
      <w:marBottom w:val="0"/>
      <w:divBdr>
        <w:top w:val="none" w:sz="0" w:space="0" w:color="auto"/>
        <w:left w:val="none" w:sz="0" w:space="0" w:color="auto"/>
        <w:bottom w:val="none" w:sz="0" w:space="0" w:color="auto"/>
        <w:right w:val="none" w:sz="0" w:space="0" w:color="auto"/>
      </w:divBdr>
    </w:div>
    <w:div w:id="2085178773">
      <w:bodyDiv w:val="1"/>
      <w:marLeft w:val="0"/>
      <w:marRight w:val="0"/>
      <w:marTop w:val="0"/>
      <w:marBottom w:val="0"/>
      <w:divBdr>
        <w:top w:val="none" w:sz="0" w:space="0" w:color="auto"/>
        <w:left w:val="none" w:sz="0" w:space="0" w:color="auto"/>
        <w:bottom w:val="none" w:sz="0" w:space="0" w:color="auto"/>
        <w:right w:val="none" w:sz="0" w:space="0" w:color="auto"/>
      </w:divBdr>
    </w:div>
    <w:div w:id="2088722749">
      <w:bodyDiv w:val="1"/>
      <w:marLeft w:val="0"/>
      <w:marRight w:val="0"/>
      <w:marTop w:val="0"/>
      <w:marBottom w:val="0"/>
      <w:divBdr>
        <w:top w:val="none" w:sz="0" w:space="0" w:color="auto"/>
        <w:left w:val="none" w:sz="0" w:space="0" w:color="auto"/>
        <w:bottom w:val="none" w:sz="0" w:space="0" w:color="auto"/>
        <w:right w:val="none" w:sz="0" w:space="0" w:color="auto"/>
      </w:divBdr>
    </w:div>
    <w:div w:id="2089574524">
      <w:bodyDiv w:val="1"/>
      <w:marLeft w:val="0"/>
      <w:marRight w:val="0"/>
      <w:marTop w:val="0"/>
      <w:marBottom w:val="0"/>
      <w:divBdr>
        <w:top w:val="none" w:sz="0" w:space="0" w:color="auto"/>
        <w:left w:val="none" w:sz="0" w:space="0" w:color="auto"/>
        <w:bottom w:val="none" w:sz="0" w:space="0" w:color="auto"/>
        <w:right w:val="none" w:sz="0" w:space="0" w:color="auto"/>
      </w:divBdr>
    </w:div>
    <w:div w:id="2094231174">
      <w:bodyDiv w:val="1"/>
      <w:marLeft w:val="0"/>
      <w:marRight w:val="0"/>
      <w:marTop w:val="0"/>
      <w:marBottom w:val="0"/>
      <w:divBdr>
        <w:top w:val="none" w:sz="0" w:space="0" w:color="auto"/>
        <w:left w:val="none" w:sz="0" w:space="0" w:color="auto"/>
        <w:bottom w:val="none" w:sz="0" w:space="0" w:color="auto"/>
        <w:right w:val="none" w:sz="0" w:space="0" w:color="auto"/>
      </w:divBdr>
    </w:div>
    <w:div w:id="2101218531">
      <w:bodyDiv w:val="1"/>
      <w:marLeft w:val="0"/>
      <w:marRight w:val="0"/>
      <w:marTop w:val="0"/>
      <w:marBottom w:val="0"/>
      <w:divBdr>
        <w:top w:val="none" w:sz="0" w:space="0" w:color="auto"/>
        <w:left w:val="none" w:sz="0" w:space="0" w:color="auto"/>
        <w:bottom w:val="none" w:sz="0" w:space="0" w:color="auto"/>
        <w:right w:val="none" w:sz="0" w:space="0" w:color="auto"/>
      </w:divBdr>
    </w:div>
    <w:div w:id="2102948456">
      <w:bodyDiv w:val="1"/>
      <w:marLeft w:val="0"/>
      <w:marRight w:val="0"/>
      <w:marTop w:val="0"/>
      <w:marBottom w:val="0"/>
      <w:divBdr>
        <w:top w:val="none" w:sz="0" w:space="0" w:color="auto"/>
        <w:left w:val="none" w:sz="0" w:space="0" w:color="auto"/>
        <w:bottom w:val="none" w:sz="0" w:space="0" w:color="auto"/>
        <w:right w:val="none" w:sz="0" w:space="0" w:color="auto"/>
      </w:divBdr>
    </w:div>
    <w:div w:id="2105153515">
      <w:bodyDiv w:val="1"/>
      <w:marLeft w:val="0"/>
      <w:marRight w:val="0"/>
      <w:marTop w:val="0"/>
      <w:marBottom w:val="0"/>
      <w:divBdr>
        <w:top w:val="none" w:sz="0" w:space="0" w:color="auto"/>
        <w:left w:val="none" w:sz="0" w:space="0" w:color="auto"/>
        <w:bottom w:val="none" w:sz="0" w:space="0" w:color="auto"/>
        <w:right w:val="none" w:sz="0" w:space="0" w:color="auto"/>
      </w:divBdr>
    </w:div>
    <w:div w:id="2107919602">
      <w:bodyDiv w:val="1"/>
      <w:marLeft w:val="0"/>
      <w:marRight w:val="0"/>
      <w:marTop w:val="0"/>
      <w:marBottom w:val="0"/>
      <w:divBdr>
        <w:top w:val="none" w:sz="0" w:space="0" w:color="auto"/>
        <w:left w:val="none" w:sz="0" w:space="0" w:color="auto"/>
        <w:bottom w:val="none" w:sz="0" w:space="0" w:color="auto"/>
        <w:right w:val="none" w:sz="0" w:space="0" w:color="auto"/>
      </w:divBdr>
    </w:div>
    <w:div w:id="2111270966">
      <w:bodyDiv w:val="1"/>
      <w:marLeft w:val="0"/>
      <w:marRight w:val="0"/>
      <w:marTop w:val="0"/>
      <w:marBottom w:val="0"/>
      <w:divBdr>
        <w:top w:val="none" w:sz="0" w:space="0" w:color="auto"/>
        <w:left w:val="none" w:sz="0" w:space="0" w:color="auto"/>
        <w:bottom w:val="none" w:sz="0" w:space="0" w:color="auto"/>
        <w:right w:val="none" w:sz="0" w:space="0" w:color="auto"/>
      </w:divBdr>
    </w:div>
    <w:div w:id="2114350880">
      <w:bodyDiv w:val="1"/>
      <w:marLeft w:val="0"/>
      <w:marRight w:val="0"/>
      <w:marTop w:val="0"/>
      <w:marBottom w:val="0"/>
      <w:divBdr>
        <w:top w:val="none" w:sz="0" w:space="0" w:color="auto"/>
        <w:left w:val="none" w:sz="0" w:space="0" w:color="auto"/>
        <w:bottom w:val="none" w:sz="0" w:space="0" w:color="auto"/>
        <w:right w:val="none" w:sz="0" w:space="0" w:color="auto"/>
      </w:divBdr>
    </w:div>
    <w:div w:id="2116947327">
      <w:bodyDiv w:val="1"/>
      <w:marLeft w:val="0"/>
      <w:marRight w:val="0"/>
      <w:marTop w:val="0"/>
      <w:marBottom w:val="0"/>
      <w:divBdr>
        <w:top w:val="none" w:sz="0" w:space="0" w:color="auto"/>
        <w:left w:val="none" w:sz="0" w:space="0" w:color="auto"/>
        <w:bottom w:val="none" w:sz="0" w:space="0" w:color="auto"/>
        <w:right w:val="none" w:sz="0" w:space="0" w:color="auto"/>
      </w:divBdr>
    </w:div>
    <w:div w:id="2120446524">
      <w:bodyDiv w:val="1"/>
      <w:marLeft w:val="0"/>
      <w:marRight w:val="0"/>
      <w:marTop w:val="0"/>
      <w:marBottom w:val="0"/>
      <w:divBdr>
        <w:top w:val="none" w:sz="0" w:space="0" w:color="auto"/>
        <w:left w:val="none" w:sz="0" w:space="0" w:color="auto"/>
        <w:bottom w:val="none" w:sz="0" w:space="0" w:color="auto"/>
        <w:right w:val="none" w:sz="0" w:space="0" w:color="auto"/>
      </w:divBdr>
    </w:div>
    <w:div w:id="2127651245">
      <w:bodyDiv w:val="1"/>
      <w:marLeft w:val="0"/>
      <w:marRight w:val="0"/>
      <w:marTop w:val="0"/>
      <w:marBottom w:val="0"/>
      <w:divBdr>
        <w:top w:val="none" w:sz="0" w:space="0" w:color="auto"/>
        <w:left w:val="none" w:sz="0" w:space="0" w:color="auto"/>
        <w:bottom w:val="none" w:sz="0" w:space="0" w:color="auto"/>
        <w:right w:val="none" w:sz="0" w:space="0" w:color="auto"/>
      </w:divBdr>
    </w:div>
    <w:div w:id="2129424260">
      <w:bodyDiv w:val="1"/>
      <w:marLeft w:val="0"/>
      <w:marRight w:val="0"/>
      <w:marTop w:val="0"/>
      <w:marBottom w:val="0"/>
      <w:divBdr>
        <w:top w:val="none" w:sz="0" w:space="0" w:color="auto"/>
        <w:left w:val="none" w:sz="0" w:space="0" w:color="auto"/>
        <w:bottom w:val="none" w:sz="0" w:space="0" w:color="auto"/>
        <w:right w:val="none" w:sz="0" w:space="0" w:color="auto"/>
      </w:divBdr>
    </w:div>
    <w:div w:id="2132942146">
      <w:bodyDiv w:val="1"/>
      <w:marLeft w:val="0"/>
      <w:marRight w:val="0"/>
      <w:marTop w:val="0"/>
      <w:marBottom w:val="0"/>
      <w:divBdr>
        <w:top w:val="none" w:sz="0" w:space="0" w:color="auto"/>
        <w:left w:val="none" w:sz="0" w:space="0" w:color="auto"/>
        <w:bottom w:val="none" w:sz="0" w:space="0" w:color="auto"/>
        <w:right w:val="none" w:sz="0" w:space="0" w:color="auto"/>
      </w:divBdr>
    </w:div>
    <w:div w:id="2140107533">
      <w:bodyDiv w:val="1"/>
      <w:marLeft w:val="0"/>
      <w:marRight w:val="0"/>
      <w:marTop w:val="0"/>
      <w:marBottom w:val="0"/>
      <w:divBdr>
        <w:top w:val="none" w:sz="0" w:space="0" w:color="auto"/>
        <w:left w:val="none" w:sz="0" w:space="0" w:color="auto"/>
        <w:bottom w:val="none" w:sz="0" w:space="0" w:color="auto"/>
        <w:right w:val="none" w:sz="0" w:space="0" w:color="auto"/>
      </w:divBdr>
    </w:div>
    <w:div w:id="214515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lp.wa.gov.au/legislation/statutes.nsf/main_mrtitle_13791_homepage.html" TargetMode="External"/><Relationship Id="rId21" Type="http://schemas.openxmlformats.org/officeDocument/2006/relationships/hyperlink" Target="https://www.ccyp.wa.gov.au/media/2220/our-approach-and-priorities-final-lr2.pdf" TargetMode="External"/><Relationship Id="rId42" Type="http://schemas.openxmlformats.org/officeDocument/2006/relationships/hyperlink" Target="http://www.dlgc.wa.gov.au/Publications/Pages/Seniors-Strategic-Planning-Framework.aspx" TargetMode="External"/><Relationship Id="rId63" Type="http://schemas.openxmlformats.org/officeDocument/2006/relationships/hyperlink" Target="http://www.health.gov.au/internet/main/publishing.nsf/Content/health-pubhlth-strateg-drugs-alcohol-index.htm" TargetMode="External"/><Relationship Id="rId84" Type="http://schemas.openxmlformats.org/officeDocument/2006/relationships/chart" Target="charts/chart9.xml"/><Relationship Id="rId138" Type="http://schemas.openxmlformats.org/officeDocument/2006/relationships/hyperlink" Target="http://content.webarchive.nla.gov.au/gov/wayback/20141215061219/http://www.health.gov.au/internet/main/publishing.nsf/Content/66EC52273873D375CA257BF0001F3FED/$File/stratal3.pdf" TargetMode="External"/><Relationship Id="rId159" Type="http://schemas.openxmlformats.org/officeDocument/2006/relationships/hyperlink" Target="http://www.aihw.gov.au/WorkArea/DownloadAsset.aspx?id=10737422837" TargetMode="External"/><Relationship Id="rId170" Type="http://schemas.openxmlformats.org/officeDocument/2006/relationships/hyperlink" Target="http://www.ncbi.nlm.nih.gov/pubmed/16106273" TargetMode="External"/><Relationship Id="rId191" Type="http://schemas.openxmlformats.org/officeDocument/2006/relationships/hyperlink" Target="http://www.abs.gov.au/ausstats/abs@.nsf/mf/4727.0.55.001" TargetMode="External"/><Relationship Id="rId205" Type="http://schemas.openxmlformats.org/officeDocument/2006/relationships/hyperlink" Target="http://www.who.int/ageing/publications/Falls_prevention7March.pdf" TargetMode="External"/><Relationship Id="rId226" Type="http://schemas.openxmlformats.org/officeDocument/2006/relationships/hyperlink" Target="http://www.aihw.gov.au/WorkArea/DownloadAsset.aspx?id=60129549848" TargetMode="External"/><Relationship Id="rId247" Type="http://schemas.openxmlformats.org/officeDocument/2006/relationships/hyperlink" Target="http://www.mja.com.au/public/issues/194_09_020511/win10641_fm.html" TargetMode="External"/><Relationship Id="rId107" Type="http://schemas.openxmlformats.org/officeDocument/2006/relationships/hyperlink" Target="http://www.mentalhealth.wa.gov.au/Libraries/pdf_docs/Mental_Health_Commission_strategic_plan_2020.sflb.ashx" TargetMode="External"/><Relationship Id="rId11" Type="http://schemas.openxmlformats.org/officeDocument/2006/relationships/hyperlink" Target="http://ww2.health.wa.gov.au/Improving-WA-Health/About-Aboriginal-Health/Aboriginal-Cultural-Learning-Framework-2012-2016" TargetMode="External"/><Relationship Id="rId32" Type="http://schemas.openxmlformats.org/officeDocument/2006/relationships/hyperlink" Target="http://www.health.gov.au/internet/main/publishing.nsf/content/7E7E9140A3D3A3BCCA257140007AB32B/%24File/stratal3.pdf" TargetMode="External"/><Relationship Id="rId53" Type="http://schemas.openxmlformats.org/officeDocument/2006/relationships/hyperlink" Target="https://infrastructure.gov.au/infrastructure/pab/files/Our_Cities_National_Urban_Policy_Paper_2011.pdf" TargetMode="External"/><Relationship Id="rId74" Type="http://schemas.openxmlformats.org/officeDocument/2006/relationships/hyperlink" Target="http://infrastructure.gov.au/roads/safety/national_road_safety_strategy/index.aspx" TargetMode="External"/><Relationship Id="rId128" Type="http://schemas.openxmlformats.org/officeDocument/2006/relationships/hyperlink" Target="http://www.health.wa.gov.au/docreg/Reports/Diseases/Cancer/WACR_Cancer_incidence_mortality_main_2013.pdf" TargetMode="External"/><Relationship Id="rId149" Type="http://schemas.openxmlformats.org/officeDocument/2006/relationships/hyperlink" Target="http://www.ifpri.org/publication/global-nutrition-report-2015" TargetMode="External"/><Relationship Id="rId5" Type="http://schemas.openxmlformats.org/officeDocument/2006/relationships/settings" Target="settings.xml"/><Relationship Id="rId95" Type="http://schemas.openxmlformats.org/officeDocument/2006/relationships/chart" Target="charts/chart20.xml"/><Relationship Id="rId160" Type="http://schemas.openxmlformats.org/officeDocument/2006/relationships/hyperlink" Target="http://www.ncbi.nlm.nih.gov/pubmed/23253872" TargetMode="External"/><Relationship Id="rId181" Type="http://schemas.openxmlformats.org/officeDocument/2006/relationships/hyperlink" Target="http://ww2.health.wa.gov.au/~/media/Files/Corporate/Reports%20and%20publications/Population%20surveys/13032-nutrition-monitoring-survey-series-2012.ashx" TargetMode="External"/><Relationship Id="rId216" Type="http://schemas.openxmlformats.org/officeDocument/2006/relationships/hyperlink" Target="http://www.cdc.gov/growthcharts/cdc_charts.htm" TargetMode="External"/><Relationship Id="rId237" Type="http://schemas.openxmlformats.org/officeDocument/2006/relationships/hyperlink" Target="http://www.health.nsw.gov.au/pubs/2008/protecting_children.html" TargetMode="External"/><Relationship Id="rId258" Type="http://schemas.openxmlformats.org/officeDocument/2006/relationships/hyperlink" Target="http://www.dcp.wa.gov.au/Documents/WA%20FDV%20Prevention%20Strategy%20to%202022.pdf" TargetMode="External"/><Relationship Id="rId22" Type="http://schemas.openxmlformats.org/officeDocument/2006/relationships/hyperlink" Target="http://www.healthnetworks.health.wa.gov.au/docs/1112_WAPrimaryHealthCareStrategy.pdf" TargetMode="External"/><Relationship Id="rId43" Type="http://schemas.openxmlformats.org/officeDocument/2006/relationships/hyperlink" Target="http://www.planning.wa.gov.au/publications/826.asp" TargetMode="External"/><Relationship Id="rId64" Type="http://schemas.openxmlformats.org/officeDocument/2006/relationships/hyperlink" Target="http://www.nationaldrugstrategy.gov.au/internet/drugstrategy/publishing.nsf/Content/nds" TargetMode="External"/><Relationship Id="rId118" Type="http://schemas.openxmlformats.org/officeDocument/2006/relationships/hyperlink" Target="http://meteor.aihw.gov.au/content/index.phtml/itemId/598643" TargetMode="External"/><Relationship Id="rId139" Type="http://schemas.openxmlformats.org/officeDocument/2006/relationships/hyperlink" Target="http://www.aihw.gov.au/publication-detail/?id=10737419587" TargetMode="External"/><Relationship Id="rId85" Type="http://schemas.openxmlformats.org/officeDocument/2006/relationships/chart" Target="charts/chart10.xml"/><Relationship Id="rId150" Type="http://schemas.openxmlformats.org/officeDocument/2006/relationships/hyperlink" Target="http://www.abs.gov.au/ausstats/abs@.nsf/Lookup/by%20Subject/4364.0.55.009~2011-12~Main%20Features~Western%20Australia%20~7" TargetMode="External"/><Relationship Id="rId171" Type="http://schemas.openxmlformats.org/officeDocument/2006/relationships/hyperlink" Target="http://www.fao.org/3/a-i4646e.pdf" TargetMode="External"/><Relationship Id="rId192" Type="http://schemas.openxmlformats.org/officeDocument/2006/relationships/hyperlink" Target="http://www.abs.gov.au/ausstats/abs@.nsf/mf/4159.0" TargetMode="External"/><Relationship Id="rId206" Type="http://schemas.openxmlformats.org/officeDocument/2006/relationships/hyperlink" Target="http://www.health.gov.au/internet/main/publishing.nsf/Content/health-pubhlth-strateg-phys-act-guidelines/$File/DEB-PAR-Adults-18-64years.pdf" TargetMode="External"/><Relationship Id="rId227" Type="http://schemas.openxmlformats.org/officeDocument/2006/relationships/hyperlink" Target="http://ndri.curtin.edu.au/local/docs/pdf/publications/R223.pdf" TargetMode="External"/><Relationship Id="rId248" Type="http://schemas.openxmlformats.org/officeDocument/2006/relationships/hyperlink" Target="http://www.who.int/cardiovascular_diseases/guidelines/Full%20text.pdf" TargetMode="External"/><Relationship Id="rId12" Type="http://schemas.openxmlformats.org/officeDocument/2006/relationships/hyperlink" Target="http://www.mentalhealth.wa.gov.au/ThePlan.aspx" TargetMode="External"/><Relationship Id="rId33" Type="http://schemas.openxmlformats.org/officeDocument/2006/relationships/hyperlink" Target="http://www.health.gov.au/internet/main/publishing.nsf/content/7E7E9140A3D3A3BCCA257140007AB32B/%24File/stratal3.pdf" TargetMode="External"/><Relationship Id="rId108" Type="http://schemas.openxmlformats.org/officeDocument/2006/relationships/hyperlink" Target="http://www.bmj.com/content/346/bmj.f2539" TargetMode="External"/><Relationship Id="rId129" Type="http://schemas.openxmlformats.org/officeDocument/2006/relationships/hyperlink" Target="http://www.ncbi.nlm.nih.gov/pmc/articles/PMC3252065/" TargetMode="External"/><Relationship Id="rId54" Type="http://schemas.openxmlformats.org/officeDocument/2006/relationships/hyperlink" Target="https://www.nhmrc.gov.au/guidelines-publications/n57" TargetMode="External"/><Relationship Id="rId75" Type="http://schemas.openxmlformats.org/officeDocument/2006/relationships/hyperlink" Target="http://www.watersafety.com.au/AustralianWaterSafetyStrategy/2016-2020Strategy.aspx" TargetMode="External"/><Relationship Id="rId96" Type="http://schemas.openxmlformats.org/officeDocument/2006/relationships/hyperlink" Target="http://www.aihw.gov.au/WorkArea/DownloadAsset.aspx?id=60129548150" TargetMode="External"/><Relationship Id="rId140" Type="http://schemas.openxmlformats.org/officeDocument/2006/relationships/hyperlink" Target="http://www.health.gov.au/internet/preventativehealth/publishing.nsf/content/a06c2fcf439ecda1ca2574dd0081e40c/$file/discussion-28oct.pdf" TargetMode="External"/><Relationship Id="rId161" Type="http://schemas.openxmlformats.org/officeDocument/2006/relationships/hyperlink" Target="http://www.who.int/dietphysicalactivity/publications/recsmarketing/en/" TargetMode="External"/><Relationship Id="rId182" Type="http://schemas.openxmlformats.org/officeDocument/2006/relationships/hyperlink" Target="http://www.sciencedirect.com/science/article/pii/S0002822311001350" TargetMode="External"/><Relationship Id="rId217" Type="http://schemas.openxmlformats.org/officeDocument/2006/relationships/hyperlink" Target="http://www.ncbi.nlm.nih.gov/pubmed/18331423" TargetMode="External"/><Relationship Id="rId6" Type="http://schemas.openxmlformats.org/officeDocument/2006/relationships/webSettings" Target="webSettings.xml"/><Relationship Id="rId238" Type="http://schemas.openxmlformats.org/officeDocument/2006/relationships/hyperlink" Target="http://www.tobaccolaws.sa.gov.au/Default.aspx?tabid=90" TargetMode="External"/><Relationship Id="rId259" Type="http://schemas.openxmlformats.org/officeDocument/2006/relationships/hyperlink" Target="http://ww2.health.wa.gov.au/Reports-and-publications/Annual-report" TargetMode="External"/><Relationship Id="rId23" Type="http://schemas.openxmlformats.org/officeDocument/2006/relationships/hyperlink" Target="http://www.health.gov.au/internet/main/publishing.nsf/Content/nsfcc" TargetMode="External"/><Relationship Id="rId28" Type="http://schemas.openxmlformats.org/officeDocument/2006/relationships/hyperlink" Target="http://www.health.gov.au/internet/preventativehealth/publishing.nsf/Content/nphs-roadmap" TargetMode="External"/><Relationship Id="rId49" Type="http://schemas.openxmlformats.org/officeDocument/2006/relationships/hyperlink" Target="http://www.transport.wa.gov.au/mediaFiles/active-transport/AT_CYC_P_WABN_Plan.pdf" TargetMode="External"/><Relationship Id="rId114" Type="http://schemas.openxmlformats.org/officeDocument/2006/relationships/hyperlink" Target="http://ww2.health.wa.gov.au/~/media/Files/Corporate/Reports%20and%20publications/Population%20surveys/Health-and-Wellbeing-of-Adults-in-Western-Australia-2015-Overview-and-Trends.ashx" TargetMode="External"/><Relationship Id="rId119" Type="http://schemas.openxmlformats.org/officeDocument/2006/relationships/hyperlink" Target="http://www.abs.gov.au/AUSSTATS/abs@.nsf/DetailsPage/3302.0.55.0012012-2014?OpenDocument" TargetMode="External"/><Relationship Id="rId44" Type="http://schemas.openxmlformats.org/officeDocument/2006/relationships/hyperlink" Target="http://planning.wa.gov.au/650.asp" TargetMode="External"/><Relationship Id="rId60" Type="http://schemas.openxmlformats.org/officeDocument/2006/relationships/hyperlink" Target="http://www.dao.health.wa.gov.au/Informationandresources/Nationalandstatepolicies.aspx" TargetMode="External"/><Relationship Id="rId65" Type="http://schemas.openxmlformats.org/officeDocument/2006/relationships/hyperlink" Target="http://www.nationaldrugstrategy.gov.au/internet/drugstrategy/Publishing.nsf/content/draftnds" TargetMode="External"/><Relationship Id="rId81" Type="http://schemas.openxmlformats.org/officeDocument/2006/relationships/chart" Target="charts/chart6.xml"/><Relationship Id="rId86" Type="http://schemas.openxmlformats.org/officeDocument/2006/relationships/chart" Target="charts/chart11.xml"/><Relationship Id="rId130" Type="http://schemas.openxmlformats.org/officeDocument/2006/relationships/hyperlink" Target="http://www.ncbi.nlm.nih.gov/pmc/articles/PMC4606779/" TargetMode="External"/><Relationship Id="rId135" Type="http://schemas.openxmlformats.org/officeDocument/2006/relationships/hyperlink" Target="http://dx.doi.org/10.1016/s0168-8510(96)00847-0" TargetMode="External"/><Relationship Id="rId151" Type="http://schemas.openxmlformats.org/officeDocument/2006/relationships/hyperlink" Target="http://www.abs.gov.au/ausstats/abs@.nsf/mf/4364.0.55.012" TargetMode="External"/><Relationship Id="rId156" Type="http://schemas.openxmlformats.org/officeDocument/2006/relationships/hyperlink" Target="http://eprints.qut.edu.au/93234/" TargetMode="External"/><Relationship Id="rId177" Type="http://schemas.openxmlformats.org/officeDocument/2006/relationships/hyperlink" Target="http://www.ncbi.nlm.nih.gov/pubmed/12270018" TargetMode="External"/><Relationship Id="rId198" Type="http://schemas.openxmlformats.org/officeDocument/2006/relationships/hyperlink" Target="http://dx.doi.org/10.1016/j.amepre.2004.10.018" TargetMode="External"/><Relationship Id="rId172" Type="http://schemas.openxmlformats.org/officeDocument/2006/relationships/hyperlink" Target="http://www.anglicare.org.au/sites/default/files/public/Anglicare_WTIETE_VOLUME%202%20FA.pdf" TargetMode="External"/><Relationship Id="rId193" Type="http://schemas.openxmlformats.org/officeDocument/2006/relationships/hyperlink" Target="http://www.health.gov.au/internet/preventativehealth/publishing.nsf/Content/0FBE203C1C547A82CA257529000231BF/$File/commpaper-obes-env-garrard.pdf" TargetMode="External"/><Relationship Id="rId202" Type="http://schemas.openxmlformats.org/officeDocument/2006/relationships/hyperlink" Target="http://www.ncbi.nlm.nih.gov/pubmed/21128761" TargetMode="External"/><Relationship Id="rId207" Type="http://schemas.openxmlformats.org/officeDocument/2006/relationships/hyperlink" Target="http://www.worldobesity.org/what-we-do/lancetcommission/lancet-background/" TargetMode="External"/><Relationship Id="rId223" Type="http://schemas.openxmlformats.org/officeDocument/2006/relationships/hyperlink" Target="http://www.nhmrc.gov.au/guidelines-publications/n57" TargetMode="External"/><Relationship Id="rId228" Type="http://schemas.openxmlformats.org/officeDocument/2006/relationships/hyperlink" Target="http://www.aihw.gov.au/publication-detail/?id=%2060129549469&amp;tab=3" TargetMode="External"/><Relationship Id="rId244" Type="http://schemas.openxmlformats.org/officeDocument/2006/relationships/hyperlink" Target="http://www.dao.health.wa.gov.au/Informationandresources/Publicationsandresources/Researchandstatistics/Statistics/AustralianSchoolStudentsAlcoholandDrugsurvey.aspx" TargetMode="External"/><Relationship Id="rId249" Type="http://schemas.openxmlformats.org/officeDocument/2006/relationships/hyperlink" Target="http://www.health.gov.au/internet/preventativehealth/publishing.nsf/Content/09C94C0F1B9799F5CA2574DD0081E770/$File/alcohol-jul09.pdf" TargetMode="External"/><Relationship Id="rId13" Type="http://schemas.openxmlformats.org/officeDocument/2006/relationships/hyperlink" Target="http://www.dao.health.wa.gov.au/DesktopModules/Bring2mind/DMX/Download.aspx?Command=Core_Download&amp;EntryId=538&amp;PortalId=0&amp;TabId=211" TargetMode="External"/><Relationship Id="rId18" Type="http://schemas.openxmlformats.org/officeDocument/2006/relationships/hyperlink" Target="http://www.healthnetworks.health.wa.gov.au/docs/1112_ChronicHealthConditionsFramework.pdf" TargetMode="External"/><Relationship Id="rId39" Type="http://schemas.openxmlformats.org/officeDocument/2006/relationships/hyperlink" Target="http://www.health.gov.au/internet/main/publishing.nsf/Content/aust-breastfeeding-strategy-2010-2015" TargetMode="External"/><Relationship Id="rId109" Type="http://schemas.openxmlformats.org/officeDocument/2006/relationships/hyperlink" Target="http://public-health.uq.edu.au/filething/get/1836/ACE-Prevention_final_report.pdf" TargetMode="External"/><Relationship Id="rId260" Type="http://schemas.openxmlformats.org/officeDocument/2006/relationships/hyperlink" Target="http://www.public.health.wa.gov.au/2/1770/2/research_and_evaluation_framework.pm" TargetMode="External"/><Relationship Id="rId265" Type="http://schemas.openxmlformats.org/officeDocument/2006/relationships/theme" Target="theme/theme1.xml"/><Relationship Id="rId34" Type="http://schemas.openxmlformats.org/officeDocument/2006/relationships/hyperlink" Target="http://www.health.gov.au/internet/main/publishing.nsf/Content/nsfcc" TargetMode="External"/><Relationship Id="rId50" Type="http://schemas.openxmlformats.org/officeDocument/2006/relationships/hyperlink" Target="https://heartfoundation.org.au/images/uploads/publications/Blueprint-for-an-active-Australia-second-edition.pdf" TargetMode="External"/><Relationship Id="rId55" Type="http://schemas.openxmlformats.org/officeDocument/2006/relationships/hyperlink" Target="http://www.who.int/end-childhood-obesity/en/" TargetMode="External"/><Relationship Id="rId76" Type="http://schemas.openxmlformats.org/officeDocument/2006/relationships/chart" Target="charts/chart1.xml"/><Relationship Id="rId97" Type="http://schemas.openxmlformats.org/officeDocument/2006/relationships/hyperlink" Target="http://www.aihw.gov.au/publication-detail/?id=60129555173" TargetMode="External"/><Relationship Id="rId104" Type="http://schemas.openxmlformats.org/officeDocument/2006/relationships/hyperlink" Target="http://www.abs.gov.au/ausstats/abs@.nsf/mf/4727.0.55.001" TargetMode="External"/><Relationship Id="rId120" Type="http://schemas.openxmlformats.org/officeDocument/2006/relationships/hyperlink" Target="http://www.abs.gov.au/AUSSTATS/abs@.nsf/DetailsPage/3303.02014?OpenDocument" TargetMode="External"/><Relationship Id="rId125" Type="http://schemas.openxmlformats.org/officeDocument/2006/relationships/hyperlink" Target="http://www.dao.health.wa.gov.au/DesktopModules/Bring2mind/DMX/Download.aspx?Command=Core_Download&amp;EntryId=1129&amp;PortalId=0&amp;TabId=211" TargetMode="External"/><Relationship Id="rId141" Type="http://schemas.openxmlformats.org/officeDocument/2006/relationships/hyperlink" Target="http://www.health.vic.gov.au/archive/archive2014/nphp/publications/strategies/chrondis-bgpaper.pdf" TargetMode="External"/><Relationship Id="rId146" Type="http://schemas.openxmlformats.org/officeDocument/2006/relationships/hyperlink" Target="http://www.who.int/nmh/events/ncd_action_plan/en/" TargetMode="External"/><Relationship Id="rId167" Type="http://schemas.openxmlformats.org/officeDocument/2006/relationships/hyperlink" Target="http://www.health.gov.au/internet/main/publishing.nsf/Content/6FD59347DD67ED8FCA257BF0001CFD1E/$File/Breastfeeding_strat1015.pdf" TargetMode="External"/><Relationship Id="rId188" Type="http://schemas.openxmlformats.org/officeDocument/2006/relationships/hyperlink" Target="http://www.ncbi.nlm.nih.gov/pmc/articles/PMC4642382/" TargetMode="External"/><Relationship Id="rId7" Type="http://schemas.openxmlformats.org/officeDocument/2006/relationships/footnotes" Target="footnotes.xml"/><Relationship Id="rId71" Type="http://schemas.openxmlformats.org/officeDocument/2006/relationships/hyperlink" Target="http://www.safeworkaustralia.gov.au/sites/SWA/AboutSafeWorkAustralia/WhatWeDo/Publications/Pages/Australian-Work-Health-and-Safety-Strategy-2012-2022.aspx" TargetMode="External"/><Relationship Id="rId92" Type="http://schemas.openxmlformats.org/officeDocument/2006/relationships/chart" Target="charts/chart17.xml"/><Relationship Id="rId162" Type="http://schemas.openxmlformats.org/officeDocument/2006/relationships/hyperlink" Target="http://www.ncbi.nlm.nih.gov/pubmed/24452237" TargetMode="External"/><Relationship Id="rId183" Type="http://schemas.openxmlformats.org/officeDocument/2006/relationships/hyperlink" Target="http://www.andjrnl.org/article/S2212-2672(15)01812-2/abstract" TargetMode="External"/><Relationship Id="rId213" Type="http://schemas.openxmlformats.org/officeDocument/2006/relationships/hyperlink" Target="http://www.euro.who.int/en/publications/abstracts/using-price-policies-to-promote-healthier-diets-2015" TargetMode="External"/><Relationship Id="rId218" Type="http://schemas.openxmlformats.org/officeDocument/2006/relationships/hyperlink" Target="http://www.ncbi.nlm.nih.gov/pubmed/10340798" TargetMode="External"/><Relationship Id="rId234" Type="http://schemas.openxmlformats.org/officeDocument/2006/relationships/hyperlink" Target="http://dx.doi.org/10.5694/mja15.00464" TargetMode="External"/><Relationship Id="rId239" Type="http://schemas.openxmlformats.org/officeDocument/2006/relationships/hyperlink" Target="http://ww2.health.wa.gov.au/~/media/Files/Corporate/general%20documents/Tobacco/PDF/2015-Tobacco-retailer-compliance-survey-final.ashx" TargetMode="External"/><Relationship Id="rId2" Type="http://schemas.openxmlformats.org/officeDocument/2006/relationships/numbering" Target="numbering.xml"/><Relationship Id="rId29" Type="http://schemas.openxmlformats.org/officeDocument/2006/relationships/hyperlink" Target="http://www.health.gov.au/internet/preventativehealth/publishing.nsf/Content/nphs-roadmap" TargetMode="External"/><Relationship Id="rId250" Type="http://schemas.openxmlformats.org/officeDocument/2006/relationships/hyperlink" Target="http://www.ncbi.nlm.nih.gov/pubmed/16203346" TargetMode="External"/><Relationship Id="rId255" Type="http://schemas.openxmlformats.org/officeDocument/2006/relationships/hyperlink" Target="http://www.kidsafewa.com.au/_assets/files/KidsafeWAChildhoodInjuryReport.pdf" TargetMode="External"/><Relationship Id="rId24" Type="http://schemas.openxmlformats.org/officeDocument/2006/relationships/image" Target="media/image1.png"/><Relationship Id="rId40" Type="http://schemas.openxmlformats.org/officeDocument/2006/relationships/hyperlink" Target="http://www.health.gov.au/internet/main/publishing.nsf/Content/aust-breastfeeding-strategy-2010-2015" TargetMode="External"/><Relationship Id="rId45" Type="http://schemas.openxmlformats.org/officeDocument/2006/relationships/hyperlink" Target="http://www.transport.wa.gov.au/projects/public-transport-plan-2031.asp" TargetMode="External"/><Relationship Id="rId66" Type="http://schemas.openxmlformats.org/officeDocument/2006/relationships/hyperlink" Target="http://www.nhmrc.gov.au/publications/synopses/ds10syn.htm" TargetMode="External"/><Relationship Id="rId87" Type="http://schemas.openxmlformats.org/officeDocument/2006/relationships/chart" Target="charts/chart12.xml"/><Relationship Id="rId110" Type="http://schemas.openxmlformats.org/officeDocument/2006/relationships/hyperlink" Target="http://www.aihw.gov.au/WorkArea/DownloadAsset.aspx?id=10737423340" TargetMode="External"/><Relationship Id="rId115" Type="http://schemas.openxmlformats.org/officeDocument/2006/relationships/hyperlink" Target="http://ww2.health.wa.gov.au/~/media/Files/Corporate/Reports%20and%20publications/Population%20surveys/Health-wellbeing-Children-WA-2014-OandT.ashx" TargetMode="External"/><Relationship Id="rId131" Type="http://schemas.openxmlformats.org/officeDocument/2006/relationships/hyperlink" Target="http://www.cancerwa.asn.au/resources/2010-05-25-Make-Smoking-History-10th-Anniversary-Book.pdf" TargetMode="External"/><Relationship Id="rId136" Type="http://schemas.openxmlformats.org/officeDocument/2006/relationships/hyperlink" Target="http://www.bvsde.paho.org/bvsacd/cd64/capbuild.pdf" TargetMode="External"/><Relationship Id="rId157" Type="http://schemas.openxmlformats.org/officeDocument/2006/relationships/hyperlink" Target="http://link.springer.com/article/10.1007/s13679-014-0092-0" TargetMode="External"/><Relationship Id="rId178" Type="http://schemas.openxmlformats.org/officeDocument/2006/relationships/hyperlink" Target="http://www.ncbi.nlm.nih.gov/pubmed/12372160" TargetMode="External"/><Relationship Id="rId61" Type="http://schemas.openxmlformats.org/officeDocument/2006/relationships/hyperlink" Target="http://www.mentalhealth.wa.gov.au/ThePlan.aspx" TargetMode="External"/><Relationship Id="rId82" Type="http://schemas.openxmlformats.org/officeDocument/2006/relationships/chart" Target="charts/chart7.xml"/><Relationship Id="rId152" Type="http://schemas.openxmlformats.org/officeDocument/2006/relationships/hyperlink" Target="http://www.abs.gov.au/ausstats/abs@.nsf/mf/4364.0.55.011" TargetMode="External"/><Relationship Id="rId173" Type="http://schemas.openxmlformats.org/officeDocument/2006/relationships/hyperlink" Target="http://sydney.edu.au/science/molecular_bioscience/cphn/pdfs/food_security.pdf" TargetMode="External"/><Relationship Id="rId194" Type="http://schemas.openxmlformats.org/officeDocument/2006/relationships/hyperlink" Target="http://heartfoundation.org.au/images/uploads/publications/Blueprint-for-an-active-Australia-second-edition.pdf" TargetMode="External"/><Relationship Id="rId199" Type="http://schemas.openxmlformats.org/officeDocument/2006/relationships/hyperlink" Target="http://dx.doi.org/10.1186/1479-5868-5-34" TargetMode="External"/><Relationship Id="rId203" Type="http://schemas.openxmlformats.org/officeDocument/2006/relationships/hyperlink" Target="http://www.annualreviews.org/doi/abs/10.1146/annurev.pu.08.050187.001345" TargetMode="External"/><Relationship Id="rId208" Type="http://schemas.openxmlformats.org/officeDocument/2006/relationships/hyperlink" Target="http://www.abs.gov.au/AUSSTATS/abs@.nsf/DetailsPage/4364.0.55.0092011-12?OpenDocument" TargetMode="External"/><Relationship Id="rId229" Type="http://schemas.openxmlformats.org/officeDocument/2006/relationships/hyperlink" Target="http://www.tobaccoinaustralia.org.au/chapter-3-health-effects" TargetMode="External"/><Relationship Id="rId19" Type="http://schemas.openxmlformats.org/officeDocument/2006/relationships/hyperlink" Target="http://www.healthnetworks.health.wa.gov.au/docs/1112_CCSM_Strategic_Framework.pdf" TargetMode="External"/><Relationship Id="rId224" Type="http://schemas.openxmlformats.org/officeDocument/2006/relationships/hyperlink" Target="http://dx.doi.org/10.1186/s12916-015-0281-z" TargetMode="External"/><Relationship Id="rId240" Type="http://schemas.openxmlformats.org/officeDocument/2006/relationships/hyperlink" Target="http://www.nhmrc.gov.au/_files_nhmrc/publications/attachments/ds13_nhmrc_ceo_statement_ecigarettes.pdf" TargetMode="External"/><Relationship Id="rId245" Type="http://schemas.openxmlformats.org/officeDocument/2006/relationships/hyperlink" Target="http://www.nhmrc.gov.au/publications/synopses/ds10syn.htm" TargetMode="External"/><Relationship Id="rId261" Type="http://schemas.openxmlformats.org/officeDocument/2006/relationships/hyperlink" Target="http://www.saxinstitute.org.au/wp-content/uploads/ANPHA-Research-Strategy-2013-18.pdf" TargetMode="External"/><Relationship Id="rId14" Type="http://schemas.openxmlformats.org/officeDocument/2006/relationships/hyperlink" Target="http://www.mentalhealth.wa.gov.au/mentalhealth_changes/wa_suicide_prevention_strategy.aspx" TargetMode="External"/><Relationship Id="rId30" Type="http://schemas.openxmlformats.org/officeDocument/2006/relationships/hyperlink" Target="http://www.health.gov.au/internet/main/publishing.nsf/Content/natsih-plan" TargetMode="External"/><Relationship Id="rId35" Type="http://schemas.openxmlformats.org/officeDocument/2006/relationships/hyperlink" Target="http://meteor.aihw.gov.au/content/index.phtml/itemId/598643" TargetMode="External"/><Relationship Id="rId56" Type="http://schemas.openxmlformats.org/officeDocument/2006/relationships/hyperlink" Target="http://www.nationaldrugstrategy.gov.au/internet/drugstrategy/publishing.nsf/Content/nds" TargetMode="External"/><Relationship Id="rId77" Type="http://schemas.openxmlformats.org/officeDocument/2006/relationships/chart" Target="charts/chart2.xml"/><Relationship Id="rId100" Type="http://schemas.openxmlformats.org/officeDocument/2006/relationships/hyperlink" Target="http://www.aihw.gov.au/indigenous-observatory-chronic-disease/" TargetMode="External"/><Relationship Id="rId105" Type="http://schemas.openxmlformats.org/officeDocument/2006/relationships/hyperlink" Target="http://www.nhmrc.gov.au/guidelines-publications/hp19-hp26" TargetMode="External"/><Relationship Id="rId126" Type="http://schemas.openxmlformats.org/officeDocument/2006/relationships/hyperlink" Target="http://www.cancerwa.asn.au/resources/2014-10-28-Social-Costs-of-Smoking-Final.pdf" TargetMode="External"/><Relationship Id="rId147" Type="http://schemas.openxmlformats.org/officeDocument/2006/relationships/hyperlink" Target="http://www.thelancet.com/journals/lancet/article/PIIS0140-6736(10)60809-4/abstract" TargetMode="External"/><Relationship Id="rId168" Type="http://schemas.openxmlformats.org/officeDocument/2006/relationships/hyperlink" Target="http://www.ncbi.nlm.nih.gov/pubmed/23504475" TargetMode="External"/><Relationship Id="rId8" Type="http://schemas.openxmlformats.org/officeDocument/2006/relationships/endnotes" Target="endnotes.xml"/><Relationship Id="rId51" Type="http://schemas.openxmlformats.org/officeDocument/2006/relationships/hyperlink" Target="http://www.bicyclecouncil.com.au/files/publication/National-Cycling-Strategy-2011-2016.pdf" TargetMode="External"/><Relationship Id="rId72" Type="http://schemas.openxmlformats.org/officeDocument/2006/relationships/hyperlink" Target="http://www.health.gov.au/internet/main/publishing.nsf/Content/health-pubhlth-strateg-injury-index.htm" TargetMode="External"/><Relationship Id="rId93" Type="http://schemas.openxmlformats.org/officeDocument/2006/relationships/chart" Target="charts/chart18.xml"/><Relationship Id="rId98" Type="http://schemas.openxmlformats.org/officeDocument/2006/relationships/hyperlink" Target="http://www.aihw.gov.au/publication-detail/?id=10737421466" TargetMode="External"/><Relationship Id="rId121" Type="http://schemas.openxmlformats.org/officeDocument/2006/relationships/hyperlink" Target="http://www.abs.gov.au/ausstats%5Cabs@.nsf/0/C0A4290EF1E7E7FDCA257F1E001C0B84?Opendocument" TargetMode="External"/><Relationship Id="rId142" Type="http://schemas.openxmlformats.org/officeDocument/2006/relationships/hyperlink" Target="http://dx.doi.org/10.1016/j.pec.2010.11.009" TargetMode="External"/><Relationship Id="rId163" Type="http://schemas.openxmlformats.org/officeDocument/2006/relationships/hyperlink" Target="http://www.ncbi.nlm.nih.gov/pubmed/22573785" TargetMode="External"/><Relationship Id="rId184" Type="http://schemas.openxmlformats.org/officeDocument/2006/relationships/hyperlink" Target="http://onlinelibrary.wiley.com/doi/10.1111/1753-6405.12128/abstract" TargetMode="External"/><Relationship Id="rId189" Type="http://schemas.openxmlformats.org/officeDocument/2006/relationships/hyperlink" Target="http://foodsecurecanada.org/resources-news/resources-research/making-something-out-nothing-food-literacy-among-youth-young-0" TargetMode="External"/><Relationship Id="rId219" Type="http://schemas.openxmlformats.org/officeDocument/2006/relationships/hyperlink" Target="http://www.thelancet.com/journals/lancet/article/PIIS0140-6736(15)60163-5/abstract" TargetMode="External"/><Relationship Id="rId3" Type="http://schemas.openxmlformats.org/officeDocument/2006/relationships/styles" Target="styles.xml"/><Relationship Id="rId214" Type="http://schemas.openxmlformats.org/officeDocument/2006/relationships/hyperlink" Target="http://journals.plos.org/plosone/article?id=10.1371/journal.pone.0151460" TargetMode="External"/><Relationship Id="rId230" Type="http://schemas.openxmlformats.org/officeDocument/2006/relationships/hyperlink" Target="http://www.nationaldrugstrategy.gov.au/internet/drugstrategy/publishing.nsf/Content/national_ts_2012_2018" TargetMode="External"/><Relationship Id="rId235" Type="http://schemas.openxmlformats.org/officeDocument/2006/relationships/hyperlink" Target="http://www.health.gov.au/internet/anpha/publishing.nsf/Content/667CA10FF85FD2CDCA257B8C0031F7D3/$File/Screen%20res-Smoking&amp;Disad_ev%20brief.pdf" TargetMode="External"/><Relationship Id="rId251" Type="http://schemas.openxmlformats.org/officeDocument/2006/relationships/hyperlink" Target="http://www.parliament.wa.gov.au/Parliament/commit.nsf/(Report+Lookup+by+Com+ID)/460AD36276677B1B482578560022E6EE/$file/35607530.pdf" TargetMode="External"/><Relationship Id="rId256" Type="http://schemas.openxmlformats.org/officeDocument/2006/relationships/hyperlink" Target="http://rsc.wa.gov.au/Stats/Annual/annual-prelim-crash-statistics-2015.aspx" TargetMode="External"/><Relationship Id="rId25" Type="http://schemas.openxmlformats.org/officeDocument/2006/relationships/hyperlink" Target="http://www.public.health.wa.gov.au/3/1791/2/prioritydriven_research_agenda_for_obesity_prevent.pm" TargetMode="External"/><Relationship Id="rId46" Type="http://schemas.openxmlformats.org/officeDocument/2006/relationships/hyperlink" Target="http://www.dsr.wa.gov.au/about/plan-for-the-future/industry-strategic-plan" TargetMode="External"/><Relationship Id="rId67" Type="http://schemas.openxmlformats.org/officeDocument/2006/relationships/hyperlink" Target="http://ors.wa.gov.au/Documents/towardszero-strategy.aspx" TargetMode="External"/><Relationship Id="rId116" Type="http://schemas.openxmlformats.org/officeDocument/2006/relationships/hyperlink" Target="http://www.lifesavingwa.com.au/~/media/files/rlsswa/research-and-reports/a10yearanalysisofdrowningintoddlersaged0-4.pdf?la=en" TargetMode="External"/><Relationship Id="rId137" Type="http://schemas.openxmlformats.org/officeDocument/2006/relationships/hyperlink" Target="http://www.who.int/healthpromotion/conferences/previous/ottawa/en/" TargetMode="External"/><Relationship Id="rId158" Type="http://schemas.openxmlformats.org/officeDocument/2006/relationships/hyperlink" Target="http://dx.doi.org/10.1111/obr.12107" TargetMode="External"/><Relationship Id="rId20" Type="http://schemas.openxmlformats.org/officeDocument/2006/relationships/hyperlink" Target="https://www.dlgc.wa.gov.au/Publications/Pages/Seniors-Strategic-Planning-Framework.aspx" TargetMode="External"/><Relationship Id="rId41" Type="http://schemas.openxmlformats.org/officeDocument/2006/relationships/hyperlink" Target="https://www.nhmrc.gov.au/guidelines-publications/n56" TargetMode="External"/><Relationship Id="rId62" Type="http://schemas.openxmlformats.org/officeDocument/2006/relationships/hyperlink" Target="http://www.dao.health.wa.gov.au/Informationandresources/Nationalandstatepoliciesaspx" TargetMode="External"/><Relationship Id="rId83" Type="http://schemas.openxmlformats.org/officeDocument/2006/relationships/chart" Target="charts/chart8.xml"/><Relationship Id="rId88" Type="http://schemas.openxmlformats.org/officeDocument/2006/relationships/chart" Target="charts/chart13.xml"/><Relationship Id="rId111" Type="http://schemas.openxmlformats.org/officeDocument/2006/relationships/hyperlink" Target="http://www.coaghealthcouncil.gov.au/Portals/0/Australia%27s%20National%20Oral%20Health%20Plan%202015-2024_uploaded%20170216.pdf" TargetMode="External"/><Relationship Id="rId132" Type="http://schemas.openxmlformats.org/officeDocument/2006/relationships/hyperlink" Target="http://www.cancercouncil.com.au/wp-content/uploads/2013/05/State-of-Cancer-Control-May-2012_PRESS_HighRes_09052013.pdf" TargetMode="External"/><Relationship Id="rId153" Type="http://schemas.openxmlformats.org/officeDocument/2006/relationships/hyperlink" Target="http://www.ausstats.abs.gov.au/ausstats/meisubs.nsf/0/C3ABD893ED8188C7CA257F45000D8059/$File/64010_dec%202015.pdf" TargetMode="External"/><Relationship Id="rId174" Type="http://schemas.openxmlformats.org/officeDocument/2006/relationships/hyperlink" Target="http://www.nhmrc.gov.au/_files_nhmrc/file/publications/n55d_australian_dietary_guidelines_evidence_report.pdf" TargetMode="External"/><Relationship Id="rId179" Type="http://schemas.openxmlformats.org/officeDocument/2006/relationships/hyperlink" Target="http://www.ncbi.nlm.nih.gov/pubmed/18671887" TargetMode="External"/><Relationship Id="rId195" Type="http://schemas.openxmlformats.org/officeDocument/2006/relationships/hyperlink" Target="http://www.healthyactivebydesign.com.au/" TargetMode="External"/><Relationship Id="rId209" Type="http://schemas.openxmlformats.org/officeDocument/2006/relationships/hyperlink" Target="http://dx.doi.org/10.1136/bmj.315.7106.477" TargetMode="External"/><Relationship Id="rId190" Type="http://schemas.openxmlformats.org/officeDocument/2006/relationships/hyperlink" Target="http://www.sthc.co.uk/Documents/CMO_Report_2009.pdf?bcsi_scan_c221d61a0ea4ff4c=0&amp;bcsi_scan_filename=CMO_Report_2009.pdf" TargetMode="External"/><Relationship Id="rId204" Type="http://schemas.openxmlformats.org/officeDocument/2006/relationships/hyperlink" Target="http://researchonline.nd.edu.au/cgi/viewcontent.cgi?article=1066&amp;context=health_article" TargetMode="External"/><Relationship Id="rId220" Type="http://schemas.openxmlformats.org/officeDocument/2006/relationships/hyperlink" Target="http://www.ncbi.nlm.nih.gov/pubmed/10840489" TargetMode="External"/><Relationship Id="rId225" Type="http://schemas.openxmlformats.org/officeDocument/2006/relationships/hyperlink" Target="http://www.abs.gov.au/ausstats/abs@.nsf/Lookup/by%20Subject/4727.0.55.006~2012%E2%80%9313~Main%20Features~Selected%20health%20risk%20factors~11" TargetMode="External"/><Relationship Id="rId241" Type="http://schemas.openxmlformats.org/officeDocument/2006/relationships/hyperlink" Target="http://apps.who.int/gb/fctc/PDF/cop6/FCTC_COP6_10-en.pdf?ua=1" TargetMode="External"/><Relationship Id="rId246" Type="http://schemas.openxmlformats.org/officeDocument/2006/relationships/hyperlink" Target="http://heartfoundation.org.au/images/uploads/publications/Antioxidants-Position-Statement.pdf" TargetMode="External"/><Relationship Id="rId15" Type="http://schemas.openxmlformats.org/officeDocument/2006/relationships/hyperlink" Target="http://www.healthnetworks.health.wa.gov.au/cancer/docs/12196_WA_Cancer_PLAN.pdf" TargetMode="External"/><Relationship Id="rId36" Type="http://schemas.openxmlformats.org/officeDocument/2006/relationships/hyperlink" Target="https://www.saxinstitute.org.au/wp-content/uploads/ANPHA-Research-Strategy-2013-18.pdf" TargetMode="External"/><Relationship Id="rId57" Type="http://schemas.openxmlformats.org/officeDocument/2006/relationships/hyperlink" Target="http://www.nationaldrugstrategy.gov.au/internet/drugstrategy/Publishing.nsf/content/draftnds" TargetMode="External"/><Relationship Id="rId106" Type="http://schemas.openxmlformats.org/officeDocument/2006/relationships/hyperlink" Target="http://www.health.gov.au/indigenous-hpf" TargetMode="External"/><Relationship Id="rId127" Type="http://schemas.openxmlformats.org/officeDocument/2006/relationships/hyperlink" Target="http://archive.oxha.org/knowledge/publications/australgvt_returns_on_investment_2003.pdf" TargetMode="External"/><Relationship Id="rId262" Type="http://schemas.openxmlformats.org/officeDocument/2006/relationships/header" Target="header1.xml"/><Relationship Id="rId10" Type="http://schemas.openxmlformats.org/officeDocument/2006/relationships/hyperlink" Target="http://ww2.health.wa.gov.au/Improving-WA-Health/About-Aboriginal-Health/WA-Aboriginal-Health-and-Wellbeing-Framework-2015-2030" TargetMode="External"/><Relationship Id="rId31" Type="http://schemas.openxmlformats.org/officeDocument/2006/relationships/hyperlink" Target="http://mcm.arts.gov.au/national-arts-and-health-framework" TargetMode="External"/><Relationship Id="rId52" Type="http://schemas.openxmlformats.org/officeDocument/2006/relationships/hyperlink" Target="http://www.health.gov.au/internet/main/publishing.nsf/content/health-pubhlth-strateg-phys-act-guidelines" TargetMode="External"/><Relationship Id="rId73" Type="http://schemas.openxmlformats.org/officeDocument/2006/relationships/hyperlink" Target="http://www.health.vic.gov.au/archive/archive2014/nphp/publications/sipp/fallplan.pdf" TargetMode="External"/><Relationship Id="rId78" Type="http://schemas.openxmlformats.org/officeDocument/2006/relationships/chart" Target="charts/chart3.xml"/><Relationship Id="rId94" Type="http://schemas.openxmlformats.org/officeDocument/2006/relationships/chart" Target="charts/chart19.xml"/><Relationship Id="rId99" Type="http://schemas.openxmlformats.org/officeDocument/2006/relationships/hyperlink" Target="http://www.ncbi.nlm.nih.gov/pubmed/21632004" TargetMode="External"/><Relationship Id="rId101" Type="http://schemas.openxmlformats.org/officeDocument/2006/relationships/hyperlink" Target="http://www.health.wa.gov.au/publications/documents/WA_chief_health_officers_report_2010.pdf" TargetMode="External"/><Relationship Id="rId122" Type="http://schemas.openxmlformats.org/officeDocument/2006/relationships/hyperlink" Target="http://www.abs.gov.au/AUSSTATS/abs@.nsf/DetailsPage/3101.0Dec%202015?OpenDocument" TargetMode="External"/><Relationship Id="rId143" Type="http://schemas.openxmlformats.org/officeDocument/2006/relationships/hyperlink" Target="http://www.who.int/social_determinants/thecommission/finalreport/en/" TargetMode="External"/><Relationship Id="rId148" Type="http://schemas.openxmlformats.org/officeDocument/2006/relationships/hyperlink" Target="http://www.who.int/nmh/publications/9789241597418/en/" TargetMode="External"/><Relationship Id="rId164" Type="http://schemas.openxmlformats.org/officeDocument/2006/relationships/hyperlink" Target="http://www.abs.gov.au/ausstats/abs@.nsf/Lookup/4364.0.55.007main+features12011-12" TargetMode="External"/><Relationship Id="rId169" Type="http://schemas.openxmlformats.org/officeDocument/2006/relationships/hyperlink" Target="http://jhl.sagepub.com/content/29/4/484.abstract" TargetMode="External"/><Relationship Id="rId185" Type="http://schemas.openxmlformats.org/officeDocument/2006/relationships/hyperlink" Target="http://dx.doi.org/10.1016/j.appet.2014.01.010" TargetMode="External"/><Relationship Id="rId4" Type="http://schemas.microsoft.com/office/2007/relationships/stylesWithEffects" Target="stylesWithEffects.xml"/><Relationship Id="rId9" Type="http://schemas.openxmlformats.org/officeDocument/2006/relationships/hyperlink" Target="http://ww2.health.wa.gov.au/Reports-and-publications/WA-Health-Strategic-Intent-2015-2020" TargetMode="External"/><Relationship Id="rId180" Type="http://schemas.openxmlformats.org/officeDocument/2006/relationships/hyperlink" Target="http://www.ncbi.nlm.nih.gov/pubmed/23920283" TargetMode="External"/><Relationship Id="rId210" Type="http://schemas.openxmlformats.org/officeDocument/2006/relationships/hyperlink" Target="http://www.who.int/dietphysicalactivity/Evidence_Update_2009.pdf" TargetMode="External"/><Relationship Id="rId215" Type="http://schemas.openxmlformats.org/officeDocument/2006/relationships/hyperlink" Target="http://www.who.int/childgrowth/en/" TargetMode="External"/><Relationship Id="rId236" Type="http://schemas.openxmlformats.org/officeDocument/2006/relationships/hyperlink" Target="http://ww2.health.wa.gov.au/~/media/Files/Corporate/general%20documents/Tobacco/PDF/2015-Tobacco-retailer-compliance-survey-final.ashx" TargetMode="External"/><Relationship Id="rId257" Type="http://schemas.openxmlformats.org/officeDocument/2006/relationships/hyperlink" Target="http://www.watersafety.com.au/Portals/0/AWSC%20Strategy%202016-20/RLS_AWSS2016_Report_2016LR.pdf" TargetMode="External"/><Relationship Id="rId26" Type="http://schemas.openxmlformats.org/officeDocument/2006/relationships/hyperlink" Target="http://ww2.health.wa.gov.au/Reports-and-publications/WA-Health-Strategic-Intent-2015-2020" TargetMode="External"/><Relationship Id="rId231" Type="http://schemas.openxmlformats.org/officeDocument/2006/relationships/hyperlink" Target="http://www.who.int/fctc/text_download/en/index.html" TargetMode="External"/><Relationship Id="rId252" Type="http://schemas.openxmlformats.org/officeDocument/2006/relationships/hyperlink" Target="http://www.rgl.wa.gov.au/liquor/liquor-legislation-amendment-act" TargetMode="External"/><Relationship Id="rId47" Type="http://schemas.openxmlformats.org/officeDocument/2006/relationships/hyperlink" Target="http://www.planning.wa.gov.au/6561.asp" TargetMode="External"/><Relationship Id="rId68" Type="http://schemas.openxmlformats.org/officeDocument/2006/relationships/hyperlink" Target="http://www.healthnetworks.health.wa.gov.au/modelsofcare/docs/Falls_Model_of_Care.pdf" TargetMode="External"/><Relationship Id="rId89" Type="http://schemas.openxmlformats.org/officeDocument/2006/relationships/chart" Target="charts/chart14.xml"/><Relationship Id="rId112" Type="http://schemas.openxmlformats.org/officeDocument/2006/relationships/hyperlink" Target="http://www.nhmrc.gov.au/_files_nhmrc/publications/attachments/n55_australian_dietary_guidelines_130530.pdf" TargetMode="External"/><Relationship Id="rId133" Type="http://schemas.openxmlformats.org/officeDocument/2006/relationships/hyperlink" Target="http://ww2.health.wa.gov.au/~/media/Files/Corporate/general%20documents/Population%20health/PDF/cancer%20control%20in%20WA%20report.ashx" TargetMode="External"/><Relationship Id="rId154" Type="http://schemas.openxmlformats.org/officeDocument/2006/relationships/hyperlink" Target="http://www.abs.gov.au/ausstats/abs@.nsf/Lookup/4727.0.55.005main+features12012-13" TargetMode="External"/><Relationship Id="rId175" Type="http://schemas.openxmlformats.org/officeDocument/2006/relationships/hyperlink" Target="http://www.eatforhealth.gov.au/sites/default/files/files/public_consultation/n55a_dietary_guidelines_food_modelling_111216.pdf" TargetMode="External"/><Relationship Id="rId196" Type="http://schemas.openxmlformats.org/officeDocument/2006/relationships/hyperlink" Target="http://apo.org.au/resource/healthy-built-environments-review-literature" TargetMode="External"/><Relationship Id="rId200" Type="http://schemas.openxmlformats.org/officeDocument/2006/relationships/hyperlink" Target="http://www.health.gov.au/internet/preventativehealth/publishing.nsf/content/0fbe203c1c547a82ca257529000231bf/$file/commpaper-hlth-equity-friel.pdf" TargetMode="External"/><Relationship Id="rId16" Type="http://schemas.openxmlformats.org/officeDocument/2006/relationships/hyperlink" Target="http://www.healthnetworks.health.wa.gov.au/docs/NonMajorTraumaFramework.pdf" TargetMode="External"/><Relationship Id="rId221" Type="http://schemas.openxmlformats.org/officeDocument/2006/relationships/hyperlink" Target="http://dx.doi.org/10.1111/1753-6405.12483" TargetMode="External"/><Relationship Id="rId242" Type="http://schemas.openxmlformats.org/officeDocument/2006/relationships/hyperlink" Target="http://www.tga.gov.au/what-tga-regulates" TargetMode="External"/><Relationship Id="rId263" Type="http://schemas.openxmlformats.org/officeDocument/2006/relationships/footer" Target="footer1.xml"/><Relationship Id="rId37" Type="http://schemas.openxmlformats.org/officeDocument/2006/relationships/hyperlink" Target="http://www.who.int/nmh/events/ncd_action_plan/en/" TargetMode="External"/><Relationship Id="rId58" Type="http://schemas.openxmlformats.org/officeDocument/2006/relationships/hyperlink" Target="http://www.nationaldrugstrategy.gov.au/internet/drugstrategy/publishing.nsf/content/D4E3727950BDBAE4CA257AE70003730C/$File/National%20Tobacco%20Strategy%202012-2018.pdf" TargetMode="External"/><Relationship Id="rId79" Type="http://schemas.openxmlformats.org/officeDocument/2006/relationships/chart" Target="charts/chart4.xml"/><Relationship Id="rId102" Type="http://schemas.openxmlformats.org/officeDocument/2006/relationships/hyperlink" Target="http://www.aihw.gov.au/publication-detail/?id=60129556205" TargetMode="External"/><Relationship Id="rId123" Type="http://schemas.openxmlformats.org/officeDocument/2006/relationships/hyperlink" Target="http://www.omi.wa.gov.au/publications/omi_cultural_diversity.cfm" TargetMode="External"/><Relationship Id="rId144" Type="http://schemas.openxmlformats.org/officeDocument/2006/relationships/hyperlink" Target="http://www.aihw.gov.au/publications/aus/bulletin83/11608.pdf" TargetMode="External"/><Relationship Id="rId90" Type="http://schemas.openxmlformats.org/officeDocument/2006/relationships/chart" Target="charts/chart15.xml"/><Relationship Id="rId165" Type="http://schemas.openxmlformats.org/officeDocument/2006/relationships/hyperlink" Target="http://onlinelibrary.wiley.com/doi/10.1111/obr.12098/full" TargetMode="External"/><Relationship Id="rId186" Type="http://schemas.openxmlformats.org/officeDocument/2006/relationships/hyperlink" Target="http://ajl.sagepub.com/content/6/2/152.abstract" TargetMode="External"/><Relationship Id="rId211" Type="http://schemas.openxmlformats.org/officeDocument/2006/relationships/hyperlink" Target="http://www.ncbi.nlm.nih.gov/pubmed/21463408" TargetMode="External"/><Relationship Id="rId232" Type="http://schemas.openxmlformats.org/officeDocument/2006/relationships/hyperlink" Target="http://cancercontrol.cancer.gov/brp/tcrb/monographs/19/m19_complete.pdf?bcsi_scan_2F83426B613409AB=S8WEo/BOq+mL0blS6lI+fJ0eW7gUAAAADweDeA==&amp;bcsi_scan_filename=m19_complete.pdf" TargetMode="External"/><Relationship Id="rId253" Type="http://schemas.openxmlformats.org/officeDocument/2006/relationships/hyperlink" Target="http://www.public.health.wa.gov.au/cproot/4228/2/injury_report_2011.pdf" TargetMode="External"/><Relationship Id="rId27" Type="http://schemas.openxmlformats.org/officeDocument/2006/relationships/hyperlink" Target="http://ww2.health.wa.gov.au/Improving-WA-Health/About-Aboriginal-Health/WA-Aboriginal-Health-and-Wellbeing-Framework-2015-2030" TargetMode="External"/><Relationship Id="rId48" Type="http://schemas.openxmlformats.org/officeDocument/2006/relationships/hyperlink" Target="http://www.beactive.wa.gov.au/index.php?id=350" TargetMode="External"/><Relationship Id="rId69" Type="http://schemas.openxmlformats.org/officeDocument/2006/relationships/hyperlink" Target="http://www.nphp.gov.au/publications/sipp/nipspp.pdf" TargetMode="External"/><Relationship Id="rId113" Type="http://schemas.openxmlformats.org/officeDocument/2006/relationships/hyperlink" Target="http://www.who.int/topics/health_promotion/en/" TargetMode="External"/><Relationship Id="rId134" Type="http://schemas.openxmlformats.org/officeDocument/2006/relationships/hyperlink" Target="http://www.who.int/chp/chronic_disease_report/contents/en/index.html" TargetMode="External"/><Relationship Id="rId80" Type="http://schemas.openxmlformats.org/officeDocument/2006/relationships/chart" Target="charts/chart5.xml"/><Relationship Id="rId155" Type="http://schemas.openxmlformats.org/officeDocument/2006/relationships/hyperlink" Target="http://www.public.health.wa.gov.au/cproot/6185/2/Food%20Access%20and%20Cost%20Survey%20Report%202013.pdf" TargetMode="External"/><Relationship Id="rId176" Type="http://schemas.openxmlformats.org/officeDocument/2006/relationships/hyperlink" Target="http://dx.doi.org/10.1079/phn2003538" TargetMode="External"/><Relationship Id="rId197" Type="http://schemas.openxmlformats.org/officeDocument/2006/relationships/hyperlink" Target="http://www.ncbi.nlm.nih.gov/pubmed/19127195" TargetMode="External"/><Relationship Id="rId201" Type="http://schemas.openxmlformats.org/officeDocument/2006/relationships/hyperlink" Target="http://www.health.gov.au/internet/main/publishing.nsf/content/health-pubhlth-strateg-phys-act-guidelines" TargetMode="External"/><Relationship Id="rId222" Type="http://schemas.openxmlformats.org/officeDocument/2006/relationships/hyperlink" Target="http://bmcpublichealth.biomedcentral.com/articles/10.1186/1471-2458-9-88" TargetMode="External"/><Relationship Id="rId243" Type="http://schemas.openxmlformats.org/officeDocument/2006/relationships/hyperlink" Target="http://www.mentalhealth.wa.gov.au/Libraries/pdf_docs/The_Plan_81215_3.sflb.ashx" TargetMode="External"/><Relationship Id="rId264" Type="http://schemas.openxmlformats.org/officeDocument/2006/relationships/fontTable" Target="fontTable.xml"/><Relationship Id="rId17" Type="http://schemas.openxmlformats.org/officeDocument/2006/relationships/hyperlink" Target="http://www.healthnetworks.health.wa.gov.au/modelsofcare/docs/Falls_Model_of_Care.pdf" TargetMode="External"/><Relationship Id="rId38" Type="http://schemas.openxmlformats.org/officeDocument/2006/relationships/hyperlink" Target="https://www.nhmrc.gov.au/guidelines-publications/n55" TargetMode="External"/><Relationship Id="rId59" Type="http://schemas.openxmlformats.org/officeDocument/2006/relationships/hyperlink" Target="http://www.who.int/fctc/en/" TargetMode="External"/><Relationship Id="rId103" Type="http://schemas.openxmlformats.org/officeDocument/2006/relationships/hyperlink" Target="http://www.abs.gov.au/AUSSTATS/abs@.nsf/DetailsPage/4364.0.55.0012014-15?OpenDocument" TargetMode="External"/><Relationship Id="rId124" Type="http://schemas.openxmlformats.org/officeDocument/2006/relationships/hyperlink" Target="http://www.abs.gov.au/AUSSTATS/abs@.nsf/Lookup/3222.0Main+Features12006%20to%202101?OpenDocument" TargetMode="External"/><Relationship Id="rId70" Type="http://schemas.openxmlformats.org/officeDocument/2006/relationships/hyperlink" Target="http://www.safeworkaustralia.gov.au/sites/SWA/AboutSafeWorkAustralia/WhatWeDo/Publications/Pages/Australian-Work-Health-and-Safety-Strategy-2012-2022.aspx" TargetMode="External"/><Relationship Id="rId91" Type="http://schemas.openxmlformats.org/officeDocument/2006/relationships/chart" Target="charts/chart16.xml"/><Relationship Id="rId145" Type="http://schemas.openxmlformats.org/officeDocument/2006/relationships/hyperlink" Target="http://www.vichealth.vic.gov.au/media-and-resources/publications/the-vichealth-framework-for-health-equity" TargetMode="External"/><Relationship Id="rId166" Type="http://schemas.openxmlformats.org/officeDocument/2006/relationships/hyperlink" Target="http://www.nhmrc.gov.au/guidelines-publications/n55" TargetMode="External"/><Relationship Id="rId187" Type="http://schemas.openxmlformats.org/officeDocument/2006/relationships/hyperlink" Target="http://www.agriculture.gov.au/SiteCollectionDocuments/ag-food/publications/food-stats/australian-food-statistics-2012-13.pdf" TargetMode="External"/><Relationship Id="rId1" Type="http://schemas.openxmlformats.org/officeDocument/2006/relationships/customXml" Target="../customXml/item1.xml"/><Relationship Id="rId212" Type="http://schemas.openxmlformats.org/officeDocument/2006/relationships/hyperlink" Target="http://www.ncbi.nlm.nih.gov/pubmed/18298882" TargetMode="External"/><Relationship Id="rId233" Type="http://schemas.openxmlformats.org/officeDocument/2006/relationships/hyperlink" Target="http://onlinelibrary.wiley.com/doi/10.1002/14651858.CD005992.pub3/epdf/abstract" TargetMode="External"/><Relationship Id="rId254" Type="http://schemas.openxmlformats.org/officeDocument/2006/relationships/hyperlink" Target="http://www.nphp.gov.au/publications/sipp/nipspp.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he68131\Desktop\HPSF%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marker>
            <c:symbol val="none"/>
          </c:marker>
          <c:dLbls>
            <c:dLbl>
              <c:idx val="0"/>
              <c:layout>
                <c:manualLayout>
                  <c:x val="-4.4664212477999392E-2"/>
                  <c:y val="-5.0701250993361521E-2"/>
                </c:manualLayout>
              </c:layout>
              <c:tx>
                <c:rich>
                  <a:bodyPr/>
                  <a:lstStyle/>
                  <a:p>
                    <a:r>
                      <a:rPr lang="en-US" sz="1200">
                        <a:latin typeface="Arial" panose="020B0604020202020204" pitchFamily="34" charset="0"/>
                        <a:cs typeface="Arial" panose="020B0604020202020204" pitchFamily="34" charset="0"/>
                      </a:rPr>
                      <a:t>21.6%</a:t>
                    </a:r>
                    <a:endParaRPr lang="en-US"/>
                  </a:p>
                </c:rich>
              </c:tx>
              <c:dLblPos val="r"/>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tx>
                <c:rich>
                  <a:bodyPr/>
                  <a:lstStyle/>
                  <a:p>
                    <a:r>
                      <a:rPr lang="en-US" sz="1200">
                        <a:latin typeface="Arial" panose="020B0604020202020204" pitchFamily="34" charset="0"/>
                        <a:cs typeface="Arial" panose="020B0604020202020204" pitchFamily="34" charset="0"/>
                      </a:rPr>
                      <a:t>12.5%</a:t>
                    </a:r>
                    <a:endParaRPr lang="en-US"/>
                  </a:p>
                </c:rich>
              </c:tx>
              <c:dLblPos val="b"/>
              <c:showLegendKey val="0"/>
              <c:showVal val="1"/>
              <c:showCatName val="0"/>
              <c:showSerName val="0"/>
              <c:showPercent val="0"/>
              <c:showBubbleSize val="0"/>
            </c:dLbl>
            <c:txPr>
              <a:bodyPr/>
              <a:lstStyle/>
              <a:p>
                <a:pPr>
                  <a:defRPr sz="1200">
                    <a:latin typeface="Arial" panose="020B0604020202020204" pitchFamily="34" charset="0"/>
                    <a:cs typeface="Arial" panose="020B0604020202020204" pitchFamily="34" charset="0"/>
                  </a:defRPr>
                </a:pPr>
                <a:endParaRPr lang="en-US"/>
              </a:p>
            </c:txPr>
            <c:dLblPos val="b"/>
            <c:showLegendKey val="0"/>
            <c:showVal val="1"/>
            <c:showCatName val="0"/>
            <c:showSerName val="0"/>
            <c:showPercent val="0"/>
            <c:showBubbleSize val="0"/>
            <c:showLeaderLines val="0"/>
          </c:dLbls>
          <c:cat>
            <c:numRef>
              <c:f>Sheet1!$A$2:$A$15</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Sheet1!$B$2:$B$15</c:f>
              <c:numCache>
                <c:formatCode>General</c:formatCode>
                <c:ptCount val="14"/>
                <c:pt idx="0">
                  <c:v>21.6</c:v>
                </c:pt>
                <c:pt idx="1">
                  <c:v>19</c:v>
                </c:pt>
                <c:pt idx="2">
                  <c:v>19.8</c:v>
                </c:pt>
                <c:pt idx="3">
                  <c:v>18</c:v>
                </c:pt>
                <c:pt idx="4">
                  <c:v>17.100000000000001</c:v>
                </c:pt>
                <c:pt idx="5">
                  <c:v>15.3</c:v>
                </c:pt>
                <c:pt idx="6">
                  <c:v>16.8</c:v>
                </c:pt>
                <c:pt idx="7">
                  <c:v>16.7</c:v>
                </c:pt>
                <c:pt idx="8">
                  <c:v>14.9</c:v>
                </c:pt>
                <c:pt idx="9">
                  <c:v>14.5</c:v>
                </c:pt>
                <c:pt idx="10">
                  <c:v>12.7</c:v>
                </c:pt>
                <c:pt idx="11">
                  <c:v>13.1</c:v>
                </c:pt>
                <c:pt idx="12">
                  <c:v>12.3</c:v>
                </c:pt>
                <c:pt idx="13">
                  <c:v>12.5</c:v>
                </c:pt>
              </c:numCache>
            </c:numRef>
          </c:val>
          <c:smooth val="0"/>
        </c:ser>
        <c:dLbls>
          <c:showLegendKey val="0"/>
          <c:showVal val="0"/>
          <c:showCatName val="0"/>
          <c:showSerName val="0"/>
          <c:showPercent val="0"/>
          <c:showBubbleSize val="0"/>
        </c:dLbls>
        <c:marker val="1"/>
        <c:smooth val="0"/>
        <c:axId val="34930688"/>
        <c:axId val="34932224"/>
      </c:lineChart>
      <c:catAx>
        <c:axId val="34930688"/>
        <c:scaling>
          <c:orientation val="minMax"/>
        </c:scaling>
        <c:delete val="0"/>
        <c:axPos val="b"/>
        <c:numFmt formatCode="General" sourceLinked="1"/>
        <c:majorTickMark val="none"/>
        <c:minorTickMark val="none"/>
        <c:tickLblPos val="nextTo"/>
        <c:txPr>
          <a:bodyPr rot="0" vert="horz"/>
          <a:lstStyle/>
          <a:p>
            <a:pPr>
              <a:defRPr sz="1200">
                <a:latin typeface="Arial" panose="020B0604020202020204" pitchFamily="34" charset="0"/>
                <a:cs typeface="Arial" panose="020B0604020202020204" pitchFamily="34" charset="0"/>
              </a:defRPr>
            </a:pPr>
            <a:endParaRPr lang="en-US"/>
          </a:p>
        </c:txPr>
        <c:crossAx val="34932224"/>
        <c:crosses val="autoZero"/>
        <c:auto val="1"/>
        <c:lblAlgn val="ctr"/>
        <c:lblOffset val="100"/>
        <c:tickLblSkip val="13"/>
        <c:noMultiLvlLbl val="0"/>
      </c:catAx>
      <c:valAx>
        <c:axId val="34932224"/>
        <c:scaling>
          <c:orientation val="minMax"/>
          <c:max val="25"/>
        </c:scaling>
        <c:delete val="0"/>
        <c:axPos val="l"/>
        <c:title>
          <c:tx>
            <c:rich>
              <a:bodyPr rot="-5400000" vert="horz"/>
              <a:lstStyle/>
              <a:p>
                <a:pPr>
                  <a:defRPr sz="1200" b="0">
                    <a:latin typeface="Arial" panose="020B0604020202020204" pitchFamily="34" charset="0"/>
                    <a:cs typeface="Arial" panose="020B0604020202020204" pitchFamily="34" charset="0"/>
                  </a:defRPr>
                </a:pPr>
                <a:r>
                  <a:rPr lang="en-US" sz="1200" b="0">
                    <a:latin typeface="Arial" panose="020B0604020202020204" pitchFamily="34" charset="0"/>
                    <a:cs typeface="Arial" panose="020B0604020202020204" pitchFamily="34" charset="0"/>
                  </a:rPr>
                  <a:t>Current Smokers (%)</a:t>
                </a:r>
              </a:p>
            </c:rich>
          </c:tx>
          <c:layout>
            <c:manualLayout>
              <c:xMode val="edge"/>
              <c:yMode val="edge"/>
              <c:x val="1.883715707845483E-2"/>
              <c:y val="0.12984967788117394"/>
            </c:manualLayout>
          </c:layout>
          <c:overlay val="0"/>
        </c:title>
        <c:numFmt formatCode="General" sourceLinked="1"/>
        <c:majorTickMark val="out"/>
        <c:minorTickMark val="none"/>
        <c:tickLblPos val="none"/>
        <c:txPr>
          <a:bodyPr/>
          <a:lstStyle/>
          <a:p>
            <a:pPr>
              <a:defRPr sz="1200">
                <a:latin typeface="Arial" panose="020B0604020202020204" pitchFamily="34" charset="0"/>
                <a:cs typeface="Arial" panose="020B0604020202020204" pitchFamily="34" charset="0"/>
              </a:defRPr>
            </a:pPr>
            <a:endParaRPr lang="en-US"/>
          </a:p>
        </c:txPr>
        <c:crossAx val="34930688"/>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085422575335028"/>
          <c:y val="5.0670534684463635E-2"/>
          <c:w val="0.82232108422213401"/>
          <c:h val="0.80194478939320291"/>
        </c:manualLayout>
      </c:layout>
      <c:lineChart>
        <c:grouping val="standard"/>
        <c:varyColors val="0"/>
        <c:ser>
          <c:idx val="0"/>
          <c:order val="0"/>
          <c:tx>
            <c:strRef>
              <c:f>Sheet1!$B$202</c:f>
              <c:strCache>
                <c:ptCount val="1"/>
                <c:pt idx="0">
                  <c:v>Males</c:v>
                </c:pt>
              </c:strCache>
            </c:strRef>
          </c:tx>
          <c:marker>
            <c:symbol val="none"/>
          </c:marker>
          <c:dLbls>
            <c:dLbl>
              <c:idx val="0"/>
              <c:layout>
                <c:manualLayout>
                  <c:x val="-4.80984389468588E-2"/>
                  <c:y val="-5.9972115327479626E-2"/>
                </c:manualLayout>
              </c:layout>
              <c:tx>
                <c:rich>
                  <a:bodyPr/>
                  <a:lstStyle/>
                  <a:p>
                    <a:r>
                      <a:rPr lang="en-US"/>
                      <a:t>271.0</a:t>
                    </a:r>
                  </a:p>
                </c:rich>
              </c:tx>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4.997676277289969E-2"/>
                </c:manualLayout>
              </c:layout>
              <c:tx>
                <c:rich>
                  <a:bodyPr/>
                  <a:lstStyle/>
                  <a:p>
                    <a:r>
                      <a:rPr lang="en-US"/>
                      <a:t>241.8</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Sheet1!$A$203:$A$215</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Sheet1!$B$203:$B$215</c:f>
              <c:numCache>
                <c:formatCode>General</c:formatCode>
                <c:ptCount val="13"/>
                <c:pt idx="0">
                  <c:v>271</c:v>
                </c:pt>
                <c:pt idx="1">
                  <c:v>253.05</c:v>
                </c:pt>
                <c:pt idx="2">
                  <c:v>249.89</c:v>
                </c:pt>
                <c:pt idx="3">
                  <c:v>270.57</c:v>
                </c:pt>
                <c:pt idx="4">
                  <c:v>256.67</c:v>
                </c:pt>
                <c:pt idx="5">
                  <c:v>243.54</c:v>
                </c:pt>
                <c:pt idx="6">
                  <c:v>244.68</c:v>
                </c:pt>
                <c:pt idx="7">
                  <c:v>232.42</c:v>
                </c:pt>
                <c:pt idx="8">
                  <c:v>239.06</c:v>
                </c:pt>
                <c:pt idx="9">
                  <c:v>237.34</c:v>
                </c:pt>
                <c:pt idx="10">
                  <c:v>228.13</c:v>
                </c:pt>
                <c:pt idx="11">
                  <c:v>230.83</c:v>
                </c:pt>
                <c:pt idx="12">
                  <c:v>241.89</c:v>
                </c:pt>
              </c:numCache>
            </c:numRef>
          </c:val>
          <c:smooth val="0"/>
        </c:ser>
        <c:ser>
          <c:idx val="1"/>
          <c:order val="1"/>
          <c:tx>
            <c:strRef>
              <c:f>Sheet1!$C$202</c:f>
              <c:strCache>
                <c:ptCount val="1"/>
                <c:pt idx="0">
                  <c:v>Females</c:v>
                </c:pt>
              </c:strCache>
            </c:strRef>
          </c:tx>
          <c:marker>
            <c:symbol val="none"/>
          </c:marker>
          <c:dLbls>
            <c:dLbl>
              <c:idx val="0"/>
              <c:layout>
                <c:manualLayout>
                  <c:x val="-4.0082032455715663E-2"/>
                  <c:y val="5.4974439050189658E-2"/>
                </c:manualLayout>
              </c:layout>
              <c:tx>
                <c:rich>
                  <a:bodyPr/>
                  <a:lstStyle/>
                  <a:p>
                    <a:r>
                      <a:rPr lang="en-US">
                        <a:solidFill>
                          <a:schemeClr val="bg1">
                            <a:lumMod val="50000"/>
                          </a:schemeClr>
                        </a:solidFill>
                      </a:rPr>
                      <a:t>188.0</a:t>
                    </a:r>
                    <a:endParaRPr lang="en-US"/>
                  </a:p>
                </c:rich>
              </c:tx>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7.6175171580104756E-2"/>
                </c:manualLayout>
              </c:layout>
              <c:tx>
                <c:rich>
                  <a:bodyPr/>
                  <a:lstStyle/>
                  <a:p>
                    <a:r>
                      <a:rPr lang="en-US">
                        <a:solidFill>
                          <a:schemeClr val="bg1">
                            <a:lumMod val="50000"/>
                          </a:schemeClr>
                        </a:solidFill>
                      </a:rPr>
                      <a:t>190.7</a:t>
                    </a:r>
                    <a:endParaRPr lang="en-US"/>
                  </a:p>
                </c:rich>
              </c:tx>
              <c:showLegendKey val="0"/>
              <c:showVal val="1"/>
              <c:showCatName val="0"/>
              <c:showSerName val="0"/>
              <c:showPercent val="0"/>
              <c:showBubbleSize val="0"/>
            </c:dLbl>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Sheet1!$A$203:$A$215</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Sheet1!$C$203:$C$215</c:f>
              <c:numCache>
                <c:formatCode>General</c:formatCode>
                <c:ptCount val="13"/>
                <c:pt idx="0">
                  <c:v>188.01</c:v>
                </c:pt>
                <c:pt idx="1">
                  <c:v>194.26</c:v>
                </c:pt>
                <c:pt idx="2">
                  <c:v>189.05</c:v>
                </c:pt>
                <c:pt idx="3">
                  <c:v>183.93</c:v>
                </c:pt>
                <c:pt idx="4">
                  <c:v>167.91</c:v>
                </c:pt>
                <c:pt idx="5">
                  <c:v>173.63</c:v>
                </c:pt>
                <c:pt idx="6">
                  <c:v>178.7</c:v>
                </c:pt>
                <c:pt idx="7">
                  <c:v>171.08</c:v>
                </c:pt>
                <c:pt idx="8">
                  <c:v>171.13</c:v>
                </c:pt>
                <c:pt idx="9">
                  <c:v>178.03</c:v>
                </c:pt>
                <c:pt idx="10">
                  <c:v>177.95</c:v>
                </c:pt>
                <c:pt idx="11">
                  <c:v>184.52</c:v>
                </c:pt>
                <c:pt idx="12">
                  <c:v>190.66</c:v>
                </c:pt>
              </c:numCache>
            </c:numRef>
          </c:val>
          <c:smooth val="0"/>
        </c:ser>
        <c:dLbls>
          <c:showLegendKey val="0"/>
          <c:showVal val="0"/>
          <c:showCatName val="0"/>
          <c:showSerName val="0"/>
          <c:showPercent val="0"/>
          <c:showBubbleSize val="0"/>
        </c:dLbls>
        <c:marker val="1"/>
        <c:smooth val="0"/>
        <c:axId val="45002112"/>
        <c:axId val="45003904"/>
      </c:lineChart>
      <c:catAx>
        <c:axId val="45002112"/>
        <c:scaling>
          <c:orientation val="minMax"/>
        </c:scaling>
        <c:delete val="0"/>
        <c:axPos val="b"/>
        <c:numFmt formatCode="General" sourceLinked="0"/>
        <c:majorTickMark val="none"/>
        <c:minorTickMark val="none"/>
        <c:tickLblPos val="nextTo"/>
        <c:txPr>
          <a:bodyPr rot="0" vert="horz"/>
          <a:lstStyle/>
          <a:p>
            <a:pPr>
              <a:defRPr/>
            </a:pPr>
            <a:endParaRPr lang="en-US"/>
          </a:p>
        </c:txPr>
        <c:crossAx val="45003904"/>
        <c:crosses val="autoZero"/>
        <c:auto val="1"/>
        <c:lblAlgn val="ctr"/>
        <c:lblOffset val="100"/>
        <c:tickLblSkip val="12"/>
        <c:noMultiLvlLbl val="0"/>
      </c:catAx>
      <c:valAx>
        <c:axId val="45003904"/>
        <c:scaling>
          <c:orientation val="minMax"/>
          <c:max val="400"/>
          <c:min val="0"/>
        </c:scaling>
        <c:delete val="0"/>
        <c:axPos val="l"/>
        <c:title>
          <c:tx>
            <c:rich>
              <a:bodyPr rot="-5400000" vert="horz"/>
              <a:lstStyle/>
              <a:p>
                <a:pPr>
                  <a:defRPr b="0"/>
                </a:pPr>
                <a:r>
                  <a:rPr lang="en-US" b="0"/>
                  <a:t>Rate Per 100,000</a:t>
                </a:r>
              </a:p>
            </c:rich>
          </c:tx>
          <c:layout>
            <c:manualLayout>
              <c:xMode val="edge"/>
              <c:yMode val="edge"/>
              <c:x val="5.3946628406736068E-3"/>
              <c:y val="0.22567547089605552"/>
            </c:manualLayout>
          </c:layout>
          <c:overlay val="0"/>
        </c:title>
        <c:numFmt formatCode="General" sourceLinked="1"/>
        <c:majorTickMark val="out"/>
        <c:minorTickMark val="none"/>
        <c:tickLblPos val="none"/>
        <c:crossAx val="45002112"/>
        <c:crosses val="autoZero"/>
        <c:crossBetween val="between"/>
      </c:valAx>
    </c:plotArea>
    <c:legend>
      <c:legendPos val="t"/>
      <c:layout>
        <c:manualLayout>
          <c:xMode val="edge"/>
          <c:yMode val="edge"/>
          <c:x val="0.24106154895909801"/>
          <c:y val="4.4321203163775989E-2"/>
          <c:w val="0.60616215486056191"/>
          <c:h val="9.6334735699660889E-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685506270099978"/>
          <c:y val="6.5727162602421244E-2"/>
          <c:w val="0.8273408234090579"/>
          <c:h val="0.80004213520132728"/>
        </c:manualLayout>
      </c:layout>
      <c:lineChart>
        <c:grouping val="standard"/>
        <c:varyColors val="0"/>
        <c:ser>
          <c:idx val="0"/>
          <c:order val="0"/>
          <c:tx>
            <c:strRef>
              <c:f>Sheet1!$B$186</c:f>
              <c:strCache>
                <c:ptCount val="1"/>
                <c:pt idx="0">
                  <c:v>Males</c:v>
                </c:pt>
              </c:strCache>
            </c:strRef>
          </c:tx>
          <c:marker>
            <c:symbol val="none"/>
          </c:marker>
          <c:dLbls>
            <c:dLbl>
              <c:idx val="0"/>
              <c:layout>
                <c:manualLayout>
                  <c:x val="-4.5647561884046242E-2"/>
                  <c:y val="-4.1992185706124521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3.8044512079132585E-2"/>
                  <c:y val="-6.0655397169430476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Sheet1!$A$187:$A$199</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Sheet1!$B$187:$B$199</c:f>
              <c:numCache>
                <c:formatCode>General</c:formatCode>
                <c:ptCount val="13"/>
                <c:pt idx="0">
                  <c:v>136.93</c:v>
                </c:pt>
                <c:pt idx="1">
                  <c:v>127.14</c:v>
                </c:pt>
                <c:pt idx="2">
                  <c:v>117.56</c:v>
                </c:pt>
                <c:pt idx="3">
                  <c:v>132.47</c:v>
                </c:pt>
                <c:pt idx="4">
                  <c:v>116.96</c:v>
                </c:pt>
                <c:pt idx="5">
                  <c:v>118.62</c:v>
                </c:pt>
                <c:pt idx="6">
                  <c:v>109.9</c:v>
                </c:pt>
                <c:pt idx="7">
                  <c:v>117.64</c:v>
                </c:pt>
                <c:pt idx="8">
                  <c:v>115.4</c:v>
                </c:pt>
                <c:pt idx="9">
                  <c:v>104.34</c:v>
                </c:pt>
                <c:pt idx="10">
                  <c:v>92.62</c:v>
                </c:pt>
                <c:pt idx="11">
                  <c:v>83.16</c:v>
                </c:pt>
                <c:pt idx="12">
                  <c:v>89.25</c:v>
                </c:pt>
              </c:numCache>
            </c:numRef>
          </c:val>
          <c:smooth val="0"/>
        </c:ser>
        <c:ser>
          <c:idx val="1"/>
          <c:order val="1"/>
          <c:tx>
            <c:strRef>
              <c:f>Sheet1!$C$186</c:f>
              <c:strCache>
                <c:ptCount val="1"/>
                <c:pt idx="0">
                  <c:v>Females</c:v>
                </c:pt>
              </c:strCache>
            </c:strRef>
          </c:tx>
          <c:marker>
            <c:symbol val="none"/>
          </c:marker>
          <c:dLbls>
            <c:dLbl>
              <c:idx val="0"/>
              <c:layout>
                <c:manualLayout>
                  <c:x val="-3.8039634903371873E-2"/>
                  <c:y val="-5.1323782529707727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4.9451525374383389E-2"/>
                  <c:y val="5.5989582312817469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Sheet1!$A$187:$A$199</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Sheet1!$C$187:$C$199</c:f>
              <c:numCache>
                <c:formatCode>General</c:formatCode>
                <c:ptCount val="13"/>
                <c:pt idx="0">
                  <c:v>67.5</c:v>
                </c:pt>
                <c:pt idx="1">
                  <c:v>62.26</c:v>
                </c:pt>
                <c:pt idx="2">
                  <c:v>64.599999999999994</c:v>
                </c:pt>
                <c:pt idx="3">
                  <c:v>63.71</c:v>
                </c:pt>
                <c:pt idx="4">
                  <c:v>67.900000000000006</c:v>
                </c:pt>
                <c:pt idx="5">
                  <c:v>70.56</c:v>
                </c:pt>
                <c:pt idx="6">
                  <c:v>72.510000000000005</c:v>
                </c:pt>
                <c:pt idx="7">
                  <c:v>65.48</c:v>
                </c:pt>
                <c:pt idx="8">
                  <c:v>62.67</c:v>
                </c:pt>
                <c:pt idx="9">
                  <c:v>63.33</c:v>
                </c:pt>
                <c:pt idx="10">
                  <c:v>66.77</c:v>
                </c:pt>
                <c:pt idx="11">
                  <c:v>62.53</c:v>
                </c:pt>
                <c:pt idx="12">
                  <c:v>57.64</c:v>
                </c:pt>
              </c:numCache>
            </c:numRef>
          </c:val>
          <c:smooth val="0"/>
        </c:ser>
        <c:dLbls>
          <c:showLegendKey val="0"/>
          <c:showVal val="0"/>
          <c:showCatName val="0"/>
          <c:showSerName val="0"/>
          <c:showPercent val="0"/>
          <c:showBubbleSize val="0"/>
        </c:dLbls>
        <c:marker val="1"/>
        <c:smooth val="0"/>
        <c:axId val="120388608"/>
        <c:axId val="120533760"/>
      </c:lineChart>
      <c:catAx>
        <c:axId val="120388608"/>
        <c:scaling>
          <c:orientation val="minMax"/>
        </c:scaling>
        <c:delete val="0"/>
        <c:axPos val="b"/>
        <c:numFmt formatCode="General" sourceLinked="0"/>
        <c:majorTickMark val="none"/>
        <c:minorTickMark val="none"/>
        <c:tickLblPos val="nextTo"/>
        <c:txPr>
          <a:bodyPr rot="0" vert="horz"/>
          <a:lstStyle/>
          <a:p>
            <a:pPr>
              <a:defRPr/>
            </a:pPr>
            <a:endParaRPr lang="en-US"/>
          </a:p>
        </c:txPr>
        <c:crossAx val="120533760"/>
        <c:crosses val="autoZero"/>
        <c:auto val="1"/>
        <c:lblAlgn val="ctr"/>
        <c:lblOffset val="100"/>
        <c:tickLblSkip val="12"/>
        <c:noMultiLvlLbl val="0"/>
      </c:catAx>
      <c:valAx>
        <c:axId val="120533760"/>
        <c:scaling>
          <c:orientation val="minMax"/>
          <c:max val="200"/>
          <c:min val="0"/>
        </c:scaling>
        <c:delete val="0"/>
        <c:axPos val="l"/>
        <c:title>
          <c:tx>
            <c:rich>
              <a:bodyPr rot="-5400000" vert="horz"/>
              <a:lstStyle/>
              <a:p>
                <a:pPr>
                  <a:defRPr b="0"/>
                </a:pPr>
                <a:r>
                  <a:rPr lang="en-US" b="0"/>
                  <a:t>Rate Per 100,000</a:t>
                </a:r>
              </a:p>
            </c:rich>
          </c:tx>
          <c:layout>
            <c:manualLayout>
              <c:xMode val="edge"/>
              <c:yMode val="edge"/>
              <c:x val="1.8693635070506615E-2"/>
              <c:y val="0.22822117971039574"/>
            </c:manualLayout>
          </c:layout>
          <c:overlay val="0"/>
        </c:title>
        <c:numFmt formatCode="General" sourceLinked="1"/>
        <c:majorTickMark val="out"/>
        <c:minorTickMark val="none"/>
        <c:tickLblPos val="none"/>
        <c:crossAx val="120388608"/>
        <c:crosses val="autoZero"/>
        <c:crossBetween val="between"/>
      </c:valAx>
    </c:plotArea>
    <c:legend>
      <c:legendPos val="b"/>
      <c:layout>
        <c:manualLayout>
          <c:xMode val="edge"/>
          <c:yMode val="edge"/>
          <c:x val="0.26117923467249826"/>
          <c:y val="5.0654412345613992E-2"/>
          <c:w val="0.56597534102866276"/>
          <c:h val="9.5665399798305253E-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833573089112773"/>
          <c:y val="5.5316897721657571E-2"/>
          <c:w val="0.82472371598065852"/>
          <c:h val="0.812260074216552"/>
        </c:manualLayout>
      </c:layout>
      <c:lineChart>
        <c:grouping val="standard"/>
        <c:varyColors val="0"/>
        <c:ser>
          <c:idx val="0"/>
          <c:order val="0"/>
          <c:tx>
            <c:strRef>
              <c:f>Sheet1!$B$218</c:f>
              <c:strCache>
                <c:ptCount val="1"/>
                <c:pt idx="0">
                  <c:v>Males</c:v>
                </c:pt>
              </c:strCache>
            </c:strRef>
          </c:tx>
          <c:marker>
            <c:symbol val="none"/>
          </c:marker>
          <c:dLbls>
            <c:dLbl>
              <c:idx val="0"/>
              <c:layout>
                <c:manualLayout>
                  <c:x val="-4.0082032455715705E-2"/>
                  <c:y val="-5.1323782529707727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4.6657984117916114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Sheet1!$A$219:$A$231</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Sheet1!$B$219:$B$231</c:f>
              <c:numCache>
                <c:formatCode>General</c:formatCode>
                <c:ptCount val="13"/>
                <c:pt idx="0">
                  <c:v>366.84</c:v>
                </c:pt>
                <c:pt idx="1">
                  <c:v>369.01</c:v>
                </c:pt>
                <c:pt idx="2">
                  <c:v>349.69</c:v>
                </c:pt>
                <c:pt idx="3">
                  <c:v>314.61</c:v>
                </c:pt>
                <c:pt idx="4">
                  <c:v>275.19</c:v>
                </c:pt>
                <c:pt idx="5">
                  <c:v>283.20999999999998</c:v>
                </c:pt>
                <c:pt idx="6">
                  <c:v>282.92</c:v>
                </c:pt>
                <c:pt idx="7">
                  <c:v>250.21</c:v>
                </c:pt>
                <c:pt idx="8">
                  <c:v>272.31</c:v>
                </c:pt>
                <c:pt idx="9">
                  <c:v>259.26</c:v>
                </c:pt>
                <c:pt idx="10">
                  <c:v>282.45999999999998</c:v>
                </c:pt>
                <c:pt idx="11">
                  <c:v>245.63</c:v>
                </c:pt>
                <c:pt idx="12">
                  <c:v>255.6</c:v>
                </c:pt>
              </c:numCache>
            </c:numRef>
          </c:val>
          <c:smooth val="0"/>
        </c:ser>
        <c:ser>
          <c:idx val="1"/>
          <c:order val="1"/>
          <c:tx>
            <c:strRef>
              <c:f>Sheet1!$C$218</c:f>
              <c:strCache>
                <c:ptCount val="1"/>
                <c:pt idx="0">
                  <c:v>Females</c:v>
                </c:pt>
              </c:strCache>
            </c:strRef>
          </c:tx>
          <c:marker>
            <c:symbol val="none"/>
          </c:marker>
          <c:dLbls>
            <c:dLbl>
              <c:idx val="0"/>
              <c:layout>
                <c:manualLayout>
                  <c:x val="-4.0082032455715663E-2"/>
                  <c:y val="6.0655379353290947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5.5989580941499341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Sheet1!$A$219:$A$231</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Sheet1!$C$219:$C$231</c:f>
              <c:numCache>
                <c:formatCode>General</c:formatCode>
                <c:ptCount val="13"/>
                <c:pt idx="0">
                  <c:v>246.98</c:v>
                </c:pt>
                <c:pt idx="1">
                  <c:v>250.7</c:v>
                </c:pt>
                <c:pt idx="2">
                  <c:v>241.77</c:v>
                </c:pt>
                <c:pt idx="3">
                  <c:v>235.23</c:v>
                </c:pt>
                <c:pt idx="4">
                  <c:v>218.97</c:v>
                </c:pt>
                <c:pt idx="5">
                  <c:v>225.76</c:v>
                </c:pt>
                <c:pt idx="6">
                  <c:v>226.85</c:v>
                </c:pt>
                <c:pt idx="7">
                  <c:v>206.1</c:v>
                </c:pt>
                <c:pt idx="8">
                  <c:v>225.58</c:v>
                </c:pt>
                <c:pt idx="9">
                  <c:v>227.14</c:v>
                </c:pt>
                <c:pt idx="10">
                  <c:v>232.62</c:v>
                </c:pt>
                <c:pt idx="11">
                  <c:v>210.22</c:v>
                </c:pt>
                <c:pt idx="12">
                  <c:v>216.16</c:v>
                </c:pt>
              </c:numCache>
            </c:numRef>
          </c:val>
          <c:smooth val="0"/>
        </c:ser>
        <c:dLbls>
          <c:showLegendKey val="0"/>
          <c:showVal val="0"/>
          <c:showCatName val="0"/>
          <c:showSerName val="0"/>
          <c:showPercent val="0"/>
          <c:showBubbleSize val="0"/>
        </c:dLbls>
        <c:marker val="1"/>
        <c:smooth val="0"/>
        <c:axId val="120555776"/>
        <c:axId val="120606720"/>
      </c:lineChart>
      <c:catAx>
        <c:axId val="120555776"/>
        <c:scaling>
          <c:orientation val="minMax"/>
        </c:scaling>
        <c:delete val="0"/>
        <c:axPos val="b"/>
        <c:numFmt formatCode="General" sourceLinked="0"/>
        <c:majorTickMark val="none"/>
        <c:minorTickMark val="none"/>
        <c:tickLblPos val="nextTo"/>
        <c:txPr>
          <a:bodyPr rot="0" vert="horz"/>
          <a:lstStyle/>
          <a:p>
            <a:pPr>
              <a:defRPr/>
            </a:pPr>
            <a:endParaRPr lang="en-US"/>
          </a:p>
        </c:txPr>
        <c:crossAx val="120606720"/>
        <c:crosses val="autoZero"/>
        <c:auto val="1"/>
        <c:lblAlgn val="ctr"/>
        <c:lblOffset val="100"/>
        <c:tickLblSkip val="12"/>
        <c:noMultiLvlLbl val="0"/>
      </c:catAx>
      <c:valAx>
        <c:axId val="120606720"/>
        <c:scaling>
          <c:orientation val="minMax"/>
          <c:max val="500"/>
          <c:min val="0"/>
        </c:scaling>
        <c:delete val="0"/>
        <c:axPos val="l"/>
        <c:title>
          <c:tx>
            <c:rich>
              <a:bodyPr rot="-5400000" vert="horz"/>
              <a:lstStyle/>
              <a:p>
                <a:pPr>
                  <a:defRPr b="0"/>
                </a:pPr>
                <a:r>
                  <a:rPr lang="en-US" b="0"/>
                  <a:t>Rate Per 100,000</a:t>
                </a:r>
              </a:p>
            </c:rich>
          </c:tx>
          <c:layout>
            <c:manualLayout>
              <c:xMode val="edge"/>
              <c:yMode val="edge"/>
              <c:x val="1.4895397753830997E-2"/>
              <c:y val="0.21517136373833701"/>
            </c:manualLayout>
          </c:layout>
          <c:overlay val="0"/>
        </c:title>
        <c:numFmt formatCode="General" sourceLinked="1"/>
        <c:majorTickMark val="out"/>
        <c:minorTickMark val="none"/>
        <c:tickLblPos val="none"/>
        <c:crossAx val="120555776"/>
        <c:crosses val="autoZero"/>
        <c:crossBetween val="between"/>
        <c:majorUnit val="100"/>
      </c:valAx>
    </c:plotArea>
    <c:legend>
      <c:legendPos val="t"/>
      <c:layout>
        <c:manualLayout>
          <c:xMode val="edge"/>
          <c:yMode val="edge"/>
          <c:x val="0.27713537816924211"/>
          <c:y val="4.6953553972497952E-2"/>
          <c:w val="0.56597534102866276"/>
          <c:h val="9.5665399798305253E-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5728358715153143"/>
        </c:manualLayout>
      </c:layout>
      <c:lineChart>
        <c:grouping val="standard"/>
        <c:varyColors val="0"/>
        <c:ser>
          <c:idx val="0"/>
          <c:order val="0"/>
          <c:tx>
            <c:strRef>
              <c:f>Sheet1!$B$234</c:f>
              <c:strCache>
                <c:ptCount val="1"/>
                <c:pt idx="0">
                  <c:v>Males</c:v>
                </c:pt>
              </c:strCache>
            </c:strRef>
          </c:tx>
          <c:marker>
            <c:symbol val="none"/>
          </c:marker>
          <c:dLbls>
            <c:dLbl>
              <c:idx val="0"/>
              <c:layout>
                <c:manualLayout>
                  <c:x val="-4.9451525374383389E-2"/>
                  <c:y val="7.2390555597514214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7.2390555597514214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Sheet1!$A$235:$A$247</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Sheet1!$B$235:$B$247</c:f>
              <c:numCache>
                <c:formatCode>General</c:formatCode>
                <c:ptCount val="13"/>
                <c:pt idx="0">
                  <c:v>510.65</c:v>
                </c:pt>
                <c:pt idx="1">
                  <c:v>505.78</c:v>
                </c:pt>
                <c:pt idx="2">
                  <c:v>534.1</c:v>
                </c:pt>
                <c:pt idx="3">
                  <c:v>514.30999999999995</c:v>
                </c:pt>
                <c:pt idx="4">
                  <c:v>517.98</c:v>
                </c:pt>
                <c:pt idx="5">
                  <c:v>505.17</c:v>
                </c:pt>
                <c:pt idx="6">
                  <c:v>528.83000000000004</c:v>
                </c:pt>
                <c:pt idx="7">
                  <c:v>602.76</c:v>
                </c:pt>
                <c:pt idx="8">
                  <c:v>625.96</c:v>
                </c:pt>
                <c:pt idx="9">
                  <c:v>682.3</c:v>
                </c:pt>
                <c:pt idx="10">
                  <c:v>660.96</c:v>
                </c:pt>
                <c:pt idx="11">
                  <c:v>649.88</c:v>
                </c:pt>
                <c:pt idx="12">
                  <c:v>613.5</c:v>
                </c:pt>
              </c:numCache>
            </c:numRef>
          </c:val>
          <c:smooth val="0"/>
        </c:ser>
        <c:ser>
          <c:idx val="1"/>
          <c:order val="1"/>
          <c:tx>
            <c:strRef>
              <c:f>Sheet1!$C$234</c:f>
              <c:strCache>
                <c:ptCount val="1"/>
                <c:pt idx="0">
                  <c:v>Females</c:v>
                </c:pt>
              </c:strCache>
            </c:strRef>
          </c:tx>
          <c:marker>
            <c:symbol val="none"/>
          </c:marker>
          <c:dLbls>
            <c:dLbl>
              <c:idx val="0"/>
              <c:layout>
                <c:manualLayout>
                  <c:x val="-4.5647561884046207E-2"/>
                  <c:y val="-7.8423101897307057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7.842357690095271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Sheet1!$A$235:$A$247</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Sheet1!$C$235:$C$247</c:f>
              <c:numCache>
                <c:formatCode>General</c:formatCode>
                <c:ptCount val="13"/>
                <c:pt idx="0">
                  <c:v>538.85</c:v>
                </c:pt>
                <c:pt idx="1">
                  <c:v>565.39</c:v>
                </c:pt>
                <c:pt idx="2">
                  <c:v>561.24</c:v>
                </c:pt>
                <c:pt idx="3">
                  <c:v>541.36</c:v>
                </c:pt>
                <c:pt idx="4">
                  <c:v>548.45000000000005</c:v>
                </c:pt>
                <c:pt idx="5">
                  <c:v>523.01</c:v>
                </c:pt>
                <c:pt idx="6">
                  <c:v>566.72</c:v>
                </c:pt>
                <c:pt idx="7">
                  <c:v>620.52</c:v>
                </c:pt>
                <c:pt idx="8">
                  <c:v>656.38</c:v>
                </c:pt>
                <c:pt idx="9">
                  <c:v>673.64</c:v>
                </c:pt>
                <c:pt idx="10">
                  <c:v>695.81</c:v>
                </c:pt>
                <c:pt idx="11">
                  <c:v>672.52</c:v>
                </c:pt>
                <c:pt idx="12">
                  <c:v>650.79</c:v>
                </c:pt>
              </c:numCache>
            </c:numRef>
          </c:val>
          <c:smooth val="0"/>
        </c:ser>
        <c:dLbls>
          <c:showLegendKey val="0"/>
          <c:showVal val="0"/>
          <c:showCatName val="0"/>
          <c:showSerName val="0"/>
          <c:showPercent val="0"/>
          <c:showBubbleSize val="0"/>
        </c:dLbls>
        <c:marker val="1"/>
        <c:smooth val="0"/>
        <c:axId val="120636928"/>
        <c:axId val="120638464"/>
      </c:lineChart>
      <c:catAx>
        <c:axId val="120636928"/>
        <c:scaling>
          <c:orientation val="minMax"/>
        </c:scaling>
        <c:delete val="0"/>
        <c:axPos val="b"/>
        <c:numFmt formatCode="General" sourceLinked="0"/>
        <c:majorTickMark val="none"/>
        <c:minorTickMark val="none"/>
        <c:tickLblPos val="nextTo"/>
        <c:txPr>
          <a:bodyPr rot="0" vert="horz"/>
          <a:lstStyle/>
          <a:p>
            <a:pPr>
              <a:defRPr/>
            </a:pPr>
            <a:endParaRPr lang="en-US"/>
          </a:p>
        </c:txPr>
        <c:crossAx val="120638464"/>
        <c:crosses val="autoZero"/>
        <c:auto val="1"/>
        <c:lblAlgn val="ctr"/>
        <c:lblOffset val="100"/>
        <c:tickLblSkip val="12"/>
        <c:noMultiLvlLbl val="0"/>
      </c:catAx>
      <c:valAx>
        <c:axId val="120638464"/>
        <c:scaling>
          <c:orientation val="minMax"/>
          <c:max val="1000"/>
          <c:min val="0"/>
        </c:scaling>
        <c:delete val="0"/>
        <c:axPos val="l"/>
        <c:title>
          <c:tx>
            <c:rich>
              <a:bodyPr rot="-5400000" vert="horz"/>
              <a:lstStyle/>
              <a:p>
                <a:pPr>
                  <a:defRPr b="0"/>
                </a:pPr>
                <a:r>
                  <a:rPr lang="en-US" b="0"/>
                  <a:t>Rate Per 100,000</a:t>
                </a:r>
              </a:p>
            </c:rich>
          </c:tx>
          <c:layout>
            <c:manualLayout>
              <c:xMode val="edge"/>
              <c:yMode val="edge"/>
              <c:x val="2.603323053326723E-2"/>
              <c:y val="0.10632170978627671"/>
            </c:manualLayout>
          </c:layout>
          <c:overlay val="0"/>
        </c:title>
        <c:numFmt formatCode="General" sourceLinked="1"/>
        <c:majorTickMark val="out"/>
        <c:minorTickMark val="none"/>
        <c:tickLblPos val="none"/>
        <c:crossAx val="120636928"/>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2108817686864146"/>
        </c:manualLayout>
      </c:layout>
      <c:lineChart>
        <c:grouping val="standard"/>
        <c:varyColors val="0"/>
        <c:ser>
          <c:idx val="0"/>
          <c:order val="0"/>
          <c:tx>
            <c:strRef>
              <c:f>Sheet1!$D$234</c:f>
              <c:strCache>
                <c:ptCount val="1"/>
                <c:pt idx="0">
                  <c:v>Males</c:v>
                </c:pt>
              </c:strCache>
            </c:strRef>
          </c:tx>
          <c:marker>
            <c:symbol val="none"/>
          </c:marker>
          <c:dLbls>
            <c:dLbl>
              <c:idx val="0"/>
              <c:layout>
                <c:manualLayout>
                  <c:x val="-3.8039634903371825E-2"/>
                  <c:y val="-0.11461843414023824"/>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layout>
                <c:manualLayout>
                  <c:x val="1.9019817451685919E-2"/>
                  <c:y val="-1.8097647495827093E-2"/>
                </c:manualLayout>
              </c:layout>
              <c:tx>
                <c:rich>
                  <a:bodyPr/>
                  <a:lstStyle/>
                  <a:p>
                    <a:r>
                      <a:rPr lang="en-US"/>
                      <a:t>9.4</a:t>
                    </a:r>
                  </a:p>
                </c:rich>
              </c:tx>
              <c:showLegendKey val="0"/>
              <c:showVal val="1"/>
              <c:showCatName val="0"/>
              <c:showSerName val="0"/>
              <c:showPercent val="0"/>
              <c:showBubbleSize val="0"/>
            </c:dLbl>
            <c:dLbl>
              <c:idx val="11"/>
              <c:delete val="1"/>
            </c:dLbl>
            <c:numFmt formatCode="#,##0.0" sourceLinked="0"/>
            <c:showLegendKey val="0"/>
            <c:showVal val="1"/>
            <c:showCatName val="0"/>
            <c:showSerName val="0"/>
            <c:showPercent val="0"/>
            <c:showBubbleSize val="0"/>
            <c:showLeaderLines val="0"/>
          </c:dLbls>
          <c:cat>
            <c:numRef>
              <c:f>Sheet1!$A$235:$A$247</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Sheet1!$D$235:$D$246</c:f>
              <c:numCache>
                <c:formatCode>General</c:formatCode>
                <c:ptCount val="12"/>
                <c:pt idx="0">
                  <c:v>4</c:v>
                </c:pt>
                <c:pt idx="1">
                  <c:v>5.15</c:v>
                </c:pt>
                <c:pt idx="2">
                  <c:v>4.38</c:v>
                </c:pt>
                <c:pt idx="3">
                  <c:v>5.2</c:v>
                </c:pt>
                <c:pt idx="4">
                  <c:v>7.5</c:v>
                </c:pt>
                <c:pt idx="5">
                  <c:v>6.5</c:v>
                </c:pt>
                <c:pt idx="6">
                  <c:v>6.6</c:v>
                </c:pt>
                <c:pt idx="7">
                  <c:v>8.93</c:v>
                </c:pt>
                <c:pt idx="8">
                  <c:v>8.82</c:v>
                </c:pt>
                <c:pt idx="9">
                  <c:v>10.65</c:v>
                </c:pt>
                <c:pt idx="10">
                  <c:v>10.99</c:v>
                </c:pt>
                <c:pt idx="11">
                  <c:v>9.4</c:v>
                </c:pt>
              </c:numCache>
            </c:numRef>
          </c:val>
          <c:smooth val="0"/>
        </c:ser>
        <c:ser>
          <c:idx val="1"/>
          <c:order val="1"/>
          <c:tx>
            <c:strRef>
              <c:f>Sheet1!$E$234</c:f>
              <c:strCache>
                <c:ptCount val="1"/>
                <c:pt idx="0">
                  <c:v>Females</c:v>
                </c:pt>
              </c:strCache>
            </c:strRef>
          </c:tx>
          <c:marker>
            <c:symbol val="none"/>
          </c:marker>
          <c:dLbls>
            <c:dLbl>
              <c:idx val="0"/>
              <c:layout>
                <c:manualLayout>
                  <c:x val="-4.5647561884046187E-2"/>
                  <c:y val="7.239058998330837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layout>
                <c:manualLayout>
                  <c:x val="-3.0431707922697473E-2"/>
                  <c:y val="7.2390589983308426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Sheet1!$A$235:$A$247</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Sheet1!$E$235:$E$246</c:f>
              <c:numCache>
                <c:formatCode>General</c:formatCode>
                <c:ptCount val="12"/>
                <c:pt idx="0">
                  <c:v>3.27</c:v>
                </c:pt>
                <c:pt idx="1">
                  <c:v>3.26</c:v>
                </c:pt>
                <c:pt idx="2">
                  <c:v>2.75</c:v>
                </c:pt>
                <c:pt idx="3">
                  <c:v>3.81</c:v>
                </c:pt>
                <c:pt idx="4">
                  <c:v>4.92</c:v>
                </c:pt>
                <c:pt idx="5">
                  <c:v>4.78</c:v>
                </c:pt>
                <c:pt idx="6">
                  <c:v>4.8099999999999996</c:v>
                </c:pt>
                <c:pt idx="7">
                  <c:v>4.93</c:v>
                </c:pt>
                <c:pt idx="8">
                  <c:v>7.51</c:v>
                </c:pt>
                <c:pt idx="9">
                  <c:v>6.27</c:v>
                </c:pt>
                <c:pt idx="10">
                  <c:v>7.99</c:v>
                </c:pt>
                <c:pt idx="11">
                  <c:v>7.7</c:v>
                </c:pt>
              </c:numCache>
            </c:numRef>
          </c:val>
          <c:smooth val="0"/>
        </c:ser>
        <c:dLbls>
          <c:showLegendKey val="0"/>
          <c:showVal val="0"/>
          <c:showCatName val="0"/>
          <c:showSerName val="0"/>
          <c:showPercent val="0"/>
          <c:showBubbleSize val="0"/>
        </c:dLbls>
        <c:marker val="1"/>
        <c:smooth val="0"/>
        <c:axId val="121033856"/>
        <c:axId val="121035392"/>
      </c:lineChart>
      <c:catAx>
        <c:axId val="121033856"/>
        <c:scaling>
          <c:orientation val="minMax"/>
        </c:scaling>
        <c:delete val="0"/>
        <c:axPos val="b"/>
        <c:numFmt formatCode="General" sourceLinked="0"/>
        <c:majorTickMark val="none"/>
        <c:minorTickMark val="none"/>
        <c:tickLblPos val="nextTo"/>
        <c:txPr>
          <a:bodyPr rot="0" vert="horz"/>
          <a:lstStyle/>
          <a:p>
            <a:pPr>
              <a:defRPr/>
            </a:pPr>
            <a:endParaRPr lang="en-US"/>
          </a:p>
        </c:txPr>
        <c:crossAx val="121035392"/>
        <c:crosses val="autoZero"/>
        <c:auto val="1"/>
        <c:lblAlgn val="ctr"/>
        <c:lblOffset val="100"/>
        <c:tickLblSkip val="11"/>
        <c:noMultiLvlLbl val="0"/>
      </c:catAx>
      <c:valAx>
        <c:axId val="121035392"/>
        <c:scaling>
          <c:orientation val="minMax"/>
          <c:max val="15"/>
          <c:min val="0"/>
        </c:scaling>
        <c:delete val="0"/>
        <c:axPos val="l"/>
        <c:title>
          <c:tx>
            <c:rich>
              <a:bodyPr rot="-5400000" vert="horz"/>
              <a:lstStyle/>
              <a:p>
                <a:pPr>
                  <a:defRPr b="0"/>
                </a:pPr>
                <a:r>
                  <a:rPr lang="en-US" b="0"/>
                  <a:t>Rate Per 100,000</a:t>
                </a:r>
              </a:p>
            </c:rich>
          </c:tx>
          <c:layout>
            <c:manualLayout>
              <c:xMode val="edge"/>
              <c:yMode val="edge"/>
              <c:x val="2.6033187934067427E-2"/>
              <c:y val="0.12585029144084262"/>
            </c:manualLayout>
          </c:layout>
          <c:overlay val="0"/>
        </c:title>
        <c:numFmt formatCode="General" sourceLinked="1"/>
        <c:majorTickMark val="out"/>
        <c:minorTickMark val="none"/>
        <c:tickLblPos val="none"/>
        <c:crossAx val="121033856"/>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5728358715153143"/>
        </c:manualLayout>
      </c:layout>
      <c:lineChart>
        <c:grouping val="standard"/>
        <c:varyColors val="0"/>
        <c:ser>
          <c:idx val="0"/>
          <c:order val="0"/>
          <c:tx>
            <c:strRef>
              <c:f>Sheet1!$B$250</c:f>
              <c:strCache>
                <c:ptCount val="1"/>
                <c:pt idx="0">
                  <c:v>Males</c:v>
                </c:pt>
              </c:strCache>
            </c:strRef>
          </c:tx>
          <c:marker>
            <c:symbol val="none"/>
          </c:marker>
          <c:dLbls>
            <c:dLbl>
              <c:idx val="0"/>
              <c:layout>
                <c:manualLayout>
                  <c:x val="-4.1843598393709026E-2"/>
                  <c:y val="7.543859822808395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8.8011697932764602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Sheet1!$A$251:$A$263</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Sheet1!$B$251:$B$263</c:f>
              <c:numCache>
                <c:formatCode>General</c:formatCode>
                <c:ptCount val="13"/>
                <c:pt idx="0">
                  <c:v>341.8</c:v>
                </c:pt>
                <c:pt idx="1">
                  <c:v>348.16</c:v>
                </c:pt>
                <c:pt idx="2">
                  <c:v>356.71</c:v>
                </c:pt>
                <c:pt idx="3">
                  <c:v>366.77</c:v>
                </c:pt>
                <c:pt idx="4">
                  <c:v>369.34</c:v>
                </c:pt>
                <c:pt idx="5">
                  <c:v>368.11</c:v>
                </c:pt>
                <c:pt idx="6">
                  <c:v>383.77</c:v>
                </c:pt>
                <c:pt idx="7">
                  <c:v>387.69</c:v>
                </c:pt>
                <c:pt idx="8">
                  <c:v>368.68</c:v>
                </c:pt>
                <c:pt idx="9">
                  <c:v>372.67</c:v>
                </c:pt>
                <c:pt idx="10">
                  <c:v>365.58</c:v>
                </c:pt>
                <c:pt idx="11">
                  <c:v>356.67</c:v>
                </c:pt>
                <c:pt idx="12">
                  <c:v>339.33</c:v>
                </c:pt>
              </c:numCache>
            </c:numRef>
          </c:val>
          <c:smooth val="0"/>
        </c:ser>
        <c:ser>
          <c:idx val="1"/>
          <c:order val="1"/>
          <c:tx>
            <c:strRef>
              <c:f>Sheet1!$C$250</c:f>
              <c:strCache>
                <c:ptCount val="1"/>
                <c:pt idx="0">
                  <c:v>Females</c:v>
                </c:pt>
              </c:strCache>
            </c:strRef>
          </c:tx>
          <c:marker>
            <c:symbol val="none"/>
          </c:marker>
          <c:dLbls>
            <c:dLbl>
              <c:idx val="0"/>
              <c:layout>
                <c:manualLayout>
                  <c:x val="-4.1843598393709026E-2"/>
                  <c:y val="8.1725148080424276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2.2823780942023104E-2"/>
                  <c:y val="8.8011697932764602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Sheet1!$A$251:$A$263</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Sheet1!$C$251:$C$263</c:f>
              <c:numCache>
                <c:formatCode>General</c:formatCode>
                <c:ptCount val="13"/>
                <c:pt idx="0">
                  <c:v>135.94</c:v>
                </c:pt>
                <c:pt idx="1">
                  <c:v>144.77000000000001</c:v>
                </c:pt>
                <c:pt idx="2">
                  <c:v>142.57</c:v>
                </c:pt>
                <c:pt idx="3">
                  <c:v>137.1</c:v>
                </c:pt>
                <c:pt idx="4">
                  <c:v>153.69999999999999</c:v>
                </c:pt>
                <c:pt idx="5">
                  <c:v>141.9</c:v>
                </c:pt>
                <c:pt idx="6">
                  <c:v>152.44</c:v>
                </c:pt>
                <c:pt idx="7">
                  <c:v>154.21</c:v>
                </c:pt>
                <c:pt idx="8">
                  <c:v>161.53</c:v>
                </c:pt>
                <c:pt idx="9">
                  <c:v>157.88</c:v>
                </c:pt>
                <c:pt idx="10">
                  <c:v>153.41</c:v>
                </c:pt>
                <c:pt idx="11">
                  <c:v>152.75</c:v>
                </c:pt>
                <c:pt idx="12">
                  <c:v>148.37</c:v>
                </c:pt>
              </c:numCache>
            </c:numRef>
          </c:val>
          <c:smooth val="0"/>
        </c:ser>
        <c:dLbls>
          <c:showLegendKey val="0"/>
          <c:showVal val="0"/>
          <c:showCatName val="0"/>
          <c:showSerName val="0"/>
          <c:showPercent val="0"/>
          <c:showBubbleSize val="0"/>
        </c:dLbls>
        <c:marker val="1"/>
        <c:smooth val="0"/>
        <c:axId val="121373056"/>
        <c:axId val="121374592"/>
      </c:lineChart>
      <c:catAx>
        <c:axId val="121373056"/>
        <c:scaling>
          <c:orientation val="minMax"/>
        </c:scaling>
        <c:delete val="0"/>
        <c:axPos val="b"/>
        <c:numFmt formatCode="General" sourceLinked="0"/>
        <c:majorTickMark val="none"/>
        <c:minorTickMark val="none"/>
        <c:tickLblPos val="nextTo"/>
        <c:txPr>
          <a:bodyPr rot="0" vert="horz"/>
          <a:lstStyle/>
          <a:p>
            <a:pPr>
              <a:defRPr/>
            </a:pPr>
            <a:endParaRPr lang="en-US"/>
          </a:p>
        </c:txPr>
        <c:crossAx val="121374592"/>
        <c:crosses val="autoZero"/>
        <c:auto val="1"/>
        <c:lblAlgn val="ctr"/>
        <c:lblOffset val="100"/>
        <c:tickLblSkip val="12"/>
        <c:noMultiLvlLbl val="0"/>
      </c:catAx>
      <c:valAx>
        <c:axId val="121374592"/>
        <c:scaling>
          <c:orientation val="minMax"/>
          <c:max val="500"/>
          <c:min val="0"/>
        </c:scaling>
        <c:delete val="0"/>
        <c:axPos val="l"/>
        <c:title>
          <c:tx>
            <c:rich>
              <a:bodyPr rot="-5400000" vert="horz"/>
              <a:lstStyle/>
              <a:p>
                <a:pPr>
                  <a:defRPr b="0"/>
                </a:pPr>
                <a:r>
                  <a:rPr lang="en-US" b="0"/>
                  <a:t>Rate Per 100,000</a:t>
                </a:r>
              </a:p>
            </c:rich>
          </c:tx>
          <c:layout>
            <c:manualLayout>
              <c:xMode val="edge"/>
              <c:yMode val="edge"/>
              <c:x val="2.6039110554442517E-2"/>
              <c:y val="0.13861028735044484"/>
            </c:manualLayout>
          </c:layout>
          <c:overlay val="0"/>
        </c:title>
        <c:numFmt formatCode="General" sourceLinked="1"/>
        <c:majorTickMark val="out"/>
        <c:minorTickMark val="none"/>
        <c:tickLblPos val="none"/>
        <c:crossAx val="121373056"/>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5728358715153143"/>
        </c:manualLayout>
      </c:layout>
      <c:lineChart>
        <c:grouping val="standard"/>
        <c:varyColors val="0"/>
        <c:ser>
          <c:idx val="0"/>
          <c:order val="0"/>
          <c:tx>
            <c:strRef>
              <c:f>Sheet1!$D$250</c:f>
              <c:strCache>
                <c:ptCount val="1"/>
                <c:pt idx="0">
                  <c:v>Males</c:v>
                </c:pt>
              </c:strCache>
            </c:strRef>
          </c:tx>
          <c:marker>
            <c:symbol val="none"/>
          </c:marker>
          <c:dLbls>
            <c:dLbl>
              <c:idx val="0"/>
              <c:layout>
                <c:manualLayout>
                  <c:x val="-5.3255488864720556E-2"/>
                  <c:y val="-8.5788828538217593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layout>
                <c:manualLayout>
                  <c:x val="-2.6627744432360288E-2"/>
                  <c:y val="-8.5788828538217593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Sheet1!$A$251:$A$263</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Sheet1!$D$251:$D$262</c:f>
              <c:numCache>
                <c:formatCode>General</c:formatCode>
                <c:ptCount val="12"/>
                <c:pt idx="0">
                  <c:v>13.7</c:v>
                </c:pt>
                <c:pt idx="1">
                  <c:v>14.22</c:v>
                </c:pt>
                <c:pt idx="2">
                  <c:v>14.63</c:v>
                </c:pt>
                <c:pt idx="3">
                  <c:v>11.92</c:v>
                </c:pt>
                <c:pt idx="4">
                  <c:v>16.3</c:v>
                </c:pt>
                <c:pt idx="5">
                  <c:v>19.18</c:v>
                </c:pt>
                <c:pt idx="6">
                  <c:v>15.11</c:v>
                </c:pt>
                <c:pt idx="7">
                  <c:v>12.87</c:v>
                </c:pt>
                <c:pt idx="8">
                  <c:v>13.1</c:v>
                </c:pt>
                <c:pt idx="9">
                  <c:v>11.01</c:v>
                </c:pt>
                <c:pt idx="10">
                  <c:v>10.69</c:v>
                </c:pt>
                <c:pt idx="11">
                  <c:v>10.039999999999999</c:v>
                </c:pt>
              </c:numCache>
            </c:numRef>
          </c:val>
          <c:smooth val="0"/>
        </c:ser>
        <c:ser>
          <c:idx val="1"/>
          <c:order val="1"/>
          <c:tx>
            <c:strRef>
              <c:f>Sheet1!$E$250</c:f>
              <c:strCache>
                <c:ptCount val="1"/>
                <c:pt idx="0">
                  <c:v>Females</c:v>
                </c:pt>
              </c:strCache>
            </c:strRef>
          </c:tx>
          <c:marker>
            <c:symbol val="none"/>
          </c:marker>
          <c:dLbls>
            <c:dLbl>
              <c:idx val="0"/>
              <c:layout>
                <c:manualLayout>
                  <c:x val="-4.1843598393709006E-2"/>
                  <c:y val="-7.9189687881431631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layout>
                <c:manualLayout>
                  <c:x val="-2.6627744432360288E-2"/>
                  <c:y val="-8.5788828538217593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Sheet1!$A$251:$A$263</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Sheet1!$E$251:$E$262</c:f>
              <c:numCache>
                <c:formatCode>General</c:formatCode>
                <c:ptCount val="12"/>
                <c:pt idx="0">
                  <c:v>5.48</c:v>
                </c:pt>
                <c:pt idx="1">
                  <c:v>6.42</c:v>
                </c:pt>
                <c:pt idx="2">
                  <c:v>5.0999999999999996</c:v>
                </c:pt>
                <c:pt idx="3">
                  <c:v>4.3600000000000003</c:v>
                </c:pt>
                <c:pt idx="4">
                  <c:v>4.51</c:v>
                </c:pt>
                <c:pt idx="5">
                  <c:v>5.79</c:v>
                </c:pt>
                <c:pt idx="6">
                  <c:v>5.0999999999999996</c:v>
                </c:pt>
                <c:pt idx="7">
                  <c:v>4.3</c:v>
                </c:pt>
                <c:pt idx="8">
                  <c:v>5.0599999999999996</c:v>
                </c:pt>
                <c:pt idx="9">
                  <c:v>4.05</c:v>
                </c:pt>
                <c:pt idx="10">
                  <c:v>4.62</c:v>
                </c:pt>
                <c:pt idx="11">
                  <c:v>1.67</c:v>
                </c:pt>
              </c:numCache>
            </c:numRef>
          </c:val>
          <c:smooth val="0"/>
        </c:ser>
        <c:dLbls>
          <c:showLegendKey val="0"/>
          <c:showVal val="0"/>
          <c:showCatName val="0"/>
          <c:showSerName val="0"/>
          <c:showPercent val="0"/>
          <c:showBubbleSize val="0"/>
        </c:dLbls>
        <c:marker val="1"/>
        <c:smooth val="0"/>
        <c:axId val="121412608"/>
        <c:axId val="121414400"/>
      </c:lineChart>
      <c:catAx>
        <c:axId val="121412608"/>
        <c:scaling>
          <c:orientation val="minMax"/>
        </c:scaling>
        <c:delete val="0"/>
        <c:axPos val="b"/>
        <c:numFmt formatCode="General" sourceLinked="0"/>
        <c:majorTickMark val="none"/>
        <c:minorTickMark val="none"/>
        <c:tickLblPos val="nextTo"/>
        <c:txPr>
          <a:bodyPr rot="0" vert="horz"/>
          <a:lstStyle/>
          <a:p>
            <a:pPr>
              <a:defRPr/>
            </a:pPr>
            <a:endParaRPr lang="en-US"/>
          </a:p>
        </c:txPr>
        <c:crossAx val="121414400"/>
        <c:crosses val="autoZero"/>
        <c:auto val="1"/>
        <c:lblAlgn val="ctr"/>
        <c:lblOffset val="100"/>
        <c:tickLblSkip val="11"/>
        <c:noMultiLvlLbl val="0"/>
      </c:catAx>
      <c:valAx>
        <c:axId val="121414400"/>
        <c:scaling>
          <c:orientation val="minMax"/>
          <c:max val="30"/>
          <c:min val="0"/>
        </c:scaling>
        <c:delete val="0"/>
        <c:axPos val="l"/>
        <c:title>
          <c:tx>
            <c:rich>
              <a:bodyPr rot="-5400000" vert="horz"/>
              <a:lstStyle/>
              <a:p>
                <a:pPr>
                  <a:defRPr b="0"/>
                </a:pPr>
                <a:r>
                  <a:rPr lang="en-US" b="0"/>
                  <a:t>Rate Per 100,000</a:t>
                </a:r>
              </a:p>
            </c:rich>
          </c:tx>
          <c:layout>
            <c:manualLayout>
              <c:xMode val="edge"/>
              <c:yMode val="edge"/>
              <c:x val="2.6033122276709935E-2"/>
              <c:y val="0.15826985427726512"/>
            </c:manualLayout>
          </c:layout>
          <c:overlay val="0"/>
        </c:title>
        <c:numFmt formatCode="General" sourceLinked="1"/>
        <c:majorTickMark val="out"/>
        <c:minorTickMark val="none"/>
        <c:tickLblPos val="none"/>
        <c:crossAx val="121412608"/>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5728358715153143"/>
        </c:manualLayout>
      </c:layout>
      <c:lineChart>
        <c:grouping val="standard"/>
        <c:varyColors val="0"/>
        <c:ser>
          <c:idx val="0"/>
          <c:order val="0"/>
          <c:tx>
            <c:strRef>
              <c:f>Sheet1!$B$267</c:f>
              <c:strCache>
                <c:ptCount val="1"/>
                <c:pt idx="0">
                  <c:v>Males</c:v>
                </c:pt>
              </c:strCache>
            </c:strRef>
          </c:tx>
          <c:marker>
            <c:symbol val="none"/>
          </c:marker>
          <c:dLbls>
            <c:dLbl>
              <c:idx val="0"/>
              <c:layout>
                <c:manualLayout>
                  <c:x val="-4.5647561884046207E-2"/>
                  <c:y val="-6.4915448905663545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1.5215853961348736E-2"/>
                  <c:y val="-9.737317335849531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Sheet1!$A$268:$A$280</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Sheet1!$B$268:$B$280</c:f>
              <c:numCache>
                <c:formatCode>General</c:formatCode>
                <c:ptCount val="13"/>
                <c:pt idx="0">
                  <c:v>56.24</c:v>
                </c:pt>
                <c:pt idx="1">
                  <c:v>51.28</c:v>
                </c:pt>
                <c:pt idx="2">
                  <c:v>46.36</c:v>
                </c:pt>
                <c:pt idx="3">
                  <c:v>44.14</c:v>
                </c:pt>
                <c:pt idx="4">
                  <c:v>44.46</c:v>
                </c:pt>
                <c:pt idx="5">
                  <c:v>38.06</c:v>
                </c:pt>
                <c:pt idx="6">
                  <c:v>46.8</c:v>
                </c:pt>
                <c:pt idx="7">
                  <c:v>50.75</c:v>
                </c:pt>
                <c:pt idx="8">
                  <c:v>60.76</c:v>
                </c:pt>
                <c:pt idx="9">
                  <c:v>60.63</c:v>
                </c:pt>
                <c:pt idx="10">
                  <c:v>64.66</c:v>
                </c:pt>
                <c:pt idx="11">
                  <c:v>54.17</c:v>
                </c:pt>
                <c:pt idx="12">
                  <c:v>49.79</c:v>
                </c:pt>
              </c:numCache>
            </c:numRef>
          </c:val>
          <c:smooth val="0"/>
        </c:ser>
        <c:ser>
          <c:idx val="1"/>
          <c:order val="1"/>
          <c:tx>
            <c:strRef>
              <c:f>Sheet1!$C$267</c:f>
              <c:strCache>
                <c:ptCount val="1"/>
                <c:pt idx="0">
                  <c:v>Females</c:v>
                </c:pt>
              </c:strCache>
            </c:strRef>
          </c:tx>
          <c:marker>
            <c:symbol val="none"/>
          </c:marker>
          <c:dLbls>
            <c:dLbl>
              <c:idx val="0"/>
              <c:layout>
                <c:manualLayout>
                  <c:x val="-4.5647561884046207E-2"/>
                  <c:y val="0.13632244270189345"/>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8.4390083577362607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Sheet1!$A$268:$A$280</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Sheet1!$C$268:$C$280</c:f>
              <c:numCache>
                <c:formatCode>General</c:formatCode>
                <c:ptCount val="13"/>
                <c:pt idx="0">
                  <c:v>48.52</c:v>
                </c:pt>
                <c:pt idx="1">
                  <c:v>38.74</c:v>
                </c:pt>
                <c:pt idx="2">
                  <c:v>38.020000000000003</c:v>
                </c:pt>
                <c:pt idx="3">
                  <c:v>36.08</c:v>
                </c:pt>
                <c:pt idx="4">
                  <c:v>42.64</c:v>
                </c:pt>
                <c:pt idx="5">
                  <c:v>37.380000000000003</c:v>
                </c:pt>
                <c:pt idx="6">
                  <c:v>38.53</c:v>
                </c:pt>
                <c:pt idx="7">
                  <c:v>34.81</c:v>
                </c:pt>
                <c:pt idx="8">
                  <c:v>43.91</c:v>
                </c:pt>
                <c:pt idx="9">
                  <c:v>48.01</c:v>
                </c:pt>
                <c:pt idx="10">
                  <c:v>47.58</c:v>
                </c:pt>
                <c:pt idx="11">
                  <c:v>43.58</c:v>
                </c:pt>
                <c:pt idx="12">
                  <c:v>44.81</c:v>
                </c:pt>
              </c:numCache>
            </c:numRef>
          </c:val>
          <c:smooth val="0"/>
        </c:ser>
        <c:dLbls>
          <c:showLegendKey val="0"/>
          <c:showVal val="0"/>
          <c:showCatName val="0"/>
          <c:showSerName val="0"/>
          <c:showPercent val="0"/>
          <c:showBubbleSize val="0"/>
        </c:dLbls>
        <c:marker val="1"/>
        <c:smooth val="0"/>
        <c:axId val="121485568"/>
        <c:axId val="121507840"/>
      </c:lineChart>
      <c:catAx>
        <c:axId val="121485568"/>
        <c:scaling>
          <c:orientation val="minMax"/>
        </c:scaling>
        <c:delete val="0"/>
        <c:axPos val="b"/>
        <c:numFmt formatCode="General" sourceLinked="0"/>
        <c:majorTickMark val="none"/>
        <c:minorTickMark val="none"/>
        <c:tickLblPos val="nextTo"/>
        <c:txPr>
          <a:bodyPr rot="0" vert="horz"/>
          <a:lstStyle/>
          <a:p>
            <a:pPr>
              <a:defRPr/>
            </a:pPr>
            <a:endParaRPr lang="en-US"/>
          </a:p>
        </c:txPr>
        <c:crossAx val="121507840"/>
        <c:crosses val="autoZero"/>
        <c:auto val="1"/>
        <c:lblAlgn val="ctr"/>
        <c:lblOffset val="100"/>
        <c:tickLblSkip val="12"/>
        <c:noMultiLvlLbl val="0"/>
      </c:catAx>
      <c:valAx>
        <c:axId val="121507840"/>
        <c:scaling>
          <c:orientation val="minMax"/>
          <c:max val="100"/>
          <c:min val="0"/>
        </c:scaling>
        <c:delete val="0"/>
        <c:axPos val="l"/>
        <c:title>
          <c:tx>
            <c:rich>
              <a:bodyPr rot="-5400000" vert="horz"/>
              <a:lstStyle/>
              <a:p>
                <a:pPr>
                  <a:defRPr b="0"/>
                </a:pPr>
                <a:r>
                  <a:rPr lang="en-US" b="0"/>
                  <a:t>Rate Per 100,000</a:t>
                </a:r>
              </a:p>
            </c:rich>
          </c:tx>
          <c:layout>
            <c:manualLayout>
              <c:xMode val="edge"/>
              <c:yMode val="edge"/>
              <c:x val="2.6033122276709935E-2"/>
              <c:y val="0.15826985427726512"/>
            </c:manualLayout>
          </c:layout>
          <c:overlay val="0"/>
        </c:title>
        <c:numFmt formatCode="General" sourceLinked="1"/>
        <c:majorTickMark val="out"/>
        <c:minorTickMark val="none"/>
        <c:tickLblPos val="none"/>
        <c:crossAx val="121485568"/>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5728358715153143"/>
        </c:manualLayout>
      </c:layout>
      <c:lineChart>
        <c:grouping val="standard"/>
        <c:varyColors val="0"/>
        <c:ser>
          <c:idx val="0"/>
          <c:order val="0"/>
          <c:tx>
            <c:strRef>
              <c:f>Sheet1!$D$267</c:f>
              <c:strCache>
                <c:ptCount val="1"/>
                <c:pt idx="0">
                  <c:v>Males</c:v>
                </c:pt>
              </c:strCache>
            </c:strRef>
          </c:tx>
          <c:marker>
            <c:symbol val="none"/>
          </c:marker>
          <c:dLbls>
            <c:dLbl>
              <c:idx val="0"/>
              <c:layout>
                <c:manualLayout>
                  <c:x val="-6.4667379335732134E-2"/>
                  <c:y val="-7.7898538686796248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layout>
                <c:manualLayout>
                  <c:x val="-3.0431707922697473E-2"/>
                  <c:y val="-8.4390083577362607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Sheet1!$A$271:$A$279</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Sheet1!$D$271:$D$279</c:f>
              <c:numCache>
                <c:formatCode>General</c:formatCode>
                <c:ptCount val="9"/>
                <c:pt idx="0">
                  <c:v>5.08</c:v>
                </c:pt>
                <c:pt idx="1">
                  <c:v>4.1399999999999997</c:v>
                </c:pt>
                <c:pt idx="2">
                  <c:v>5.18</c:v>
                </c:pt>
                <c:pt idx="3">
                  <c:v>7.33</c:v>
                </c:pt>
                <c:pt idx="4">
                  <c:v>8.1300000000000008</c:v>
                </c:pt>
                <c:pt idx="5">
                  <c:v>7.12</c:v>
                </c:pt>
                <c:pt idx="6">
                  <c:v>7.71</c:v>
                </c:pt>
                <c:pt idx="7">
                  <c:v>6.3</c:v>
                </c:pt>
                <c:pt idx="8">
                  <c:v>7.07</c:v>
                </c:pt>
              </c:numCache>
            </c:numRef>
          </c:val>
          <c:smooth val="0"/>
        </c:ser>
        <c:ser>
          <c:idx val="1"/>
          <c:order val="1"/>
          <c:tx>
            <c:strRef>
              <c:f>Sheet1!$E$267</c:f>
              <c:strCache>
                <c:ptCount val="1"/>
                <c:pt idx="0">
                  <c:v>Females</c:v>
                </c:pt>
              </c:strCache>
            </c:strRef>
          </c:tx>
          <c:marker>
            <c:symbol val="none"/>
          </c:marker>
          <c:dLbls>
            <c:dLbl>
              <c:idx val="0"/>
              <c:layout>
                <c:manualLayout>
                  <c:x val="-6.0863415845394946E-2"/>
                  <c:y val="5.8423904015097186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layout>
                <c:manualLayout>
                  <c:x val="-2.6627744432360288E-2"/>
                  <c:y val="6.4915448905663545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Sheet1!$A$271:$A$279</c:f>
              <c:numCache>
                <c:formatCode>General</c:formatCode>
                <c:ptCount val="9"/>
                <c:pt idx="0">
                  <c:v>2005</c:v>
                </c:pt>
                <c:pt idx="1">
                  <c:v>2006</c:v>
                </c:pt>
                <c:pt idx="2">
                  <c:v>2007</c:v>
                </c:pt>
                <c:pt idx="3">
                  <c:v>2008</c:v>
                </c:pt>
                <c:pt idx="4">
                  <c:v>2009</c:v>
                </c:pt>
                <c:pt idx="5">
                  <c:v>2010</c:v>
                </c:pt>
                <c:pt idx="6">
                  <c:v>2011</c:v>
                </c:pt>
                <c:pt idx="7">
                  <c:v>2012</c:v>
                </c:pt>
                <c:pt idx="8">
                  <c:v>2013</c:v>
                </c:pt>
              </c:numCache>
            </c:numRef>
          </c:cat>
          <c:val>
            <c:numRef>
              <c:f>Sheet1!$E$271:$E$279</c:f>
              <c:numCache>
                <c:formatCode>General</c:formatCode>
                <c:ptCount val="9"/>
                <c:pt idx="0">
                  <c:v>2.09</c:v>
                </c:pt>
                <c:pt idx="1">
                  <c:v>2.19</c:v>
                </c:pt>
                <c:pt idx="2">
                  <c:v>2.5499999999999998</c:v>
                </c:pt>
                <c:pt idx="3">
                  <c:v>2.5299999999999998</c:v>
                </c:pt>
                <c:pt idx="4">
                  <c:v>3.23</c:v>
                </c:pt>
                <c:pt idx="5">
                  <c:v>3.63</c:v>
                </c:pt>
                <c:pt idx="6">
                  <c:v>2.61</c:v>
                </c:pt>
                <c:pt idx="7">
                  <c:v>2.78</c:v>
                </c:pt>
                <c:pt idx="8">
                  <c:v>2.62</c:v>
                </c:pt>
              </c:numCache>
            </c:numRef>
          </c:val>
          <c:smooth val="0"/>
        </c:ser>
        <c:dLbls>
          <c:showLegendKey val="0"/>
          <c:showVal val="0"/>
          <c:showCatName val="0"/>
          <c:showSerName val="0"/>
          <c:showPercent val="0"/>
          <c:showBubbleSize val="0"/>
        </c:dLbls>
        <c:marker val="1"/>
        <c:smooth val="0"/>
        <c:axId val="121542144"/>
        <c:axId val="121543680"/>
      </c:lineChart>
      <c:catAx>
        <c:axId val="121542144"/>
        <c:scaling>
          <c:orientation val="minMax"/>
        </c:scaling>
        <c:delete val="0"/>
        <c:axPos val="b"/>
        <c:numFmt formatCode="General" sourceLinked="0"/>
        <c:majorTickMark val="none"/>
        <c:minorTickMark val="none"/>
        <c:tickLblPos val="nextTo"/>
        <c:txPr>
          <a:bodyPr rot="0" vert="horz"/>
          <a:lstStyle/>
          <a:p>
            <a:pPr>
              <a:defRPr/>
            </a:pPr>
            <a:endParaRPr lang="en-US"/>
          </a:p>
        </c:txPr>
        <c:crossAx val="121543680"/>
        <c:crosses val="autoZero"/>
        <c:auto val="1"/>
        <c:lblAlgn val="ctr"/>
        <c:lblOffset val="100"/>
        <c:tickLblSkip val="8"/>
        <c:noMultiLvlLbl val="0"/>
      </c:catAx>
      <c:valAx>
        <c:axId val="121543680"/>
        <c:scaling>
          <c:orientation val="minMax"/>
          <c:max val="15"/>
          <c:min val="0"/>
        </c:scaling>
        <c:delete val="0"/>
        <c:axPos val="l"/>
        <c:title>
          <c:tx>
            <c:rich>
              <a:bodyPr rot="-5400000" vert="horz"/>
              <a:lstStyle/>
              <a:p>
                <a:pPr>
                  <a:defRPr b="0"/>
                </a:pPr>
                <a:r>
                  <a:rPr lang="en-US" b="0"/>
                  <a:t>Rate Per 100,000</a:t>
                </a:r>
              </a:p>
            </c:rich>
          </c:tx>
          <c:layout>
            <c:manualLayout>
              <c:xMode val="edge"/>
              <c:yMode val="edge"/>
              <c:x val="2.6033122276709935E-2"/>
              <c:y val="0.15826985427726512"/>
            </c:manualLayout>
          </c:layout>
          <c:overlay val="0"/>
        </c:title>
        <c:numFmt formatCode="General" sourceLinked="1"/>
        <c:majorTickMark val="out"/>
        <c:minorTickMark val="none"/>
        <c:tickLblPos val="none"/>
        <c:crossAx val="121542144"/>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5728358715153143"/>
        </c:manualLayout>
      </c:layout>
      <c:lineChart>
        <c:grouping val="standard"/>
        <c:varyColors val="0"/>
        <c:ser>
          <c:idx val="0"/>
          <c:order val="0"/>
          <c:tx>
            <c:strRef>
              <c:f>Sheet1!$B$284</c:f>
              <c:strCache>
                <c:ptCount val="1"/>
                <c:pt idx="0">
                  <c:v>Males</c:v>
                </c:pt>
              </c:strCache>
            </c:strRef>
          </c:tx>
          <c:marker>
            <c:symbol val="none"/>
          </c:marker>
          <c:dLbls>
            <c:dLbl>
              <c:idx val="0"/>
              <c:layout>
                <c:manualLayout>
                  <c:x val="-4.9451525374383389E-2"/>
                  <c:y val="9.0881628467928952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1.9019817451685919E-2"/>
                  <c:y val="6.4915448905663545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Sheet1!$A$285:$A$297</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Sheet1!$B$285:$B$297</c:f>
              <c:numCache>
                <c:formatCode>General</c:formatCode>
                <c:ptCount val="13"/>
                <c:pt idx="0">
                  <c:v>91.85</c:v>
                </c:pt>
                <c:pt idx="1">
                  <c:v>90.54</c:v>
                </c:pt>
                <c:pt idx="2">
                  <c:v>85</c:v>
                </c:pt>
                <c:pt idx="3">
                  <c:v>84.37</c:v>
                </c:pt>
                <c:pt idx="4">
                  <c:v>77.5</c:v>
                </c:pt>
                <c:pt idx="5">
                  <c:v>75.89</c:v>
                </c:pt>
                <c:pt idx="6">
                  <c:v>84.29</c:v>
                </c:pt>
                <c:pt idx="7">
                  <c:v>90.43</c:v>
                </c:pt>
                <c:pt idx="8">
                  <c:v>90.61</c:v>
                </c:pt>
                <c:pt idx="9">
                  <c:v>91.3</c:v>
                </c:pt>
                <c:pt idx="10">
                  <c:v>93.14</c:v>
                </c:pt>
                <c:pt idx="11">
                  <c:v>75.72</c:v>
                </c:pt>
                <c:pt idx="12">
                  <c:v>65.45</c:v>
                </c:pt>
              </c:numCache>
            </c:numRef>
          </c:val>
          <c:smooth val="0"/>
        </c:ser>
        <c:ser>
          <c:idx val="1"/>
          <c:order val="1"/>
          <c:tx>
            <c:strRef>
              <c:f>Sheet1!$C$284</c:f>
              <c:strCache>
                <c:ptCount val="1"/>
                <c:pt idx="0">
                  <c:v>Females</c:v>
                </c:pt>
              </c:strCache>
            </c:strRef>
          </c:tx>
          <c:marker>
            <c:symbol val="none"/>
          </c:marker>
          <c:dLbls>
            <c:dLbl>
              <c:idx val="0"/>
              <c:layout>
                <c:manualLayout>
                  <c:x val="-5.3255488864720577E-2"/>
                  <c:y val="-7.7898538686796248E-2"/>
                </c:manualLayout>
              </c:layout>
              <c:numFmt formatCode="#,##0.0" sourceLinked="0"/>
              <c:spPr/>
              <c:txPr>
                <a:bodyPr/>
                <a:lstStyle/>
                <a:p>
                  <a:pPr>
                    <a:defRPr>
                      <a:solidFill>
                        <a:schemeClr val="bg1">
                          <a:lumMod val="50000"/>
                        </a:schemeClr>
                      </a:solidFill>
                    </a:defRPr>
                  </a:pPr>
                  <a:endParaRPr lang="en-US"/>
                </a:p>
              </c:txPr>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1.9019817451685919E-2"/>
                  <c:y val="-0.13632244270189345"/>
                </c:manualLayout>
              </c:layout>
              <c:numFmt formatCode="#,##0.0" sourceLinked="0"/>
              <c:spPr/>
              <c:txPr>
                <a:bodyPr/>
                <a:lstStyle/>
                <a:p>
                  <a:pPr>
                    <a:defRPr>
                      <a:solidFill>
                        <a:schemeClr val="bg1">
                          <a:lumMod val="50000"/>
                        </a:schemeClr>
                      </a:solidFill>
                    </a:defRPr>
                  </a:pPr>
                  <a:endParaRPr lang="en-US"/>
                </a:p>
              </c:txPr>
              <c:showLegendKey val="0"/>
              <c:showVal val="1"/>
              <c:showCatName val="0"/>
              <c:showSerName val="0"/>
              <c:showPercent val="0"/>
              <c:showBubbleSize val="0"/>
            </c:dLbl>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Sheet1!$A$285:$A$297</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Sheet1!$C$285:$C$297</c:f>
              <c:numCache>
                <c:formatCode>General</c:formatCode>
                <c:ptCount val="13"/>
                <c:pt idx="0">
                  <c:v>140.84</c:v>
                </c:pt>
                <c:pt idx="1">
                  <c:v>129.58000000000001</c:v>
                </c:pt>
                <c:pt idx="2">
                  <c:v>141.55000000000001</c:v>
                </c:pt>
                <c:pt idx="3">
                  <c:v>136.86000000000001</c:v>
                </c:pt>
                <c:pt idx="4">
                  <c:v>138.65</c:v>
                </c:pt>
                <c:pt idx="5">
                  <c:v>126.23</c:v>
                </c:pt>
                <c:pt idx="6">
                  <c:v>149.43</c:v>
                </c:pt>
                <c:pt idx="7">
                  <c:v>151.34</c:v>
                </c:pt>
                <c:pt idx="8">
                  <c:v>147.63</c:v>
                </c:pt>
                <c:pt idx="9">
                  <c:v>149.44</c:v>
                </c:pt>
                <c:pt idx="10">
                  <c:v>165.24</c:v>
                </c:pt>
                <c:pt idx="11">
                  <c:v>149.94999999999999</c:v>
                </c:pt>
                <c:pt idx="12">
                  <c:v>123.68</c:v>
                </c:pt>
              </c:numCache>
            </c:numRef>
          </c:val>
          <c:smooth val="0"/>
        </c:ser>
        <c:dLbls>
          <c:showLegendKey val="0"/>
          <c:showVal val="0"/>
          <c:showCatName val="0"/>
          <c:showSerName val="0"/>
          <c:showPercent val="0"/>
          <c:showBubbleSize val="0"/>
        </c:dLbls>
        <c:marker val="1"/>
        <c:smooth val="0"/>
        <c:axId val="121603584"/>
        <c:axId val="121605120"/>
      </c:lineChart>
      <c:catAx>
        <c:axId val="121603584"/>
        <c:scaling>
          <c:orientation val="minMax"/>
        </c:scaling>
        <c:delete val="0"/>
        <c:axPos val="b"/>
        <c:numFmt formatCode="General" sourceLinked="0"/>
        <c:majorTickMark val="none"/>
        <c:minorTickMark val="none"/>
        <c:tickLblPos val="nextTo"/>
        <c:txPr>
          <a:bodyPr rot="0" vert="horz"/>
          <a:lstStyle/>
          <a:p>
            <a:pPr>
              <a:defRPr/>
            </a:pPr>
            <a:endParaRPr lang="en-US"/>
          </a:p>
        </c:txPr>
        <c:crossAx val="121605120"/>
        <c:crosses val="autoZero"/>
        <c:auto val="1"/>
        <c:lblAlgn val="ctr"/>
        <c:lblOffset val="100"/>
        <c:tickLblSkip val="12"/>
        <c:noMultiLvlLbl val="0"/>
      </c:catAx>
      <c:valAx>
        <c:axId val="121605120"/>
        <c:scaling>
          <c:orientation val="minMax"/>
          <c:max val="250"/>
          <c:min val="0"/>
        </c:scaling>
        <c:delete val="0"/>
        <c:axPos val="l"/>
        <c:title>
          <c:tx>
            <c:rich>
              <a:bodyPr rot="-5400000" vert="horz"/>
              <a:lstStyle/>
              <a:p>
                <a:pPr>
                  <a:defRPr b="0"/>
                </a:pPr>
                <a:r>
                  <a:rPr lang="en-US" b="0"/>
                  <a:t>Rate Per 100,000</a:t>
                </a:r>
              </a:p>
            </c:rich>
          </c:tx>
          <c:layout>
            <c:manualLayout>
              <c:xMode val="edge"/>
              <c:yMode val="edge"/>
              <c:x val="2.6033122276709935E-2"/>
              <c:y val="0.15826985427726512"/>
            </c:manualLayout>
          </c:layout>
          <c:overlay val="0"/>
        </c:title>
        <c:numFmt formatCode="General" sourceLinked="1"/>
        <c:majorTickMark val="out"/>
        <c:minorTickMark val="none"/>
        <c:tickLblPos val="none"/>
        <c:crossAx val="121603584"/>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544773549190342"/>
          <c:y val="3.4520669673587231E-2"/>
          <c:w val="0.8532101300072984"/>
          <c:h val="0.85158026840475276"/>
        </c:manualLayout>
      </c:layout>
      <c:lineChart>
        <c:grouping val="standard"/>
        <c:varyColors val="0"/>
        <c:ser>
          <c:idx val="0"/>
          <c:order val="0"/>
          <c:tx>
            <c:strRef>
              <c:f>Sheet1!$B$18</c:f>
              <c:strCache>
                <c:ptCount val="1"/>
                <c:pt idx="0">
                  <c:v>Adults</c:v>
                </c:pt>
              </c:strCache>
            </c:strRef>
          </c:tx>
          <c:marker>
            <c:symbol val="none"/>
          </c:marker>
          <c:dLbls>
            <c:dLbl>
              <c:idx val="0"/>
              <c:layout>
                <c:manualLayout>
                  <c:x val="-5.0162821421605538E-2"/>
                  <c:y val="-6.9532152678149925E-2"/>
                </c:manualLayout>
              </c:layout>
              <c:tx>
                <c:rich>
                  <a:bodyPr/>
                  <a:lstStyle/>
                  <a:p>
                    <a:r>
                      <a:rPr lang="en-US"/>
                      <a:t>56.2%</a:t>
                    </a:r>
                  </a:p>
                </c:rich>
              </c:tx>
              <c:dLblPos val="r"/>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tx>
                <c:rich>
                  <a:bodyPr/>
                  <a:lstStyle/>
                  <a:p>
                    <a:r>
                      <a:rPr lang="en-US"/>
                      <a:t>63.8%</a:t>
                    </a:r>
                  </a:p>
                </c:rich>
              </c:tx>
              <c:dLblPos val="t"/>
              <c:showLegendKey val="0"/>
              <c:showVal val="1"/>
              <c:showCatName val="0"/>
              <c:showSerName val="0"/>
              <c:showPercent val="0"/>
              <c:showBubbleSize val="0"/>
            </c:dLbl>
            <c:dLblPos val="t"/>
            <c:showLegendKey val="0"/>
            <c:showVal val="1"/>
            <c:showCatName val="0"/>
            <c:showSerName val="0"/>
            <c:showPercent val="0"/>
            <c:showBubbleSize val="0"/>
            <c:showLeaderLines val="0"/>
          </c:dLbls>
          <c:cat>
            <c:numRef>
              <c:f>Sheet1!$A$19:$A$27</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Sheet1!$B$19:$B$27</c:f>
              <c:numCache>
                <c:formatCode>General</c:formatCode>
                <c:ptCount val="9"/>
                <c:pt idx="0">
                  <c:v>56.2</c:v>
                </c:pt>
                <c:pt idx="1">
                  <c:v>58.6</c:v>
                </c:pt>
                <c:pt idx="2">
                  <c:v>61.7</c:v>
                </c:pt>
                <c:pt idx="3">
                  <c:v>63.5</c:v>
                </c:pt>
                <c:pt idx="4">
                  <c:v>63.1</c:v>
                </c:pt>
                <c:pt idx="5">
                  <c:v>63.4</c:v>
                </c:pt>
                <c:pt idx="6">
                  <c:v>63.2</c:v>
                </c:pt>
                <c:pt idx="7">
                  <c:v>64.099999999999994</c:v>
                </c:pt>
                <c:pt idx="8">
                  <c:v>63.8</c:v>
                </c:pt>
              </c:numCache>
            </c:numRef>
          </c:val>
          <c:smooth val="0"/>
        </c:ser>
        <c:ser>
          <c:idx val="1"/>
          <c:order val="1"/>
          <c:tx>
            <c:strRef>
              <c:f>Sheet1!$C$18</c:f>
              <c:strCache>
                <c:ptCount val="1"/>
                <c:pt idx="0">
                  <c:v>Children</c:v>
                </c:pt>
              </c:strCache>
            </c:strRef>
          </c:tx>
          <c:marker>
            <c:symbol val="none"/>
          </c:marker>
          <c:dLbls>
            <c:dLbl>
              <c:idx val="0"/>
              <c:layout>
                <c:manualLayout>
                  <c:x val="-5.0162821421605538E-2"/>
                  <c:y val="8.8195346325316365E-2"/>
                </c:manualLayout>
              </c:layout>
              <c:tx>
                <c:rich>
                  <a:bodyPr/>
                  <a:lstStyle/>
                  <a:p>
                    <a:r>
                      <a:rPr lang="en-US">
                        <a:solidFill>
                          <a:schemeClr val="bg1">
                            <a:lumMod val="50000"/>
                          </a:schemeClr>
                        </a:solidFill>
                      </a:rPr>
                      <a:t>55.9%</a:t>
                    </a:r>
                    <a:endParaRPr lang="en-US"/>
                  </a:p>
                </c:rich>
              </c:tx>
              <c:dLblPos val="r"/>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tx>
                <c:rich>
                  <a:bodyPr/>
                  <a:lstStyle/>
                  <a:p>
                    <a:r>
                      <a:rPr lang="en-US">
                        <a:solidFill>
                          <a:schemeClr val="bg1">
                            <a:lumMod val="50000"/>
                          </a:schemeClr>
                        </a:solidFill>
                      </a:rPr>
                      <a:t>40.0%</a:t>
                    </a:r>
                    <a:endParaRPr lang="en-US"/>
                  </a:p>
                </c:rich>
              </c:tx>
              <c:dLblPos val="b"/>
              <c:showLegendKey val="0"/>
              <c:showVal val="1"/>
              <c:showCatName val="0"/>
              <c:showSerName val="0"/>
              <c:showPercent val="0"/>
              <c:showBubbleSize val="0"/>
            </c:dLbl>
            <c:txPr>
              <a:bodyPr/>
              <a:lstStyle/>
              <a:p>
                <a:pPr>
                  <a:defRPr>
                    <a:solidFill>
                      <a:schemeClr val="bg1">
                        <a:lumMod val="50000"/>
                      </a:schemeClr>
                    </a:solidFill>
                  </a:defRPr>
                </a:pPr>
                <a:endParaRPr lang="en-US"/>
              </a:p>
            </c:txPr>
            <c:dLblPos val="b"/>
            <c:showLegendKey val="0"/>
            <c:showVal val="1"/>
            <c:showCatName val="0"/>
            <c:showSerName val="0"/>
            <c:showPercent val="0"/>
            <c:showBubbleSize val="0"/>
            <c:showLeaderLines val="0"/>
          </c:dLbls>
          <c:cat>
            <c:numRef>
              <c:f>Sheet1!$A$19:$A$27</c:f>
              <c:numCache>
                <c:formatCode>General</c:formatCode>
                <c:ptCount val="9"/>
                <c:pt idx="0">
                  <c:v>2007</c:v>
                </c:pt>
                <c:pt idx="1">
                  <c:v>2008</c:v>
                </c:pt>
                <c:pt idx="2">
                  <c:v>2009</c:v>
                </c:pt>
                <c:pt idx="3">
                  <c:v>2010</c:v>
                </c:pt>
                <c:pt idx="4">
                  <c:v>2011</c:v>
                </c:pt>
                <c:pt idx="5">
                  <c:v>2012</c:v>
                </c:pt>
                <c:pt idx="6">
                  <c:v>2013</c:v>
                </c:pt>
                <c:pt idx="7">
                  <c:v>2014</c:v>
                </c:pt>
                <c:pt idx="8">
                  <c:v>2015</c:v>
                </c:pt>
              </c:numCache>
            </c:numRef>
          </c:cat>
          <c:val>
            <c:numRef>
              <c:f>Sheet1!$C$19:$C$27</c:f>
              <c:numCache>
                <c:formatCode>General</c:formatCode>
                <c:ptCount val="9"/>
                <c:pt idx="0">
                  <c:v>55.9</c:v>
                </c:pt>
                <c:pt idx="1">
                  <c:v>52.8</c:v>
                </c:pt>
                <c:pt idx="2">
                  <c:v>45.2</c:v>
                </c:pt>
                <c:pt idx="3">
                  <c:v>48.5</c:v>
                </c:pt>
                <c:pt idx="4">
                  <c:v>45.5</c:v>
                </c:pt>
                <c:pt idx="5">
                  <c:v>48.9</c:v>
                </c:pt>
                <c:pt idx="6">
                  <c:v>41.4</c:v>
                </c:pt>
                <c:pt idx="7">
                  <c:v>40</c:v>
                </c:pt>
              </c:numCache>
            </c:numRef>
          </c:val>
          <c:smooth val="0"/>
        </c:ser>
        <c:dLbls>
          <c:showLegendKey val="0"/>
          <c:showVal val="0"/>
          <c:showCatName val="0"/>
          <c:showSerName val="0"/>
          <c:showPercent val="0"/>
          <c:showBubbleSize val="0"/>
        </c:dLbls>
        <c:marker val="1"/>
        <c:smooth val="0"/>
        <c:axId val="44239488"/>
        <c:axId val="44278144"/>
      </c:lineChart>
      <c:catAx>
        <c:axId val="44239488"/>
        <c:scaling>
          <c:orientation val="minMax"/>
        </c:scaling>
        <c:delete val="0"/>
        <c:axPos val="b"/>
        <c:numFmt formatCode="General" sourceLinked="1"/>
        <c:majorTickMark val="none"/>
        <c:minorTickMark val="none"/>
        <c:tickLblPos val="nextTo"/>
        <c:txPr>
          <a:bodyPr rot="0" vert="horz"/>
          <a:lstStyle/>
          <a:p>
            <a:pPr>
              <a:defRPr/>
            </a:pPr>
            <a:endParaRPr lang="en-US"/>
          </a:p>
        </c:txPr>
        <c:crossAx val="44278144"/>
        <c:crosses val="autoZero"/>
        <c:auto val="1"/>
        <c:lblAlgn val="ctr"/>
        <c:lblOffset val="100"/>
        <c:tickLblSkip val="8"/>
        <c:noMultiLvlLbl val="0"/>
      </c:catAx>
      <c:valAx>
        <c:axId val="44278144"/>
        <c:scaling>
          <c:orientation val="minMax"/>
          <c:max val="100"/>
        </c:scaling>
        <c:delete val="0"/>
        <c:axPos val="l"/>
        <c:title>
          <c:tx>
            <c:rich>
              <a:bodyPr rot="-5400000" vert="horz"/>
              <a:lstStyle/>
              <a:p>
                <a:pPr>
                  <a:defRPr b="0"/>
                </a:pPr>
                <a:r>
                  <a:rPr lang="en-US" b="0"/>
                  <a:t>Met Recommendations (%)</a:t>
                </a:r>
              </a:p>
            </c:rich>
          </c:tx>
          <c:layout>
            <c:manualLayout>
              <c:xMode val="edge"/>
              <c:yMode val="edge"/>
              <c:x val="1.1996450901617531E-2"/>
              <c:y val="7.1153978503329759E-2"/>
            </c:manualLayout>
          </c:layout>
          <c:overlay val="0"/>
        </c:title>
        <c:numFmt formatCode="General" sourceLinked="1"/>
        <c:majorTickMark val="out"/>
        <c:minorTickMark val="none"/>
        <c:tickLblPos val="none"/>
        <c:crossAx val="44239488"/>
        <c:crosses val="autoZero"/>
        <c:crossBetween val="between"/>
      </c:valAx>
    </c:plotArea>
    <c:legend>
      <c:legendPos val="t"/>
      <c:layout>
        <c:manualLayout>
          <c:xMode val="edge"/>
          <c:yMode val="edge"/>
          <c:x val="0.27532635913746245"/>
          <c:y val="2.570694087403599E-2"/>
          <c:w val="0.56992185182108401"/>
          <c:h val="9.5535244241149175E-2"/>
        </c:manualLayout>
      </c:layout>
      <c:overlay val="0"/>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144855834081845"/>
          <c:y val="9.3545317960315344E-2"/>
          <c:w val="0.82276756896668735"/>
          <c:h val="0.75728358715153143"/>
        </c:manualLayout>
      </c:layout>
      <c:lineChart>
        <c:grouping val="standard"/>
        <c:varyColors val="0"/>
        <c:ser>
          <c:idx val="0"/>
          <c:order val="0"/>
          <c:tx>
            <c:strRef>
              <c:f>Sheet1!$D$284</c:f>
              <c:strCache>
                <c:ptCount val="1"/>
                <c:pt idx="0">
                  <c:v>Males</c:v>
                </c:pt>
              </c:strCache>
            </c:strRef>
          </c:tx>
          <c:marker>
            <c:symbol val="none"/>
          </c:marker>
          <c:dLbls>
            <c:dLbl>
              <c:idx val="0"/>
              <c:layout>
                <c:manualLayout>
                  <c:x val="-4.9376424506856323E-2"/>
                  <c:y val="-7.158119110692085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layout>
                <c:manualLayout>
                  <c:x val="0"/>
                  <c:y val="-0.11713285817496141"/>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Sheet1!$A$285:$A$296</c:f>
              <c:numCache>
                <c:formatCode>General</c:formatCod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numCache>
            </c:numRef>
          </c:cat>
          <c:val>
            <c:numRef>
              <c:f>Sheet1!$D$285:$D$296</c:f>
              <c:numCache>
                <c:formatCode>General</c:formatCode>
                <c:ptCount val="12"/>
                <c:pt idx="0">
                  <c:v>19.829999999999998</c:v>
                </c:pt>
                <c:pt idx="1">
                  <c:v>16.29</c:v>
                </c:pt>
                <c:pt idx="2">
                  <c:v>16.11</c:v>
                </c:pt>
                <c:pt idx="3">
                  <c:v>17</c:v>
                </c:pt>
                <c:pt idx="4">
                  <c:v>17.93</c:v>
                </c:pt>
                <c:pt idx="5">
                  <c:v>18.86</c:v>
                </c:pt>
                <c:pt idx="6">
                  <c:v>21.16</c:v>
                </c:pt>
                <c:pt idx="7">
                  <c:v>18.559999999999999</c:v>
                </c:pt>
                <c:pt idx="8">
                  <c:v>20.97</c:v>
                </c:pt>
                <c:pt idx="9">
                  <c:v>19.600000000000001</c:v>
                </c:pt>
                <c:pt idx="10">
                  <c:v>21.41</c:v>
                </c:pt>
                <c:pt idx="11">
                  <c:v>17.32</c:v>
                </c:pt>
              </c:numCache>
            </c:numRef>
          </c:val>
          <c:smooth val="0"/>
        </c:ser>
        <c:ser>
          <c:idx val="1"/>
          <c:order val="1"/>
          <c:tx>
            <c:strRef>
              <c:f>Sheet1!$E$284</c:f>
              <c:strCache>
                <c:ptCount val="1"/>
                <c:pt idx="0">
                  <c:v>Females</c:v>
                </c:pt>
              </c:strCache>
            </c:strRef>
          </c:tx>
          <c:marker>
            <c:symbol val="none"/>
          </c:marker>
          <c:dLbls>
            <c:dLbl>
              <c:idx val="0"/>
              <c:layout>
                <c:manualLayout>
                  <c:x val="-4.5578238006328917E-2"/>
                  <c:y val="-5.856642908748072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layout>
                <c:manualLayout>
                  <c:x val="0"/>
                  <c:y val="-5.856642908748072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Sheet1!$A$285:$A$296</c:f>
              <c:numCache>
                <c:formatCode>General</c:formatCode>
                <c:ptCount val="12"/>
                <c:pt idx="0">
                  <c:v>2002</c:v>
                </c:pt>
                <c:pt idx="1">
                  <c:v>2003</c:v>
                </c:pt>
                <c:pt idx="2">
                  <c:v>2004</c:v>
                </c:pt>
                <c:pt idx="3">
                  <c:v>2005</c:v>
                </c:pt>
                <c:pt idx="4">
                  <c:v>2006</c:v>
                </c:pt>
                <c:pt idx="5">
                  <c:v>2007</c:v>
                </c:pt>
                <c:pt idx="6">
                  <c:v>2008</c:v>
                </c:pt>
                <c:pt idx="7">
                  <c:v>2009</c:v>
                </c:pt>
                <c:pt idx="8">
                  <c:v>2010</c:v>
                </c:pt>
                <c:pt idx="9">
                  <c:v>2011</c:v>
                </c:pt>
                <c:pt idx="10">
                  <c:v>2012</c:v>
                </c:pt>
                <c:pt idx="11">
                  <c:v>2013</c:v>
                </c:pt>
              </c:numCache>
            </c:numRef>
          </c:cat>
          <c:val>
            <c:numRef>
              <c:f>Sheet1!$E$285:$E$296</c:f>
              <c:numCache>
                <c:formatCode>General</c:formatCode>
                <c:ptCount val="12"/>
                <c:pt idx="0">
                  <c:v>5.56</c:v>
                </c:pt>
                <c:pt idx="1">
                  <c:v>5.86</c:v>
                </c:pt>
                <c:pt idx="2">
                  <c:v>3.77</c:v>
                </c:pt>
                <c:pt idx="3">
                  <c:v>3.68</c:v>
                </c:pt>
                <c:pt idx="4">
                  <c:v>6.54</c:v>
                </c:pt>
                <c:pt idx="5">
                  <c:v>5.38</c:v>
                </c:pt>
                <c:pt idx="6">
                  <c:v>5.75</c:v>
                </c:pt>
                <c:pt idx="7">
                  <c:v>5.65</c:v>
                </c:pt>
                <c:pt idx="8">
                  <c:v>5.12</c:v>
                </c:pt>
                <c:pt idx="9">
                  <c:v>6.84</c:v>
                </c:pt>
                <c:pt idx="10">
                  <c:v>7.42</c:v>
                </c:pt>
                <c:pt idx="11">
                  <c:v>6.2</c:v>
                </c:pt>
              </c:numCache>
            </c:numRef>
          </c:val>
          <c:smooth val="0"/>
        </c:ser>
        <c:dLbls>
          <c:showLegendKey val="0"/>
          <c:showVal val="0"/>
          <c:showCatName val="0"/>
          <c:showSerName val="0"/>
          <c:showPercent val="0"/>
          <c:showBubbleSize val="0"/>
        </c:dLbls>
        <c:marker val="1"/>
        <c:smooth val="0"/>
        <c:axId val="121660544"/>
        <c:axId val="121662080"/>
      </c:lineChart>
      <c:catAx>
        <c:axId val="121660544"/>
        <c:scaling>
          <c:orientation val="minMax"/>
        </c:scaling>
        <c:delete val="0"/>
        <c:axPos val="b"/>
        <c:numFmt formatCode="General" sourceLinked="0"/>
        <c:majorTickMark val="none"/>
        <c:minorTickMark val="none"/>
        <c:tickLblPos val="nextTo"/>
        <c:txPr>
          <a:bodyPr rot="0" vert="horz"/>
          <a:lstStyle/>
          <a:p>
            <a:pPr>
              <a:defRPr/>
            </a:pPr>
            <a:endParaRPr lang="en-US"/>
          </a:p>
        </c:txPr>
        <c:crossAx val="121662080"/>
        <c:crosses val="autoZero"/>
        <c:auto val="1"/>
        <c:lblAlgn val="ctr"/>
        <c:lblOffset val="100"/>
        <c:tickLblSkip val="11"/>
        <c:noMultiLvlLbl val="0"/>
      </c:catAx>
      <c:valAx>
        <c:axId val="121662080"/>
        <c:scaling>
          <c:orientation val="minMax"/>
          <c:max val="30"/>
          <c:min val="0"/>
        </c:scaling>
        <c:delete val="0"/>
        <c:axPos val="l"/>
        <c:title>
          <c:tx>
            <c:rich>
              <a:bodyPr rot="-5400000" vert="horz"/>
              <a:lstStyle/>
              <a:p>
                <a:pPr>
                  <a:defRPr b="0"/>
                </a:pPr>
                <a:r>
                  <a:rPr lang="en-US" b="0"/>
                  <a:t>Rate Per 100,000</a:t>
                </a:r>
              </a:p>
            </c:rich>
          </c:tx>
          <c:layout>
            <c:manualLayout>
              <c:xMode val="edge"/>
              <c:yMode val="edge"/>
              <c:x val="2.6033122276709935E-2"/>
              <c:y val="0.15826985427726512"/>
            </c:manualLayout>
          </c:layout>
          <c:overlay val="0"/>
        </c:title>
        <c:numFmt formatCode="General" sourceLinked="1"/>
        <c:majorTickMark val="out"/>
        <c:minorTickMark val="none"/>
        <c:tickLblPos val="none"/>
        <c:crossAx val="121660544"/>
        <c:crosses val="autoZero"/>
        <c:crossBetween val="between"/>
      </c:valAx>
    </c:plotArea>
    <c:legend>
      <c:legendPos val="t"/>
      <c:layout>
        <c:manualLayout>
          <c:xMode val="edge"/>
          <c:yMode val="edge"/>
          <c:x val="0.2351861830461241"/>
          <c:y val="4.8265460030165915E-2"/>
          <c:w val="0.5752748962671137"/>
          <c:h val="0.1162827924704322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marker>
            <c:symbol val="none"/>
          </c:marker>
          <c:dLbls>
            <c:dLbl>
              <c:idx val="0"/>
              <c:layout>
                <c:manualLayout>
                  <c:x val="-4.882685887526661E-2"/>
                  <c:y val="-5.2793569476897964E-2"/>
                </c:manualLayout>
              </c:layout>
              <c:tx>
                <c:rich>
                  <a:bodyPr/>
                  <a:lstStyle/>
                  <a:p>
                    <a:r>
                      <a:rPr lang="en-US"/>
                      <a:t>57.9%</a:t>
                    </a:r>
                  </a:p>
                </c:rich>
              </c:tx>
              <c:dLblPos val="r"/>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layout>
                <c:manualLayout>
                  <c:x val="-1.278295844418765E-3"/>
                  <c:y val="-6.2326526176136585E-2"/>
                </c:manualLayout>
              </c:layout>
              <c:tx>
                <c:rich>
                  <a:bodyPr/>
                  <a:lstStyle/>
                  <a:p>
                    <a:r>
                      <a:rPr lang="en-US"/>
                      <a:t>65.2%</a:t>
                    </a:r>
                  </a:p>
                </c:rich>
              </c:tx>
              <c:dLblPos val="r"/>
              <c:showLegendKey val="0"/>
              <c:showVal val="1"/>
              <c:showCatName val="0"/>
              <c:showSerName val="0"/>
              <c:showPercent val="0"/>
              <c:showBubbleSize val="0"/>
            </c:dLbl>
            <c:dLblPos val="b"/>
            <c:showLegendKey val="0"/>
            <c:showVal val="1"/>
            <c:showCatName val="0"/>
            <c:showSerName val="0"/>
            <c:showPercent val="0"/>
            <c:showBubbleSize val="0"/>
            <c:showLeaderLines val="0"/>
          </c:dLbls>
          <c:cat>
            <c:numRef>
              <c:f>Sheet1!$A$34:$A$45</c:f>
              <c:numCache>
                <c:formatCode>General</c:formatCod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numCache>
            </c:numRef>
          </c:cat>
          <c:val>
            <c:numRef>
              <c:f>Sheet1!$B$34:$B$45</c:f>
              <c:numCache>
                <c:formatCode>General</c:formatCode>
                <c:ptCount val="12"/>
                <c:pt idx="0">
                  <c:v>57.9</c:v>
                </c:pt>
                <c:pt idx="1">
                  <c:v>54.5</c:v>
                </c:pt>
                <c:pt idx="2">
                  <c:v>57.9</c:v>
                </c:pt>
                <c:pt idx="3">
                  <c:v>60</c:v>
                </c:pt>
                <c:pt idx="4">
                  <c:v>63.1</c:v>
                </c:pt>
                <c:pt idx="5">
                  <c:v>66.400000000000006</c:v>
                </c:pt>
                <c:pt idx="6">
                  <c:v>60.3</c:v>
                </c:pt>
                <c:pt idx="7">
                  <c:v>61.1</c:v>
                </c:pt>
                <c:pt idx="8">
                  <c:v>64.8</c:v>
                </c:pt>
                <c:pt idx="9">
                  <c:v>63.5</c:v>
                </c:pt>
                <c:pt idx="10">
                  <c:v>61</c:v>
                </c:pt>
                <c:pt idx="11">
                  <c:v>65.2</c:v>
                </c:pt>
              </c:numCache>
            </c:numRef>
          </c:val>
          <c:smooth val="0"/>
        </c:ser>
        <c:dLbls>
          <c:showLegendKey val="0"/>
          <c:showVal val="0"/>
          <c:showCatName val="0"/>
          <c:showSerName val="0"/>
          <c:showPercent val="0"/>
          <c:showBubbleSize val="0"/>
        </c:dLbls>
        <c:marker val="1"/>
        <c:smooth val="0"/>
        <c:axId val="44290432"/>
        <c:axId val="44291968"/>
      </c:lineChart>
      <c:catAx>
        <c:axId val="44290432"/>
        <c:scaling>
          <c:orientation val="minMax"/>
        </c:scaling>
        <c:delete val="0"/>
        <c:axPos val="b"/>
        <c:numFmt formatCode="General" sourceLinked="1"/>
        <c:majorTickMark val="none"/>
        <c:minorTickMark val="none"/>
        <c:tickLblPos val="nextTo"/>
        <c:txPr>
          <a:bodyPr rot="0" vert="horz"/>
          <a:lstStyle/>
          <a:p>
            <a:pPr>
              <a:defRPr/>
            </a:pPr>
            <a:endParaRPr lang="en-US"/>
          </a:p>
        </c:txPr>
        <c:crossAx val="44291968"/>
        <c:crosses val="autoZero"/>
        <c:auto val="1"/>
        <c:lblAlgn val="ctr"/>
        <c:lblOffset val="100"/>
        <c:tickLblSkip val="11"/>
        <c:tickMarkSkip val="9"/>
        <c:noMultiLvlLbl val="0"/>
      </c:catAx>
      <c:valAx>
        <c:axId val="44291968"/>
        <c:scaling>
          <c:orientation val="minMax"/>
          <c:max val="100"/>
        </c:scaling>
        <c:delete val="0"/>
        <c:axPos val="l"/>
        <c:title>
          <c:tx>
            <c:rich>
              <a:bodyPr rot="-5400000" vert="horz"/>
              <a:lstStyle/>
              <a:p>
                <a:pPr>
                  <a:defRPr b="0"/>
                </a:pPr>
                <a:r>
                  <a:rPr lang="en-US" b="0"/>
                  <a:t>Met Recommendations (%)</a:t>
                </a:r>
              </a:p>
            </c:rich>
          </c:tx>
          <c:layout>
            <c:manualLayout>
              <c:xMode val="edge"/>
              <c:yMode val="edge"/>
              <c:x val="1.1348239340026909E-2"/>
              <c:y val="6.4504297243582795E-2"/>
            </c:manualLayout>
          </c:layout>
          <c:overlay val="0"/>
        </c:title>
        <c:numFmt formatCode="General" sourceLinked="1"/>
        <c:majorTickMark val="out"/>
        <c:minorTickMark val="none"/>
        <c:tickLblPos val="none"/>
        <c:crossAx val="44290432"/>
        <c:crosses val="autoZero"/>
        <c:crossBetween val="between"/>
      </c:valAx>
    </c:plotArea>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964403866777296"/>
          <c:y val="7.4572771264067944E-2"/>
          <c:w val="0.83051418755478079"/>
          <c:h val="0.79883892254952027"/>
        </c:manualLayout>
      </c:layout>
      <c:lineChart>
        <c:grouping val="standard"/>
        <c:varyColors val="0"/>
        <c:ser>
          <c:idx val="0"/>
          <c:order val="0"/>
          <c:tx>
            <c:strRef>
              <c:f>Sheet1!$B$49</c:f>
              <c:strCache>
                <c:ptCount val="1"/>
                <c:pt idx="0">
                  <c:v>Fruit</c:v>
                </c:pt>
              </c:strCache>
            </c:strRef>
          </c:tx>
          <c:marker>
            <c:symbol val="none"/>
          </c:marker>
          <c:dLbls>
            <c:dLbl>
              <c:idx val="0"/>
              <c:layout>
                <c:manualLayout>
                  <c:x val="-3.4126992420702516E-2"/>
                  <c:y val="5.1323782529707727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layout>
                <c:manualLayout>
                  <c:x val="-1.5167552186978895E-2"/>
                  <c:y val="5.5989580941499341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Sheet1!$A$50:$A$63</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Sheet1!$B$50:$B$63</c:f>
              <c:numCache>
                <c:formatCode>General</c:formatCode>
                <c:ptCount val="14"/>
                <c:pt idx="0">
                  <c:v>1.7</c:v>
                </c:pt>
                <c:pt idx="1">
                  <c:v>1.8</c:v>
                </c:pt>
                <c:pt idx="2">
                  <c:v>1.8</c:v>
                </c:pt>
                <c:pt idx="3">
                  <c:v>1.8</c:v>
                </c:pt>
                <c:pt idx="4">
                  <c:v>1.6</c:v>
                </c:pt>
                <c:pt idx="5">
                  <c:v>1.6</c:v>
                </c:pt>
                <c:pt idx="6">
                  <c:v>1.7</c:v>
                </c:pt>
                <c:pt idx="7">
                  <c:v>1.7</c:v>
                </c:pt>
                <c:pt idx="8">
                  <c:v>1.8</c:v>
                </c:pt>
                <c:pt idx="9">
                  <c:v>1.6</c:v>
                </c:pt>
                <c:pt idx="10">
                  <c:v>1.7</c:v>
                </c:pt>
                <c:pt idx="11">
                  <c:v>1.7</c:v>
                </c:pt>
                <c:pt idx="12">
                  <c:v>1.7</c:v>
                </c:pt>
                <c:pt idx="13">
                  <c:v>1.7</c:v>
                </c:pt>
              </c:numCache>
            </c:numRef>
          </c:val>
          <c:smooth val="0"/>
        </c:ser>
        <c:ser>
          <c:idx val="1"/>
          <c:order val="1"/>
          <c:tx>
            <c:strRef>
              <c:f>Sheet1!$C$49</c:f>
              <c:strCache>
                <c:ptCount val="1"/>
                <c:pt idx="0">
                  <c:v>Veg</c:v>
                </c:pt>
              </c:strCache>
            </c:strRef>
          </c:tx>
          <c:marker>
            <c:symbol val="none"/>
          </c:marker>
          <c:dLbls>
            <c:dLbl>
              <c:idx val="0"/>
              <c:layout>
                <c:manualLayout>
                  <c:x val="-3.4126992420702516E-2"/>
                  <c:y val="4.6657984117916114E-2"/>
                </c:manualLayout>
              </c:layout>
              <c:spPr/>
              <c:txPr>
                <a:bodyPr/>
                <a:lstStyle/>
                <a:p>
                  <a:pPr>
                    <a:defRPr>
                      <a:solidFill>
                        <a:schemeClr val="bg1">
                          <a:lumMod val="50000"/>
                        </a:schemeClr>
                      </a:solidFill>
                    </a:defRPr>
                  </a:pPr>
                  <a:endParaRPr lang="en-US"/>
                </a:p>
              </c:txPr>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layout>
                <c:manualLayout>
                  <c:x val="0"/>
                  <c:y val="4.6657984117916114E-2"/>
                </c:manualLayout>
              </c:layout>
              <c:spPr/>
              <c:txPr>
                <a:bodyPr/>
                <a:lstStyle/>
                <a:p>
                  <a:pPr>
                    <a:defRPr>
                      <a:solidFill>
                        <a:schemeClr val="bg1">
                          <a:lumMod val="50000"/>
                        </a:schemeClr>
                      </a:solidFill>
                    </a:defRPr>
                  </a:pPr>
                  <a:endParaRPr lang="en-US"/>
                </a:p>
              </c:txPr>
              <c:showLegendKey val="0"/>
              <c:showVal val="1"/>
              <c:showCatName val="0"/>
              <c:showSerName val="0"/>
              <c:showPercent val="0"/>
              <c:showBubbleSize val="0"/>
            </c:dLbl>
            <c:showLegendKey val="0"/>
            <c:showVal val="1"/>
            <c:showCatName val="0"/>
            <c:showSerName val="0"/>
            <c:showPercent val="0"/>
            <c:showBubbleSize val="0"/>
            <c:showLeaderLines val="0"/>
          </c:dLbls>
          <c:cat>
            <c:numRef>
              <c:f>Sheet1!$A$50:$A$63</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Sheet1!$C$50:$C$63</c:f>
              <c:numCache>
                <c:formatCode>General</c:formatCode>
                <c:ptCount val="14"/>
                <c:pt idx="0">
                  <c:v>2.7</c:v>
                </c:pt>
                <c:pt idx="1">
                  <c:v>2.8</c:v>
                </c:pt>
                <c:pt idx="2">
                  <c:v>2.9</c:v>
                </c:pt>
                <c:pt idx="3">
                  <c:v>3.1</c:v>
                </c:pt>
                <c:pt idx="4">
                  <c:v>3</c:v>
                </c:pt>
                <c:pt idx="5">
                  <c:v>3</c:v>
                </c:pt>
                <c:pt idx="6">
                  <c:v>2.8</c:v>
                </c:pt>
                <c:pt idx="7">
                  <c:v>2.7</c:v>
                </c:pt>
                <c:pt idx="8">
                  <c:v>2.8</c:v>
                </c:pt>
                <c:pt idx="9">
                  <c:v>2.7</c:v>
                </c:pt>
                <c:pt idx="10">
                  <c:v>2.6</c:v>
                </c:pt>
                <c:pt idx="11">
                  <c:v>2.6</c:v>
                </c:pt>
                <c:pt idx="12">
                  <c:v>2.7</c:v>
                </c:pt>
                <c:pt idx="13">
                  <c:v>2.8</c:v>
                </c:pt>
              </c:numCache>
            </c:numRef>
          </c:val>
          <c:smooth val="0"/>
        </c:ser>
        <c:dLbls>
          <c:showLegendKey val="0"/>
          <c:showVal val="0"/>
          <c:showCatName val="0"/>
          <c:showSerName val="0"/>
          <c:showPercent val="0"/>
          <c:showBubbleSize val="0"/>
        </c:dLbls>
        <c:marker val="1"/>
        <c:smooth val="0"/>
        <c:axId val="44355968"/>
        <c:axId val="44357504"/>
      </c:lineChart>
      <c:catAx>
        <c:axId val="44355968"/>
        <c:scaling>
          <c:orientation val="minMax"/>
        </c:scaling>
        <c:delete val="0"/>
        <c:axPos val="b"/>
        <c:numFmt formatCode="General" sourceLinked="1"/>
        <c:majorTickMark val="none"/>
        <c:minorTickMark val="none"/>
        <c:tickLblPos val="nextTo"/>
        <c:txPr>
          <a:bodyPr rot="0" vert="horz"/>
          <a:lstStyle/>
          <a:p>
            <a:pPr>
              <a:defRPr/>
            </a:pPr>
            <a:endParaRPr lang="en-US"/>
          </a:p>
        </c:txPr>
        <c:crossAx val="44357504"/>
        <c:crosses val="autoZero"/>
        <c:auto val="1"/>
        <c:lblAlgn val="ctr"/>
        <c:lblOffset val="100"/>
        <c:tickLblSkip val="13"/>
        <c:noMultiLvlLbl val="0"/>
      </c:catAx>
      <c:valAx>
        <c:axId val="44357504"/>
        <c:scaling>
          <c:orientation val="minMax"/>
        </c:scaling>
        <c:delete val="0"/>
        <c:axPos val="l"/>
        <c:title>
          <c:tx>
            <c:rich>
              <a:bodyPr rot="-5400000" vert="horz"/>
              <a:lstStyle/>
              <a:p>
                <a:pPr>
                  <a:defRPr b="0"/>
                </a:pPr>
                <a:r>
                  <a:rPr lang="en-US" b="0"/>
                  <a:t>Serves per Day</a:t>
                </a:r>
              </a:p>
            </c:rich>
          </c:tx>
          <c:layout>
            <c:manualLayout>
              <c:xMode val="edge"/>
              <c:yMode val="edge"/>
              <c:x val="1.792273458303513E-2"/>
              <c:y val="0.25647200991371677"/>
            </c:manualLayout>
          </c:layout>
          <c:overlay val="0"/>
        </c:title>
        <c:numFmt formatCode="#,##0" sourceLinked="0"/>
        <c:majorTickMark val="out"/>
        <c:minorTickMark val="none"/>
        <c:tickLblPos val="none"/>
        <c:crossAx val="44355968"/>
        <c:crosses val="autoZero"/>
        <c:crossBetween val="between"/>
        <c:majorUnit val="1"/>
      </c:valAx>
      <c:spPr>
        <a:ln>
          <a:noFill/>
        </a:ln>
      </c:spPr>
    </c:plotArea>
    <c:legend>
      <c:legendPos val="t"/>
      <c:layout>
        <c:manualLayout>
          <c:xMode val="edge"/>
          <c:yMode val="edge"/>
          <c:x val="0.29912444824827455"/>
          <c:y val="7.4215484794605949E-2"/>
          <c:w val="0.43303951349278336"/>
          <c:h val="8.9937522364612804E-2"/>
        </c:manualLayout>
      </c:layout>
      <c:overlay val="0"/>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715342077504182"/>
          <c:y val="5.4775448442610154E-2"/>
          <c:w val="0.83744853273584374"/>
          <c:h val="0.75864755009150986"/>
        </c:manualLayout>
      </c:layout>
      <c:lineChart>
        <c:grouping val="standard"/>
        <c:varyColors val="0"/>
        <c:ser>
          <c:idx val="0"/>
          <c:order val="0"/>
          <c:tx>
            <c:strRef>
              <c:f>Sheet1!$B$67</c:f>
              <c:strCache>
                <c:ptCount val="1"/>
                <c:pt idx="0">
                  <c:v>Fruit</c:v>
                </c:pt>
              </c:strCache>
            </c:strRef>
          </c:tx>
          <c:marker>
            <c:symbol val="none"/>
          </c:marker>
          <c:dLbls>
            <c:dLbl>
              <c:idx val="0"/>
              <c:layout>
                <c:manualLayout>
                  <c:x val="-3.6073829210144098E-2"/>
                  <c:y val="4.8163090083181828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5.2979399091500012E-2"/>
                </c:manualLayout>
              </c:layout>
              <c:showLegendKey val="0"/>
              <c:showVal val="1"/>
              <c:showCatName val="0"/>
              <c:showSerName val="0"/>
              <c:showPercent val="0"/>
              <c:showBubbleSize val="0"/>
            </c:dLbl>
            <c:txPr>
              <a:bodyPr/>
              <a:lstStyle/>
              <a:p>
                <a:pPr>
                  <a:defRPr>
                    <a:solidFill>
                      <a:sysClr val="windowText" lastClr="000000"/>
                    </a:solidFill>
                  </a:defRPr>
                </a:pPr>
                <a:endParaRPr lang="en-US"/>
              </a:p>
            </c:txPr>
            <c:showLegendKey val="0"/>
            <c:showVal val="1"/>
            <c:showCatName val="0"/>
            <c:showSerName val="0"/>
            <c:showPercent val="0"/>
            <c:showBubbleSize val="0"/>
            <c:showLeaderLines val="0"/>
          </c:dLbls>
          <c:cat>
            <c:numRef>
              <c:f>Sheet1!$A$68:$A$80</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Sheet1!$B$68:$B$80</c:f>
              <c:numCache>
                <c:formatCode>0.0</c:formatCode>
                <c:ptCount val="13"/>
                <c:pt idx="0">
                  <c:v>2</c:v>
                </c:pt>
                <c:pt idx="1">
                  <c:v>2</c:v>
                </c:pt>
                <c:pt idx="2">
                  <c:v>1.9</c:v>
                </c:pt>
                <c:pt idx="3">
                  <c:v>1.9</c:v>
                </c:pt>
                <c:pt idx="4">
                  <c:v>1.9</c:v>
                </c:pt>
                <c:pt idx="5">
                  <c:v>2</c:v>
                </c:pt>
                <c:pt idx="6">
                  <c:v>2</c:v>
                </c:pt>
                <c:pt idx="7">
                  <c:v>2.1</c:v>
                </c:pt>
                <c:pt idx="8">
                  <c:v>2.1</c:v>
                </c:pt>
                <c:pt idx="9">
                  <c:v>1.9</c:v>
                </c:pt>
                <c:pt idx="10">
                  <c:v>2</c:v>
                </c:pt>
                <c:pt idx="11">
                  <c:v>2</c:v>
                </c:pt>
                <c:pt idx="12">
                  <c:v>2.1</c:v>
                </c:pt>
              </c:numCache>
            </c:numRef>
          </c:val>
          <c:smooth val="0"/>
        </c:ser>
        <c:ser>
          <c:idx val="1"/>
          <c:order val="1"/>
          <c:tx>
            <c:strRef>
              <c:f>Sheet1!$C$67</c:f>
              <c:strCache>
                <c:ptCount val="1"/>
                <c:pt idx="0">
                  <c:v>Veg</c:v>
                </c:pt>
              </c:strCache>
            </c:strRef>
          </c:tx>
          <c:marker>
            <c:symbol val="none"/>
          </c:marker>
          <c:dLbls>
            <c:dLbl>
              <c:idx val="0"/>
              <c:layout>
                <c:manualLayout>
                  <c:x val="-4.0082032455715663E-2"/>
                  <c:y val="-5.2979399091500012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3.3714163058227282E-2"/>
                </c:manualLayout>
              </c:layout>
              <c:showLegendKey val="0"/>
              <c:showVal val="1"/>
              <c:showCatName val="0"/>
              <c:showSerName val="0"/>
              <c:showPercent val="0"/>
              <c:showBubbleSize val="0"/>
            </c:dLbl>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Sheet1!$A$68:$A$80</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Sheet1!$C$68:$C$80</c:f>
              <c:numCache>
                <c:formatCode>0.0</c:formatCode>
                <c:ptCount val="13"/>
                <c:pt idx="0">
                  <c:v>2.1</c:v>
                </c:pt>
                <c:pt idx="1">
                  <c:v>2</c:v>
                </c:pt>
                <c:pt idx="2">
                  <c:v>2.1</c:v>
                </c:pt>
                <c:pt idx="3">
                  <c:v>2.2999999999999998</c:v>
                </c:pt>
                <c:pt idx="4">
                  <c:v>2.2000000000000002</c:v>
                </c:pt>
                <c:pt idx="5">
                  <c:v>2.2000000000000002</c:v>
                </c:pt>
                <c:pt idx="6">
                  <c:v>2.2000000000000002</c:v>
                </c:pt>
                <c:pt idx="7">
                  <c:v>2.2999999999999998</c:v>
                </c:pt>
                <c:pt idx="8">
                  <c:v>2.2999999999999998</c:v>
                </c:pt>
                <c:pt idx="9">
                  <c:v>2.4</c:v>
                </c:pt>
                <c:pt idx="10">
                  <c:v>2.2000000000000002</c:v>
                </c:pt>
                <c:pt idx="11">
                  <c:v>2.2000000000000002</c:v>
                </c:pt>
                <c:pt idx="12">
                  <c:v>2.2999999999999998</c:v>
                </c:pt>
              </c:numCache>
            </c:numRef>
          </c:val>
          <c:smooth val="0"/>
        </c:ser>
        <c:dLbls>
          <c:showLegendKey val="0"/>
          <c:showVal val="0"/>
          <c:showCatName val="0"/>
          <c:showSerName val="0"/>
          <c:showPercent val="0"/>
          <c:showBubbleSize val="0"/>
        </c:dLbls>
        <c:marker val="1"/>
        <c:smooth val="0"/>
        <c:axId val="44400000"/>
        <c:axId val="44442752"/>
      </c:lineChart>
      <c:catAx>
        <c:axId val="44400000"/>
        <c:scaling>
          <c:orientation val="minMax"/>
        </c:scaling>
        <c:delete val="0"/>
        <c:axPos val="b"/>
        <c:numFmt formatCode="General" sourceLinked="1"/>
        <c:majorTickMark val="none"/>
        <c:minorTickMark val="none"/>
        <c:tickLblPos val="nextTo"/>
        <c:txPr>
          <a:bodyPr rot="0" vert="horz"/>
          <a:lstStyle/>
          <a:p>
            <a:pPr>
              <a:defRPr/>
            </a:pPr>
            <a:endParaRPr lang="en-US"/>
          </a:p>
        </c:txPr>
        <c:crossAx val="44442752"/>
        <c:crosses val="autoZero"/>
        <c:auto val="1"/>
        <c:lblAlgn val="ctr"/>
        <c:lblOffset val="100"/>
        <c:tickLblSkip val="12"/>
        <c:noMultiLvlLbl val="0"/>
      </c:catAx>
      <c:valAx>
        <c:axId val="44442752"/>
        <c:scaling>
          <c:orientation val="minMax"/>
          <c:max val="5"/>
        </c:scaling>
        <c:delete val="0"/>
        <c:axPos val="l"/>
        <c:title>
          <c:tx>
            <c:rich>
              <a:bodyPr rot="-5400000" vert="horz"/>
              <a:lstStyle/>
              <a:p>
                <a:pPr>
                  <a:defRPr sz="1200" b="0"/>
                </a:pPr>
                <a:r>
                  <a:rPr lang="en-US" sz="1200" b="0" i="0" baseline="0">
                    <a:effectLst/>
                  </a:rPr>
                  <a:t>Serves per Day</a:t>
                </a:r>
                <a:endParaRPr lang="en-AU" sz="1200">
                  <a:effectLst/>
                </a:endParaRPr>
              </a:p>
            </c:rich>
          </c:tx>
          <c:layout>
            <c:manualLayout>
              <c:xMode val="edge"/>
              <c:yMode val="edge"/>
              <c:x val="1.74015206394234E-2"/>
              <c:y val="0.2307506935298568"/>
            </c:manualLayout>
          </c:layout>
          <c:overlay val="0"/>
        </c:title>
        <c:numFmt formatCode="0" sourceLinked="0"/>
        <c:majorTickMark val="out"/>
        <c:minorTickMark val="none"/>
        <c:tickLblPos val="none"/>
        <c:crossAx val="44400000"/>
        <c:crosses val="autoZero"/>
        <c:crossBetween val="between"/>
        <c:majorUnit val="1"/>
      </c:valAx>
    </c:plotArea>
    <c:legend>
      <c:legendPos val="t"/>
      <c:layout>
        <c:manualLayout>
          <c:xMode val="edge"/>
          <c:yMode val="edge"/>
          <c:x val="0.30280782599696843"/>
          <c:y val="6.9622391507111442E-2"/>
          <c:w val="0.43303951349278336"/>
          <c:h val="9.2838682152168756E-2"/>
        </c:manualLayout>
      </c:layout>
      <c:overlay val="0"/>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0043312047628035"/>
          <c:y val="0.10257090472183744"/>
          <c:w val="0.83992961637576091"/>
          <c:h val="0.77084353594042476"/>
        </c:manualLayout>
      </c:layout>
      <c:lineChart>
        <c:grouping val="standard"/>
        <c:varyColors val="0"/>
        <c:ser>
          <c:idx val="0"/>
          <c:order val="0"/>
          <c:tx>
            <c:strRef>
              <c:f>Sheet1!$B$84</c:f>
              <c:strCache>
                <c:ptCount val="1"/>
                <c:pt idx="0">
                  <c:v>Long-term harm</c:v>
                </c:pt>
              </c:strCache>
            </c:strRef>
          </c:tx>
          <c:marker>
            <c:symbol val="none"/>
          </c:marker>
          <c:dLbls>
            <c:dLbl>
              <c:idx val="0"/>
              <c:layout>
                <c:manualLayout>
                  <c:x val="-4.1710768514191962E-2"/>
                  <c:y val="6.5321201763158102E-2"/>
                </c:manualLayout>
              </c:layout>
              <c:tx>
                <c:rich>
                  <a:bodyPr/>
                  <a:lstStyle/>
                  <a:p>
                    <a:r>
                      <a:rPr lang="en-US"/>
                      <a:t>36.2%</a:t>
                    </a:r>
                  </a:p>
                </c:rich>
              </c:tx>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layout>
                <c:manualLayout>
                  <c:x val="0"/>
                  <c:y val="5.2318480159916893E-2"/>
                </c:manualLayout>
              </c:layout>
              <c:tx>
                <c:rich>
                  <a:bodyPr/>
                  <a:lstStyle/>
                  <a:p>
                    <a:r>
                      <a:rPr lang="en-US"/>
                      <a:t>27.9%</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Sheet1!$A$85:$A$98</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Sheet1!$B$85:$B$98</c:f>
              <c:numCache>
                <c:formatCode>0.0</c:formatCode>
                <c:ptCount val="14"/>
                <c:pt idx="0">
                  <c:v>36.200000000000003</c:v>
                </c:pt>
                <c:pt idx="1">
                  <c:v>35.4</c:v>
                </c:pt>
                <c:pt idx="2">
                  <c:v>35.4</c:v>
                </c:pt>
                <c:pt idx="3">
                  <c:v>34.299999999999997</c:v>
                </c:pt>
                <c:pt idx="4">
                  <c:v>34</c:v>
                </c:pt>
                <c:pt idx="5">
                  <c:v>36</c:v>
                </c:pt>
                <c:pt idx="6">
                  <c:v>37</c:v>
                </c:pt>
                <c:pt idx="7">
                  <c:v>35.700000000000003</c:v>
                </c:pt>
                <c:pt idx="8">
                  <c:v>37.4</c:v>
                </c:pt>
                <c:pt idx="9">
                  <c:v>36.799999999999997</c:v>
                </c:pt>
                <c:pt idx="10">
                  <c:v>29.2</c:v>
                </c:pt>
                <c:pt idx="11">
                  <c:v>30.6</c:v>
                </c:pt>
                <c:pt idx="12">
                  <c:v>27.9</c:v>
                </c:pt>
                <c:pt idx="13" formatCode="General">
                  <c:v>27.9</c:v>
                </c:pt>
              </c:numCache>
            </c:numRef>
          </c:val>
          <c:smooth val="0"/>
        </c:ser>
        <c:ser>
          <c:idx val="1"/>
          <c:order val="1"/>
          <c:tx>
            <c:strRef>
              <c:f>Sheet1!$C$84</c:f>
              <c:strCache>
                <c:ptCount val="1"/>
                <c:pt idx="0">
                  <c:v>Short-term harm</c:v>
                </c:pt>
              </c:strCache>
            </c:strRef>
          </c:tx>
          <c:marker>
            <c:symbol val="none"/>
          </c:marker>
          <c:dLbls>
            <c:dLbl>
              <c:idx val="0"/>
              <c:layout>
                <c:manualLayout>
                  <c:x val="-4.5502656560936688E-2"/>
                  <c:y val="-3.7326401007518918E-2"/>
                </c:manualLayout>
              </c:layout>
              <c:tx>
                <c:rich>
                  <a:bodyPr/>
                  <a:lstStyle/>
                  <a:p>
                    <a:r>
                      <a:rPr lang="en-US">
                        <a:solidFill>
                          <a:schemeClr val="bg1">
                            <a:lumMod val="50000"/>
                          </a:schemeClr>
                        </a:solidFill>
                      </a:rPr>
                      <a:t>16.8%</a:t>
                    </a:r>
                    <a:endParaRPr lang="en-US"/>
                  </a:p>
                </c:rich>
              </c:tx>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layout>
                <c:manualLayout>
                  <c:x val="0"/>
                  <c:y val="-6.0655401637218241E-2"/>
                </c:manualLayout>
              </c:layout>
              <c:tx>
                <c:rich>
                  <a:bodyPr/>
                  <a:lstStyle/>
                  <a:p>
                    <a:r>
                      <a:rPr lang="en-US">
                        <a:solidFill>
                          <a:schemeClr val="bg1">
                            <a:lumMod val="50000"/>
                          </a:schemeClr>
                        </a:solidFill>
                      </a:rPr>
                      <a:t>9.7%</a:t>
                    </a:r>
                    <a:endParaRPr lang="en-US"/>
                  </a:p>
                </c:rich>
              </c:tx>
              <c:showLegendKey val="0"/>
              <c:showVal val="1"/>
              <c:showCatName val="0"/>
              <c:showSerName val="0"/>
              <c:showPercent val="0"/>
              <c:showBubbleSize val="0"/>
            </c:dLbl>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Sheet1!$A$85:$A$98</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Sheet1!$C$85:$C$98</c:f>
              <c:numCache>
                <c:formatCode>0.0</c:formatCode>
                <c:ptCount val="14"/>
                <c:pt idx="0">
                  <c:v>16.8</c:v>
                </c:pt>
                <c:pt idx="1">
                  <c:v>16</c:v>
                </c:pt>
                <c:pt idx="2">
                  <c:v>15.6</c:v>
                </c:pt>
                <c:pt idx="3">
                  <c:v>15.9</c:v>
                </c:pt>
                <c:pt idx="4">
                  <c:v>14.4</c:v>
                </c:pt>
                <c:pt idx="5">
                  <c:v>16.2</c:v>
                </c:pt>
                <c:pt idx="6">
                  <c:v>17.7</c:v>
                </c:pt>
                <c:pt idx="7">
                  <c:v>14.4</c:v>
                </c:pt>
                <c:pt idx="8">
                  <c:v>16.3</c:v>
                </c:pt>
                <c:pt idx="9">
                  <c:v>16.399999999999999</c:v>
                </c:pt>
                <c:pt idx="10">
                  <c:v>11.8</c:v>
                </c:pt>
                <c:pt idx="11">
                  <c:v>13</c:v>
                </c:pt>
                <c:pt idx="12">
                  <c:v>11</c:v>
                </c:pt>
                <c:pt idx="13" formatCode="General">
                  <c:v>9.6999999999999993</c:v>
                </c:pt>
              </c:numCache>
            </c:numRef>
          </c:val>
          <c:smooth val="0"/>
        </c:ser>
        <c:dLbls>
          <c:showLegendKey val="0"/>
          <c:showVal val="0"/>
          <c:showCatName val="0"/>
          <c:showSerName val="0"/>
          <c:showPercent val="0"/>
          <c:showBubbleSize val="0"/>
        </c:dLbls>
        <c:marker val="1"/>
        <c:smooth val="0"/>
        <c:axId val="44473344"/>
        <c:axId val="44475136"/>
      </c:lineChart>
      <c:catAx>
        <c:axId val="44473344"/>
        <c:scaling>
          <c:orientation val="minMax"/>
        </c:scaling>
        <c:delete val="0"/>
        <c:axPos val="b"/>
        <c:numFmt formatCode="General" sourceLinked="1"/>
        <c:majorTickMark val="none"/>
        <c:minorTickMark val="none"/>
        <c:tickLblPos val="nextTo"/>
        <c:txPr>
          <a:bodyPr rot="0" vert="horz"/>
          <a:lstStyle/>
          <a:p>
            <a:pPr>
              <a:defRPr/>
            </a:pPr>
            <a:endParaRPr lang="en-US"/>
          </a:p>
        </c:txPr>
        <c:crossAx val="44475136"/>
        <c:crosses val="autoZero"/>
        <c:auto val="1"/>
        <c:lblAlgn val="ctr"/>
        <c:lblOffset val="100"/>
        <c:tickLblSkip val="13"/>
        <c:noMultiLvlLbl val="0"/>
      </c:catAx>
      <c:valAx>
        <c:axId val="44475136"/>
        <c:scaling>
          <c:orientation val="minMax"/>
          <c:max val="50"/>
        </c:scaling>
        <c:delete val="0"/>
        <c:axPos val="l"/>
        <c:title>
          <c:tx>
            <c:rich>
              <a:bodyPr rot="-5400000" vert="horz"/>
              <a:lstStyle/>
              <a:p>
                <a:pPr>
                  <a:defRPr b="0"/>
                </a:pPr>
                <a:r>
                  <a:rPr lang="en-US" b="0"/>
                  <a:t>High Risk</a:t>
                </a:r>
                <a:r>
                  <a:rPr lang="en-US" b="0" baseline="0"/>
                  <a:t> Consumption (%)</a:t>
                </a:r>
                <a:endParaRPr lang="en-US" b="0"/>
              </a:p>
            </c:rich>
          </c:tx>
          <c:layout>
            <c:manualLayout>
              <c:xMode val="edge"/>
              <c:yMode val="edge"/>
              <c:x val="1.6145379946795876E-2"/>
              <c:y val="0.13017625596613769"/>
            </c:manualLayout>
          </c:layout>
          <c:overlay val="0"/>
        </c:title>
        <c:numFmt formatCode="0" sourceLinked="0"/>
        <c:majorTickMark val="out"/>
        <c:minorTickMark val="none"/>
        <c:tickLblPos val="none"/>
        <c:crossAx val="44473344"/>
        <c:crosses val="autoZero"/>
        <c:crossBetween val="between"/>
        <c:majorUnit val="10"/>
      </c:valAx>
    </c:plotArea>
    <c:legend>
      <c:legendPos val="t"/>
      <c:layout>
        <c:manualLayout>
          <c:xMode val="edge"/>
          <c:yMode val="edge"/>
          <c:x val="0.29357806821571414"/>
          <c:y val="4.2008957932988193E-2"/>
          <c:w val="0.62554832504428604"/>
          <c:h val="0.19725085279406007"/>
        </c:manualLayout>
      </c:layout>
      <c:overlay val="0"/>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1823022304754521"/>
          <c:y val="0.10658351502918241"/>
          <c:w val="0.82348620544569329"/>
          <c:h val="0.74760345122128191"/>
        </c:manualLayout>
      </c:layout>
      <c:lineChart>
        <c:grouping val="standard"/>
        <c:varyColors val="0"/>
        <c:ser>
          <c:idx val="0"/>
          <c:order val="0"/>
          <c:tx>
            <c:strRef>
              <c:f>Sheet1!$B$101</c:f>
              <c:strCache>
                <c:ptCount val="1"/>
                <c:pt idx="0">
                  <c:v>Adults</c:v>
                </c:pt>
              </c:strCache>
            </c:strRef>
          </c:tx>
          <c:marker>
            <c:symbol val="none"/>
          </c:marker>
          <c:dLbls>
            <c:dLbl>
              <c:idx val="0"/>
              <c:layout>
                <c:manualLayout>
                  <c:x val="-3.6036036036036036E-2"/>
                  <c:y val="4.2031515914610199E-2"/>
                </c:manualLayout>
              </c:layout>
              <c:tx>
                <c:rich>
                  <a:bodyPr/>
                  <a:lstStyle/>
                  <a:p>
                    <a:r>
                      <a:rPr lang="en-US"/>
                      <a:t>21.3%</a:t>
                    </a:r>
                  </a:p>
                </c:rich>
              </c:tx>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layout>
                <c:manualLayout>
                  <c:x val="0"/>
                  <c:y val="5.1371852784523601E-2"/>
                </c:manualLayout>
              </c:layout>
              <c:tx>
                <c:rich>
                  <a:bodyPr/>
                  <a:lstStyle/>
                  <a:p>
                    <a:r>
                      <a:rPr lang="en-US"/>
                      <a:t>27.0%</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Sheet1!$A$102:$A$115</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Sheet1!$B$102:$B$115</c:f>
              <c:numCache>
                <c:formatCode>0.0</c:formatCode>
                <c:ptCount val="14"/>
                <c:pt idx="0">
                  <c:v>21.3</c:v>
                </c:pt>
                <c:pt idx="1">
                  <c:v>21.6</c:v>
                </c:pt>
                <c:pt idx="2">
                  <c:v>22.9</c:v>
                </c:pt>
                <c:pt idx="3">
                  <c:v>24.3</c:v>
                </c:pt>
                <c:pt idx="4">
                  <c:v>24.1</c:v>
                </c:pt>
                <c:pt idx="5">
                  <c:v>26.1</c:v>
                </c:pt>
                <c:pt idx="6">
                  <c:v>25.4</c:v>
                </c:pt>
                <c:pt idx="7">
                  <c:v>26.7</c:v>
                </c:pt>
                <c:pt idx="8">
                  <c:v>26.6</c:v>
                </c:pt>
                <c:pt idx="9">
                  <c:v>26.1</c:v>
                </c:pt>
                <c:pt idx="10">
                  <c:v>28.1</c:v>
                </c:pt>
                <c:pt idx="11">
                  <c:v>27.9</c:v>
                </c:pt>
                <c:pt idx="12">
                  <c:v>27.7</c:v>
                </c:pt>
                <c:pt idx="13">
                  <c:v>27</c:v>
                </c:pt>
              </c:numCache>
            </c:numRef>
          </c:val>
          <c:smooth val="0"/>
        </c:ser>
        <c:ser>
          <c:idx val="1"/>
          <c:order val="1"/>
          <c:tx>
            <c:strRef>
              <c:f>Sheet1!$C$101</c:f>
              <c:strCache>
                <c:ptCount val="1"/>
                <c:pt idx="0">
                  <c:v>Children</c:v>
                </c:pt>
              </c:strCache>
            </c:strRef>
          </c:tx>
          <c:marker>
            <c:symbol val="none"/>
          </c:marker>
          <c:dLbls>
            <c:dLbl>
              <c:idx val="0"/>
              <c:layout>
                <c:manualLayout>
                  <c:x val="-5.8758916396711672E-2"/>
                  <c:y val="-5.9544647545697785E-2"/>
                </c:manualLayout>
              </c:layout>
              <c:tx>
                <c:rich>
                  <a:bodyPr/>
                  <a:lstStyle/>
                  <a:p>
                    <a:r>
                      <a:rPr lang="en-US">
                        <a:solidFill>
                          <a:schemeClr val="bg1">
                            <a:lumMod val="50000"/>
                          </a:schemeClr>
                        </a:solidFill>
                      </a:rPr>
                      <a:t>11.0%</a:t>
                    </a:r>
                    <a:endParaRPr lang="en-US"/>
                  </a:p>
                </c:rich>
              </c:tx>
              <c:dLblPos val="r"/>
              <c:showLegendKey val="0"/>
              <c:showVal val="1"/>
              <c:showCatName val="0"/>
              <c:showSerName val="0"/>
              <c:showPercent val="0"/>
              <c:showBubbleSize val="0"/>
            </c:dLbl>
            <c:dLbl>
              <c:idx val="1"/>
              <c:showLegendKey val="0"/>
              <c:showVal val="1"/>
              <c:showCatName val="0"/>
              <c:showSerName val="0"/>
              <c:showPercent val="0"/>
              <c:showBubbleSize val="0"/>
            </c:dLbl>
            <c:dLbl>
              <c:idx val="2"/>
              <c:layout>
                <c:manualLayout>
                  <c:x val="-0.14414414414414414"/>
                  <c:y val="1.4010505304870066E-2"/>
                </c:manualLayout>
              </c:layout>
              <c:tx>
                <c:rich>
                  <a:bodyPr/>
                  <a:lstStyle/>
                  <a:p>
                    <a:r>
                      <a:rPr lang="en-US">
                        <a:solidFill>
                          <a:schemeClr val="bg1">
                            <a:lumMod val="50000"/>
                          </a:schemeClr>
                        </a:solidFill>
                      </a:rPr>
                      <a:t>7.0%</a:t>
                    </a:r>
                    <a:endParaRPr lang="en-US"/>
                  </a:p>
                </c:rich>
              </c:tx>
              <c:showLegendKey val="0"/>
              <c:showVal val="1"/>
              <c:showCatName val="0"/>
              <c:showSerName val="0"/>
              <c:showPercent val="0"/>
              <c:showBubbleSize val="0"/>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5.1323801385338513E-2"/>
                </c:manualLayout>
              </c:layout>
              <c:tx>
                <c:rich>
                  <a:bodyPr/>
                  <a:lstStyle/>
                  <a:p>
                    <a:r>
                      <a:rPr lang="en-US">
                        <a:solidFill>
                          <a:schemeClr val="bg1">
                            <a:lumMod val="50000"/>
                          </a:schemeClr>
                        </a:solidFill>
                      </a:rPr>
                      <a:t>8.7%</a:t>
                    </a:r>
                    <a:endParaRPr lang="en-US"/>
                  </a:p>
                </c:rich>
              </c:tx>
              <c:showLegendKey val="0"/>
              <c:showVal val="1"/>
              <c:showCatName val="0"/>
              <c:showSerName val="0"/>
              <c:showPercent val="0"/>
              <c:showBubbleSize val="0"/>
            </c:dLbl>
            <c:dLbl>
              <c:idx val="13"/>
              <c:tx>
                <c:rich>
                  <a:bodyPr/>
                  <a:lstStyle/>
                  <a:p>
                    <a:r>
                      <a:rPr lang="en-US">
                        <a:solidFill>
                          <a:schemeClr val="bg1">
                            <a:lumMod val="50000"/>
                          </a:schemeClr>
                        </a:solidFill>
                      </a:rPr>
                      <a:t>10.0%</a:t>
                    </a:r>
                    <a:endParaRPr lang="en-US"/>
                  </a:p>
                </c:rich>
              </c:tx>
              <c:dLblPos val="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dLblPos val="t"/>
            <c:showLegendKey val="0"/>
            <c:showVal val="1"/>
            <c:showCatName val="0"/>
            <c:showSerName val="0"/>
            <c:showPercent val="0"/>
            <c:showBubbleSize val="0"/>
            <c:showLeaderLines val="0"/>
          </c:dLbls>
          <c:cat>
            <c:numRef>
              <c:f>Sheet1!$A$102:$A$115</c:f>
              <c:numCache>
                <c:formatCode>General</c:formatCode>
                <c:ptCount val="14"/>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numCache>
            </c:numRef>
          </c:cat>
          <c:val>
            <c:numRef>
              <c:f>Sheet1!$C$102:$C$115</c:f>
              <c:numCache>
                <c:formatCode>General</c:formatCode>
                <c:ptCount val="14"/>
                <c:pt idx="2" formatCode="0.0">
                  <c:v>7</c:v>
                </c:pt>
                <c:pt idx="3" formatCode="0.0">
                  <c:v>8.9</c:v>
                </c:pt>
                <c:pt idx="4" formatCode="0.0">
                  <c:v>6</c:v>
                </c:pt>
                <c:pt idx="5" formatCode="0.0">
                  <c:v>4.5999999999999996</c:v>
                </c:pt>
                <c:pt idx="6" formatCode="0.0">
                  <c:v>5.7</c:v>
                </c:pt>
                <c:pt idx="7" formatCode="0.0">
                  <c:v>5.8</c:v>
                </c:pt>
                <c:pt idx="8" formatCode="0.0">
                  <c:v>6</c:v>
                </c:pt>
                <c:pt idx="9" formatCode="0.0">
                  <c:v>4.2</c:v>
                </c:pt>
                <c:pt idx="10" formatCode="0.0">
                  <c:v>7.4</c:v>
                </c:pt>
                <c:pt idx="11" formatCode="0.0">
                  <c:v>6</c:v>
                </c:pt>
                <c:pt idx="12" formatCode="0.0">
                  <c:v>8.6999999999999993</c:v>
                </c:pt>
              </c:numCache>
            </c:numRef>
          </c:val>
          <c:smooth val="0"/>
        </c:ser>
        <c:dLbls>
          <c:showLegendKey val="0"/>
          <c:showVal val="0"/>
          <c:showCatName val="0"/>
          <c:showSerName val="0"/>
          <c:showPercent val="0"/>
          <c:showBubbleSize val="0"/>
        </c:dLbls>
        <c:marker val="1"/>
        <c:smooth val="0"/>
        <c:axId val="44546304"/>
        <c:axId val="44572672"/>
      </c:lineChart>
      <c:catAx>
        <c:axId val="44546304"/>
        <c:scaling>
          <c:orientation val="minMax"/>
        </c:scaling>
        <c:delete val="0"/>
        <c:axPos val="b"/>
        <c:numFmt formatCode="General" sourceLinked="1"/>
        <c:majorTickMark val="none"/>
        <c:minorTickMark val="none"/>
        <c:tickLblPos val="nextTo"/>
        <c:txPr>
          <a:bodyPr rot="0" vert="horz"/>
          <a:lstStyle/>
          <a:p>
            <a:pPr>
              <a:defRPr/>
            </a:pPr>
            <a:endParaRPr lang="en-US"/>
          </a:p>
        </c:txPr>
        <c:crossAx val="44572672"/>
        <c:crosses val="autoZero"/>
        <c:auto val="1"/>
        <c:lblAlgn val="ctr"/>
        <c:lblOffset val="100"/>
        <c:tickLblSkip val="13"/>
        <c:noMultiLvlLbl val="0"/>
      </c:catAx>
      <c:valAx>
        <c:axId val="44572672"/>
        <c:scaling>
          <c:orientation val="minMax"/>
        </c:scaling>
        <c:delete val="0"/>
        <c:axPos val="l"/>
        <c:title>
          <c:tx>
            <c:rich>
              <a:bodyPr rot="-5400000" vert="horz"/>
              <a:lstStyle/>
              <a:p>
                <a:pPr>
                  <a:defRPr b="0"/>
                </a:pPr>
                <a:r>
                  <a:rPr lang="en-US" b="0"/>
                  <a:t>Obesity (%)</a:t>
                </a:r>
              </a:p>
            </c:rich>
          </c:tx>
          <c:layout>
            <c:manualLayout>
              <c:xMode val="edge"/>
              <c:yMode val="edge"/>
              <c:x val="1.9080586179645972E-2"/>
              <c:y val="0.33377676641689441"/>
            </c:manualLayout>
          </c:layout>
          <c:overlay val="0"/>
        </c:title>
        <c:numFmt formatCode="0" sourceLinked="0"/>
        <c:majorTickMark val="out"/>
        <c:minorTickMark val="out"/>
        <c:tickLblPos val="none"/>
        <c:crossAx val="44546304"/>
        <c:crosses val="autoZero"/>
        <c:crossBetween val="between"/>
        <c:majorUnit val="40"/>
        <c:minorUnit val="10"/>
      </c:valAx>
    </c:plotArea>
    <c:legend>
      <c:legendPos val="t"/>
      <c:layout>
        <c:manualLayout>
          <c:xMode val="edge"/>
          <c:yMode val="edge"/>
          <c:x val="0.24574232494688986"/>
          <c:y val="0.11443010977920384"/>
          <c:w val="0.57720515987127363"/>
          <c:h val="8.9937522364612804E-2"/>
        </c:manualLayout>
      </c:layout>
      <c:overlay val="0"/>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422558041623455"/>
          <c:y val="0.13901517798364882"/>
          <c:w val="0.81545699752052947"/>
          <c:h val="0.73604623181670381"/>
        </c:manualLayout>
      </c:layout>
      <c:lineChart>
        <c:grouping val="standard"/>
        <c:varyColors val="0"/>
        <c:ser>
          <c:idx val="0"/>
          <c:order val="0"/>
          <c:tx>
            <c:strRef>
              <c:f>Sheet1!$B$118</c:f>
              <c:strCache>
                <c:ptCount val="1"/>
                <c:pt idx="0">
                  <c:v>High cholesterol</c:v>
                </c:pt>
              </c:strCache>
            </c:strRef>
          </c:tx>
          <c:marker>
            <c:symbol val="none"/>
          </c:marker>
          <c:dLbls>
            <c:dLbl>
              <c:idx val="0"/>
              <c:layout>
                <c:manualLayout>
                  <c:x val="-4.804331890946064E-2"/>
                  <c:y val="-8.2399644897329011E-2"/>
                </c:manualLayout>
              </c:layout>
              <c:tx>
                <c:rich>
                  <a:bodyPr/>
                  <a:lstStyle/>
                  <a:p>
                    <a:r>
                      <a:rPr lang="en-US"/>
                      <a:t>19.5%</a:t>
                    </a:r>
                  </a:p>
                </c:rich>
              </c:tx>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7.5847228655241627E-2"/>
                </c:manualLayout>
              </c:layout>
              <c:tx>
                <c:rich>
                  <a:bodyPr/>
                  <a:lstStyle/>
                  <a:p>
                    <a:r>
                      <a:rPr lang="en-US"/>
                      <a:t>19.0%</a:t>
                    </a:r>
                  </a:p>
                </c:rich>
              </c:tx>
              <c:showLegendKey val="0"/>
              <c:showVal val="1"/>
              <c:showCatName val="0"/>
              <c:showSerName val="0"/>
              <c:showPercent val="0"/>
              <c:showBubbleSize val="0"/>
            </c:dLbl>
            <c:showLegendKey val="0"/>
            <c:showVal val="1"/>
            <c:showCatName val="0"/>
            <c:showSerName val="0"/>
            <c:showPercent val="0"/>
            <c:showBubbleSize val="0"/>
            <c:showLeaderLines val="0"/>
          </c:dLbls>
          <c:cat>
            <c:numRef>
              <c:f>Sheet1!$A$119:$A$131</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Sheet1!$B$119:$B$131</c:f>
              <c:numCache>
                <c:formatCode>0.0</c:formatCode>
                <c:ptCount val="13"/>
                <c:pt idx="0">
                  <c:v>19.5</c:v>
                </c:pt>
                <c:pt idx="1">
                  <c:v>20.3</c:v>
                </c:pt>
                <c:pt idx="2">
                  <c:v>15.2</c:v>
                </c:pt>
                <c:pt idx="3">
                  <c:v>18.899999999999999</c:v>
                </c:pt>
                <c:pt idx="4">
                  <c:v>20.100000000000001</c:v>
                </c:pt>
                <c:pt idx="5">
                  <c:v>17.7</c:v>
                </c:pt>
                <c:pt idx="6">
                  <c:v>19.7</c:v>
                </c:pt>
                <c:pt idx="7">
                  <c:v>21.1</c:v>
                </c:pt>
                <c:pt idx="8">
                  <c:v>20.7</c:v>
                </c:pt>
                <c:pt idx="9">
                  <c:v>18.5</c:v>
                </c:pt>
                <c:pt idx="10">
                  <c:v>19.100000000000001</c:v>
                </c:pt>
                <c:pt idx="11">
                  <c:v>19.100000000000001</c:v>
                </c:pt>
                <c:pt idx="12">
                  <c:v>19</c:v>
                </c:pt>
              </c:numCache>
            </c:numRef>
          </c:val>
          <c:smooth val="0"/>
        </c:ser>
        <c:ser>
          <c:idx val="1"/>
          <c:order val="1"/>
          <c:tx>
            <c:strRef>
              <c:f>Sheet1!$C$118</c:f>
              <c:strCache>
                <c:ptCount val="1"/>
                <c:pt idx="0">
                  <c:v>High blood pressure</c:v>
                </c:pt>
              </c:strCache>
            </c:strRef>
          </c:tx>
          <c:marker>
            <c:symbol val="none"/>
          </c:marker>
          <c:dLbls>
            <c:dLbl>
              <c:idx val="0"/>
              <c:layout>
                <c:manualLayout>
                  <c:x val="-4.0040040040040074E-2"/>
                  <c:y val="6.3725490196078427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1.6016016016016016E-2"/>
                  <c:y val="6.3725490196078427E-2"/>
                </c:manualLayout>
              </c:layout>
              <c:showLegendKey val="0"/>
              <c:showVal val="1"/>
              <c:showCatName val="0"/>
              <c:showSerName val="0"/>
              <c:showPercent val="0"/>
              <c:showBubbleSize val="0"/>
            </c:dLbl>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Sheet1!$A$119:$A$131</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Sheet1!$C$119:$C$131</c:f>
              <c:numCache>
                <c:formatCode>0.0</c:formatCode>
                <c:ptCount val="13"/>
                <c:pt idx="0">
                  <c:v>17.5</c:v>
                </c:pt>
                <c:pt idx="1">
                  <c:v>18.8</c:v>
                </c:pt>
                <c:pt idx="2">
                  <c:v>17.7</c:v>
                </c:pt>
                <c:pt idx="3">
                  <c:v>18.899999999999999</c:v>
                </c:pt>
                <c:pt idx="4">
                  <c:v>19</c:v>
                </c:pt>
                <c:pt idx="5">
                  <c:v>18.8</c:v>
                </c:pt>
                <c:pt idx="6">
                  <c:v>19.600000000000001</c:v>
                </c:pt>
                <c:pt idx="7">
                  <c:v>20</c:v>
                </c:pt>
                <c:pt idx="8">
                  <c:v>18.7</c:v>
                </c:pt>
                <c:pt idx="9">
                  <c:v>18.8</c:v>
                </c:pt>
                <c:pt idx="10">
                  <c:v>18.2</c:v>
                </c:pt>
                <c:pt idx="11">
                  <c:v>18.600000000000001</c:v>
                </c:pt>
                <c:pt idx="12">
                  <c:v>18.600000000000001</c:v>
                </c:pt>
              </c:numCache>
            </c:numRef>
          </c:val>
          <c:smooth val="0"/>
        </c:ser>
        <c:dLbls>
          <c:showLegendKey val="0"/>
          <c:showVal val="0"/>
          <c:showCatName val="0"/>
          <c:showSerName val="0"/>
          <c:showPercent val="0"/>
          <c:showBubbleSize val="0"/>
        </c:dLbls>
        <c:marker val="1"/>
        <c:smooth val="0"/>
        <c:axId val="44602496"/>
        <c:axId val="44604032"/>
      </c:lineChart>
      <c:catAx>
        <c:axId val="44602496"/>
        <c:scaling>
          <c:orientation val="minMax"/>
        </c:scaling>
        <c:delete val="0"/>
        <c:axPos val="b"/>
        <c:numFmt formatCode="General" sourceLinked="1"/>
        <c:majorTickMark val="none"/>
        <c:minorTickMark val="none"/>
        <c:tickLblPos val="nextTo"/>
        <c:txPr>
          <a:bodyPr rot="0" vert="horz"/>
          <a:lstStyle/>
          <a:p>
            <a:pPr>
              <a:defRPr/>
            </a:pPr>
            <a:endParaRPr lang="en-US"/>
          </a:p>
        </c:txPr>
        <c:crossAx val="44604032"/>
        <c:crosses val="autoZero"/>
        <c:auto val="1"/>
        <c:lblAlgn val="ctr"/>
        <c:lblOffset val="100"/>
        <c:tickLblSkip val="12"/>
        <c:noMultiLvlLbl val="0"/>
      </c:catAx>
      <c:valAx>
        <c:axId val="44604032"/>
        <c:scaling>
          <c:orientation val="minMax"/>
          <c:max val="40"/>
        </c:scaling>
        <c:delete val="0"/>
        <c:axPos val="l"/>
        <c:title>
          <c:tx>
            <c:rich>
              <a:bodyPr rot="-5400000" vert="horz"/>
              <a:lstStyle/>
              <a:p>
                <a:pPr>
                  <a:defRPr b="0"/>
                </a:pPr>
                <a:r>
                  <a:rPr lang="en-US" b="0"/>
                  <a:t>Prevalence (%)</a:t>
                </a:r>
              </a:p>
            </c:rich>
          </c:tx>
          <c:layout>
            <c:manualLayout>
              <c:xMode val="edge"/>
              <c:yMode val="edge"/>
              <c:x val="1.6036600260943501E-2"/>
              <c:y val="0.21660463188735435"/>
            </c:manualLayout>
          </c:layout>
          <c:overlay val="0"/>
        </c:title>
        <c:numFmt formatCode="0" sourceLinked="0"/>
        <c:majorTickMark val="out"/>
        <c:minorTickMark val="none"/>
        <c:tickLblPos val="none"/>
        <c:crossAx val="44602496"/>
        <c:crosses val="autoZero"/>
        <c:crossBetween val="between"/>
        <c:majorUnit val="10"/>
      </c:valAx>
    </c:plotArea>
    <c:legend>
      <c:legendPos val="t"/>
      <c:layout>
        <c:manualLayout>
          <c:xMode val="edge"/>
          <c:yMode val="edge"/>
          <c:x val="0.21341620617850415"/>
          <c:y val="8.708140980541447E-2"/>
          <c:w val="0.62955112542141367"/>
          <c:h val="0.20087107149876834"/>
        </c:manualLayout>
      </c:layout>
      <c:overlay val="0"/>
    </c:legend>
    <c:plotVisOnly val="1"/>
    <c:dispBlanksAs val="gap"/>
    <c:showDLblsOverMax val="0"/>
  </c:chart>
  <c:spPr>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2679329172536102"/>
          <c:y val="8.2614053096070644E-2"/>
          <c:w val="0.81768290947652844"/>
          <c:h val="0.78960358023375865"/>
        </c:manualLayout>
      </c:layout>
      <c:lineChart>
        <c:grouping val="standard"/>
        <c:varyColors val="0"/>
        <c:ser>
          <c:idx val="0"/>
          <c:order val="0"/>
          <c:tx>
            <c:strRef>
              <c:f>Sheet1!$B$170</c:f>
              <c:strCache>
                <c:ptCount val="1"/>
                <c:pt idx="0">
                  <c:v>Males</c:v>
                </c:pt>
              </c:strCache>
            </c:strRef>
          </c:tx>
          <c:marker>
            <c:symbol val="none"/>
          </c:marker>
          <c:dLbls>
            <c:dLbl>
              <c:idx val="0"/>
              <c:layout>
                <c:manualLayout>
                  <c:x val="-5.2106642192430365E-2"/>
                  <c:y val="-3.7326401007518918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4.1992201133458744E-2"/>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numRef>
              <c:f>Sheet1!$A$171:$A$183</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Sheet1!$B$171:$B$183</c:f>
              <c:numCache>
                <c:formatCode>General</c:formatCode>
                <c:ptCount val="13"/>
                <c:pt idx="0">
                  <c:v>1000.39</c:v>
                </c:pt>
                <c:pt idx="1">
                  <c:v>921.44</c:v>
                </c:pt>
                <c:pt idx="2">
                  <c:v>928.41</c:v>
                </c:pt>
                <c:pt idx="3">
                  <c:v>884.66</c:v>
                </c:pt>
                <c:pt idx="4">
                  <c:v>893.83</c:v>
                </c:pt>
                <c:pt idx="5">
                  <c:v>861.61</c:v>
                </c:pt>
                <c:pt idx="6">
                  <c:v>819.6</c:v>
                </c:pt>
                <c:pt idx="7">
                  <c:v>813.98</c:v>
                </c:pt>
                <c:pt idx="8">
                  <c:v>869.46</c:v>
                </c:pt>
                <c:pt idx="9">
                  <c:v>853.42</c:v>
                </c:pt>
                <c:pt idx="10">
                  <c:v>844.9</c:v>
                </c:pt>
                <c:pt idx="11">
                  <c:v>767.61</c:v>
                </c:pt>
                <c:pt idx="12">
                  <c:v>733.81</c:v>
                </c:pt>
              </c:numCache>
            </c:numRef>
          </c:val>
          <c:smooth val="0"/>
        </c:ser>
        <c:ser>
          <c:idx val="1"/>
          <c:order val="1"/>
          <c:tx>
            <c:strRef>
              <c:f>Sheet1!$C$170</c:f>
              <c:strCache>
                <c:ptCount val="1"/>
                <c:pt idx="0">
                  <c:v>Females</c:v>
                </c:pt>
              </c:strCache>
            </c:strRef>
          </c:tx>
          <c:marker>
            <c:symbol val="none"/>
          </c:marker>
          <c:dLbls>
            <c:dLbl>
              <c:idx val="0"/>
              <c:layout>
                <c:manualLayout>
                  <c:x val="-4.4090235701287235E-2"/>
                  <c:y val="-5.1323801385338513E-2"/>
                </c:manualLayout>
              </c:layout>
              <c:showLegendKey val="0"/>
              <c:showVal val="1"/>
              <c:showCatName val="0"/>
              <c:showSerName val="0"/>
              <c:showPercent val="0"/>
              <c:showBubbleSize val="0"/>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layout>
                <c:manualLayout>
                  <c:x val="0"/>
                  <c:y val="4.6657633873561873E-2"/>
                </c:manualLayout>
              </c:layout>
              <c:showLegendKey val="0"/>
              <c:showVal val="1"/>
              <c:showCatName val="0"/>
              <c:showSerName val="0"/>
              <c:showPercent val="0"/>
              <c:showBubbleSize val="0"/>
            </c:dLbl>
            <c:numFmt formatCode="#,##0.0" sourceLinked="0"/>
            <c:txPr>
              <a:bodyPr/>
              <a:lstStyle/>
              <a:p>
                <a:pPr>
                  <a:defRPr>
                    <a:solidFill>
                      <a:schemeClr val="bg1">
                        <a:lumMod val="50000"/>
                      </a:schemeClr>
                    </a:solidFill>
                  </a:defRPr>
                </a:pPr>
                <a:endParaRPr lang="en-US"/>
              </a:p>
            </c:txPr>
            <c:showLegendKey val="0"/>
            <c:showVal val="1"/>
            <c:showCatName val="0"/>
            <c:showSerName val="0"/>
            <c:showPercent val="0"/>
            <c:showBubbleSize val="0"/>
            <c:showLeaderLines val="0"/>
          </c:dLbls>
          <c:cat>
            <c:numRef>
              <c:f>Sheet1!$A$171:$A$183</c:f>
              <c:numCache>
                <c:formatCode>General</c:formatCod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numCache>
            </c:numRef>
          </c:cat>
          <c:val>
            <c:numRef>
              <c:f>Sheet1!$C$171:$C$183</c:f>
              <c:numCache>
                <c:formatCode>General</c:formatCode>
                <c:ptCount val="13"/>
                <c:pt idx="0">
                  <c:v>444.46</c:v>
                </c:pt>
                <c:pt idx="1">
                  <c:v>422.9</c:v>
                </c:pt>
                <c:pt idx="2">
                  <c:v>417.45</c:v>
                </c:pt>
                <c:pt idx="3">
                  <c:v>401.15</c:v>
                </c:pt>
                <c:pt idx="4">
                  <c:v>402.09</c:v>
                </c:pt>
                <c:pt idx="5">
                  <c:v>392.54</c:v>
                </c:pt>
                <c:pt idx="6">
                  <c:v>344.19</c:v>
                </c:pt>
                <c:pt idx="7">
                  <c:v>364.67</c:v>
                </c:pt>
                <c:pt idx="8">
                  <c:v>393.14</c:v>
                </c:pt>
                <c:pt idx="9">
                  <c:v>394.71</c:v>
                </c:pt>
                <c:pt idx="10">
                  <c:v>369.47</c:v>
                </c:pt>
                <c:pt idx="11">
                  <c:v>338.3</c:v>
                </c:pt>
                <c:pt idx="12">
                  <c:v>319.62</c:v>
                </c:pt>
              </c:numCache>
            </c:numRef>
          </c:val>
          <c:smooth val="0"/>
        </c:ser>
        <c:dLbls>
          <c:showLegendKey val="0"/>
          <c:showVal val="0"/>
          <c:showCatName val="0"/>
          <c:showSerName val="0"/>
          <c:showPercent val="0"/>
          <c:showBubbleSize val="0"/>
        </c:dLbls>
        <c:marker val="1"/>
        <c:smooth val="0"/>
        <c:axId val="44671360"/>
        <c:axId val="44672896"/>
      </c:lineChart>
      <c:catAx>
        <c:axId val="44671360"/>
        <c:scaling>
          <c:orientation val="minMax"/>
        </c:scaling>
        <c:delete val="0"/>
        <c:axPos val="b"/>
        <c:numFmt formatCode="General" sourceLinked="0"/>
        <c:majorTickMark val="none"/>
        <c:minorTickMark val="none"/>
        <c:tickLblPos val="nextTo"/>
        <c:txPr>
          <a:bodyPr rot="0" vert="horz"/>
          <a:lstStyle/>
          <a:p>
            <a:pPr>
              <a:defRPr/>
            </a:pPr>
            <a:endParaRPr lang="en-US"/>
          </a:p>
        </c:txPr>
        <c:crossAx val="44672896"/>
        <c:crosses val="autoZero"/>
        <c:auto val="1"/>
        <c:lblAlgn val="ctr"/>
        <c:lblOffset val="100"/>
        <c:tickLblSkip val="12"/>
        <c:noMultiLvlLbl val="0"/>
      </c:catAx>
      <c:valAx>
        <c:axId val="44672896"/>
        <c:scaling>
          <c:orientation val="minMax"/>
          <c:max val="1500"/>
          <c:min val="0"/>
        </c:scaling>
        <c:delete val="0"/>
        <c:axPos val="l"/>
        <c:title>
          <c:tx>
            <c:rich>
              <a:bodyPr rot="-5400000" vert="horz"/>
              <a:lstStyle/>
              <a:p>
                <a:pPr>
                  <a:defRPr b="0"/>
                </a:pPr>
                <a:r>
                  <a:rPr lang="en-US" b="0"/>
                  <a:t>Rate Per 100,000</a:t>
                </a:r>
              </a:p>
            </c:rich>
          </c:tx>
          <c:layout>
            <c:manualLayout>
              <c:xMode val="edge"/>
              <c:yMode val="edge"/>
              <c:x val="2.1023937114193487E-2"/>
              <c:y val="0.25019565624758872"/>
            </c:manualLayout>
          </c:layout>
          <c:overlay val="0"/>
        </c:title>
        <c:numFmt formatCode="General" sourceLinked="1"/>
        <c:majorTickMark val="out"/>
        <c:minorTickMark val="none"/>
        <c:tickLblPos val="none"/>
        <c:crossAx val="44671360"/>
        <c:crosses val="autoZero"/>
        <c:crossBetween val="between"/>
      </c:valAx>
    </c:plotArea>
    <c:legend>
      <c:legendPos val="b"/>
      <c:layout>
        <c:manualLayout>
          <c:xMode val="edge"/>
          <c:yMode val="edge"/>
          <c:x val="0.26181392747848442"/>
          <c:y val="0.10290048904876158"/>
          <c:w val="0.5752748962671137"/>
          <c:h val="8.9937522364612804E-2"/>
        </c:manualLayout>
      </c:layout>
      <c:overlay val="0"/>
    </c:legend>
    <c:plotVisOnly val="1"/>
    <c:dispBlanksAs val="gap"/>
    <c:showDLblsOverMax val="0"/>
  </c:chart>
  <c:spPr>
    <a:noFill/>
    <a:ln>
      <a:noFill/>
    </a:ln>
  </c:spPr>
  <c:txPr>
    <a:bodyPr/>
    <a:lstStyle/>
    <a:p>
      <a:pPr>
        <a:defRPr sz="12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8544A45-7C17-42A5-96F4-177F5D574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100</Pages>
  <Words>82284</Words>
  <Characters>469023</Characters>
  <Application>Microsoft Office Word</Application>
  <DocSecurity>0</DocSecurity>
  <Lines>3908</Lines>
  <Paragraphs>1100</Paragraphs>
  <ScaleCrop>false</ScaleCrop>
  <HeadingPairs>
    <vt:vector size="2" baseType="variant">
      <vt:variant>
        <vt:lpstr>Title</vt:lpstr>
      </vt:variant>
      <vt:variant>
        <vt:i4>1</vt:i4>
      </vt:variant>
    </vt:vector>
  </HeadingPairs>
  <TitlesOfParts>
    <vt:vector size="1" baseType="lpstr">
      <vt:lpstr>WA Health promotion strategic framework 2017-2021</vt:lpstr>
    </vt:vector>
  </TitlesOfParts>
  <Company>WA Health</Company>
  <LinksUpToDate>false</LinksUpToDate>
  <CharactersWithSpaces>550207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Health promotion strategic framework 2017-2021</dc:title>
  <dc:subject>2017-2021</dc:subject>
  <dc:creator>Kate Purcell</dc:creator>
  <cp:lastModifiedBy>Abraham, Jillian</cp:lastModifiedBy>
  <cp:revision>4</cp:revision>
  <cp:lastPrinted>2016-09-19T03:53:00Z</cp:lastPrinted>
  <dcterms:created xsi:type="dcterms:W3CDTF">2016-09-19T03:51:00Z</dcterms:created>
  <dcterms:modified xsi:type="dcterms:W3CDTF">2016-09-20T02:14:00Z</dcterms:modified>
</cp:coreProperties>
</file>